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South West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South West: 2 districts (Afgoye and Baidoa)</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[date]</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South West: Afgoye and Baidoa.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South West, Rasmi Logistic Service supported fridge handover ceremonies in </w:t>
      </w:r>
      <w:r>
        <w:rPr>
          <w:rFonts w:ascii="Arial" w:hAnsi="Arial"/>
          <w:b/>
          <w:i w:val="0"/>
          <w:color w:val="1B2610"/>
          <w:sz w:val="20"/>
        </w:rPr>
        <w:t>2 districts</w:t>
      </w:r>
      <w:r>
        <w:rPr>
          <w:rFonts w:ascii="Arial" w:hAnsi="Arial"/>
          <w:b w:val="0"/>
          <w:i w:val="0"/>
          <w:color w:val="1B2610"/>
          <w:sz w:val="20"/>
        </w:rPr>
        <w:t xml:space="preserve"> on [date].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2</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South West</w:t>
            </w:r>
          </w:p>
        </w:tc>
        <w:tc>
          <w:tcPr>
            <w:tcW w:type="dxa" w:w="2353"/>
          </w:tcPr>
          <w:p>
            <w:pPr>
              <w:spacing w:after="40"/>
              <w:jc w:val="center"/>
            </w:pPr>
            <w:r>
              <w:rPr>
                <w:rFonts w:ascii="Arial" w:hAnsi="Arial"/>
                <w:b/>
                <w:i w:val="0"/>
                <w:color w:val="55891A"/>
                <w:sz w:val="22"/>
              </w:rPr>
              <w:t>[date]</w:t>
            </w:r>
          </w:p>
        </w:tc>
      </w:tr>
    </w:tbl>
    <w:p/>
    <w:p>
      <w:r>
        <w:rPr>
          <w:rFonts w:ascii="Arial" w:hAnsi="Arial"/>
          <w:b/>
          <w:i w:val="0"/>
          <w:color w:val="1B2610"/>
          <w:sz w:val="20"/>
        </w:rPr>
        <w:t>Services delivered in South West:</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2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2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2 districts.</w:t>
      </w:r>
    </w:p>
    <w:p>
      <w:pPr>
        <w:pStyle w:val="ListBullet"/>
      </w:pPr>
      <w:r>
        <w:rPr>
          <w:rFonts w:ascii="Arial" w:hAnsi="Arial"/>
          <w:b/>
          <w:i w:val="0"/>
          <w:color w:val="1B2610"/>
          <w:sz w:val="20"/>
        </w:rPr>
        <w:t>Catering</w:t>
      </w:r>
      <w:r>
        <w:rPr>
          <w:rFonts w:ascii="Arial" w:hAnsi="Arial"/>
          <w:b w:val="0"/>
          <w:i w:val="0"/>
          <w:color w:val="1B2610"/>
          <w:sz w:val="20"/>
        </w:rPr>
        <w:t xml:space="preserve"> in Afgoye only.</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2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Afgoye only</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2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2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Afgoye</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100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Yes</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Baidoa</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100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2</w:t>
            </w:r>
          </w:p>
        </w:tc>
        <w:tc>
          <w:tcPr>
            <w:tcW w:type="dxa" w:w="907"/>
            <w:tcBorders>
              <w:top w:val="single" w:sz="8" w:space="0" w:color="55891A"/>
            </w:tcBorders>
          </w:tcPr>
          <w:p>
            <w:pPr>
              <w:spacing w:after="0"/>
              <w:jc w:val="center"/>
            </w:pPr>
            <w:r>
              <w:rPr>
                <w:rFonts w:ascii="Arial" w:hAnsi="Arial"/>
                <w:b/>
                <w:i w:val="0"/>
                <w:color w:val="1B2610"/>
                <w:sz w:val="18"/>
              </w:rPr>
              <w:t>1</w:t>
            </w:r>
          </w:p>
        </w:tc>
        <w:tc>
          <w:tcPr>
            <w:tcW w:type="dxa" w:w="1020"/>
            <w:tcBorders>
              <w:top w:val="single" w:sz="8" w:space="0" w:color="55891A"/>
            </w:tcBorders>
          </w:tcPr>
          <w:p>
            <w:pPr>
              <w:spacing w:after="0"/>
              <w:jc w:val="center"/>
            </w:pPr>
            <w:r>
              <w:rPr>
                <w:rFonts w:ascii="Arial" w:hAnsi="Arial"/>
                <w:b/>
                <w:i w:val="0"/>
                <w:color w:val="1B2610"/>
                <w:sz w:val="18"/>
              </w:rPr>
              <w:t>2</w:t>
            </w:r>
          </w:p>
        </w:tc>
        <w:tc>
          <w:tcPr>
            <w:tcW w:type="dxa" w:w="794"/>
            <w:tcBorders>
              <w:top w:val="single" w:sz="8" w:space="0" w:color="55891A"/>
            </w:tcBorders>
          </w:tcPr>
          <w:p>
            <w:pPr>
              <w:spacing w:after="0"/>
              <w:jc w:val="center"/>
            </w:pPr>
            <w:r>
              <w:rPr>
                <w:rFonts w:ascii="Arial" w:hAnsi="Arial"/>
                <w:b/>
                <w:i w:val="0"/>
                <w:color w:val="1B2610"/>
                <w:sz w:val="18"/>
              </w:rPr>
              <w:t>2</w:t>
            </w:r>
          </w:p>
        </w:tc>
      </w:tr>
    </w:tbl>
    <w:p>
      <w:pPr>
        <w:spacing w:after="40"/>
      </w:pPr>
    </w:p>
    <w:p>
      <w:pPr>
        <w:pStyle w:val="Heading1"/>
      </w:pPr>
      <w:r>
        <w:t>5. Logistics and Coordination</w:t>
      </w:r>
    </w:p>
    <w:p>
      <w:r>
        <w:rPr>
          <w:rFonts w:ascii="Arial" w:hAnsi="Arial"/>
          <w:b w:val="0"/>
          <w:i w:val="0"/>
          <w:color w:val="1B2610"/>
          <w:sz w:val="20"/>
        </w:rPr>
        <w:t>Each district in South West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Mogadishu – Afgoye – Mogadishu</w:t>
      </w:r>
    </w:p>
    <w:p>
      <w:pPr>
        <w:pStyle w:val="Heading2"/>
      </w:pPr>
      <w:r>
        <w:t>5.2 Catering</w:t>
      </w:r>
    </w:p>
    <w:p>
      <w:r>
        <w:rPr>
          <w:rFonts w:ascii="Arial" w:hAnsi="Arial"/>
          <w:b w:val="0"/>
          <w:i w:val="0"/>
          <w:color w:val="1B2610"/>
          <w:sz w:val="20"/>
        </w:rPr>
        <w:t>Catering was provided in Afgoye, as set out in the contract.</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South West;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2 ceremonies in South West.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South West,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Submitted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all 2 ceremonies in South West. The details and links for each district are below.</w:t>
      </w:r>
    </w:p>
    <w:p>
      <w:pPr>
        <w:pStyle w:val="Heading2"/>
      </w:pPr>
      <w:r>
        <w:t>A.1  Afgoye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Afgoye</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South West</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[date]</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100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p>
      <w:pPr>
        <w:pStyle w:val="Heading2"/>
      </w:pPr>
      <w:r>
        <w:t>A.2  Baidoa</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Baidoa</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South West</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[date]</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100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South West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SOUTH WEST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