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Banadir (Mogadishu)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Banadir (Mogadishu): 1 district (Mogadishu)</w:t>
            </w:r>
          </w:p>
        </w:tc>
      </w:tr>
      <w:tr>
        <w:trPr>
          <w:cantSplit/>
        </w:trPr>
        <w:tc>
          <w:tcPr>
            <w:tcW w:type="dxa" w:w="2268"/>
          </w:tcPr>
          <w:p>
            <w:pPr>
              <w:spacing w:after="0"/>
            </w:pPr>
            <w:r>
              <w:rPr>
                <w:rFonts w:ascii="Arial" w:hAnsi="Arial"/>
                <w:b/>
                <w:i w:val="0"/>
                <w:color w:val="FD6902"/>
                <w:sz w:val="19"/>
              </w:rPr>
              <w:t>Ceremony dates</w:t>
            </w:r>
          </w:p>
        </w:tc>
        <w:tc>
          <w:tcPr>
            <w:tcW w:type="dxa" w:w="6520"/>
          </w:tcPr>
          <w:p>
            <w:pPr>
              <w:spacing w:after="0"/>
            </w:pPr>
            <w:r>
              <w:rPr>
                <w:rFonts w:ascii="Arial" w:hAnsi="Arial"/>
                <w:b w:val="0"/>
                <w:i w:val="0"/>
                <w:color w:val="1B2610"/>
                <w:sz w:val="19"/>
              </w:rPr>
              <w:t>Mogadishu: 7 Sep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Banadir (Mogadishu): Mogadishu.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Banadir (Mogadishu), Rasmi Logistic Service supported fridge handover ceremonies in </w:t>
      </w:r>
      <w:r>
        <w:rPr>
          <w:rFonts w:ascii="Arial" w:hAnsi="Arial"/>
          <w:b/>
          <w:i w:val="0"/>
          <w:color w:val="1B2610"/>
          <w:sz w:val="20"/>
        </w:rPr>
        <w:t>1 district</w:t>
      </w:r>
      <w:r>
        <w:rPr>
          <w:rFonts w:ascii="Arial" w:hAnsi="Arial"/>
          <w:b w:val="0"/>
          <w:i w:val="0"/>
          <w:color w:val="1B2610"/>
          <w:sz w:val="20"/>
        </w:rPr>
        <w:t xml:space="preserve"> (ceremony dates: Mogadishu: 7 Sep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Dates</w:t>
            </w:r>
          </w:p>
        </w:tc>
      </w:tr>
      <w:tr>
        <w:tc>
          <w:tcPr>
            <w:tcW w:type="dxa" w:w="2353"/>
          </w:tcPr>
          <w:p>
            <w:pPr>
              <w:spacing w:after="40"/>
              <w:jc w:val="center"/>
            </w:pPr>
            <w:r>
              <w:rPr>
                <w:rFonts w:ascii="Arial" w:hAnsi="Arial"/>
                <w:b/>
                <w:i w:val="0"/>
                <w:color w:val="55891A"/>
                <w:sz w:val="32"/>
              </w:rPr>
              <w:t>1</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Banadir (Mogadishu)</w:t>
            </w:r>
          </w:p>
        </w:tc>
        <w:tc>
          <w:tcPr>
            <w:tcW w:type="dxa" w:w="2353"/>
          </w:tcPr>
          <w:p>
            <w:pPr>
              <w:spacing w:after="40"/>
              <w:jc w:val="center"/>
            </w:pPr>
            <w:r>
              <w:rPr>
                <w:rFonts w:ascii="Arial" w:hAnsi="Arial"/>
                <w:b/>
                <w:i w:val="0"/>
                <w:color w:val="55891A"/>
                <w:sz w:val="22"/>
              </w:rPr>
              <w:t>7 Sep 2026</w:t>
            </w:r>
          </w:p>
        </w:tc>
      </w:tr>
    </w:tbl>
    <w:p/>
    <w:p>
      <w:r>
        <w:rPr>
          <w:rFonts w:ascii="Arial" w:hAnsi="Arial"/>
          <w:b/>
          <w:i w:val="0"/>
          <w:color w:val="1B2610"/>
          <w:sz w:val="20"/>
        </w:rPr>
        <w:t>Services delivered in Banadir (Mogadishu):</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the district.</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in the district.</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the district.</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Mogadishu</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for the team, materials and fridges.</w:t>
            </w:r>
          </w:p>
        </w:tc>
        <w:tc>
          <w:tcPr>
            <w:tcW w:type="dxa" w:w="1701"/>
          </w:tcPr>
          <w:p>
            <w:pPr>
              <w:keepNext/>
              <w:spacing w:after="0"/>
            </w:pPr>
            <w:r>
              <w:rPr>
                <w:rFonts w:ascii="Arial" w:hAnsi="Arial"/>
                <w:b w:val="0"/>
                <w:i w:val="0"/>
                <w:color w:val="1B2610"/>
                <w:sz w:val="18"/>
              </w:rPr>
              <w:t>Mogadishu</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Mogadishu</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2041"/>
        <w:gridCol w:w="1701"/>
        <w:gridCol w:w="1247"/>
        <w:gridCol w:w="1474"/>
        <w:gridCol w:w="1134"/>
        <w:gridCol w:w="96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2041"/>
            <w:tcBorders>
              <w:bottom w:val="single" w:sz="12" w:space="0" w:color="55891A"/>
            </w:tcBorders>
          </w:tcPr>
          <w:p>
            <w:pPr>
              <w:keepNext/>
              <w:spacing w:after="0"/>
            </w:pPr>
            <w:r>
              <w:rPr>
                <w:rFonts w:ascii="Arial" w:hAnsi="Arial"/>
                <w:b/>
                <w:i w:val="0"/>
                <w:color w:val="55891A"/>
                <w:sz w:val="17"/>
              </w:rPr>
              <w:t>District</w:t>
            </w:r>
          </w:p>
        </w:tc>
        <w:tc>
          <w:tcPr>
            <w:tcW w:type="dxa" w:w="1701"/>
            <w:tcBorders>
              <w:bottom w:val="single" w:sz="12" w:space="0" w:color="55891A"/>
            </w:tcBorders>
          </w:tcPr>
          <w:p>
            <w:pPr>
              <w:keepNext/>
              <w:spacing w:after="0"/>
            </w:pPr>
            <w:r>
              <w:rPr>
                <w:rFonts w:ascii="Arial" w:hAnsi="Arial"/>
                <w:b/>
                <w:i w:val="0"/>
                <w:color w:val="55891A"/>
                <w:sz w:val="17"/>
              </w:rPr>
              <w:t>Date</w:t>
            </w:r>
          </w:p>
        </w:tc>
        <w:tc>
          <w:tcPr>
            <w:tcW w:type="dxa" w:w="1247"/>
            <w:tcBorders>
              <w:bottom w:val="single" w:sz="12" w:space="0" w:color="55891A"/>
            </w:tcBorders>
          </w:tcPr>
          <w:p>
            <w:pPr>
              <w:keepNext/>
              <w:spacing w:after="0"/>
              <w:jc w:val="center"/>
            </w:pPr>
            <w:r>
              <w:rPr>
                <w:rFonts w:ascii="Arial" w:hAnsi="Arial"/>
                <w:b/>
                <w:i w:val="0"/>
                <w:color w:val="55891A"/>
                <w:sz w:val="17"/>
              </w:rPr>
              <w:t>Families</w:t>
            </w:r>
          </w:p>
        </w:tc>
        <w:tc>
          <w:tcPr>
            <w:tcW w:type="dxa" w:w="1474"/>
            <w:tcBorders>
              <w:bottom w:val="single" w:sz="12" w:space="0" w:color="55891A"/>
            </w:tcBorders>
          </w:tcPr>
          <w:p>
            <w:pPr>
              <w:keepNext/>
              <w:spacing w:after="0"/>
              <w:jc w:val="center"/>
            </w:pPr>
            <w:r>
              <w:rPr>
                <w:rFonts w:ascii="Arial" w:hAnsi="Arial"/>
                <w:b/>
                <w:i w:val="0"/>
                <w:color w:val="55891A"/>
                <w:sz w:val="17"/>
              </w:rPr>
              <w:t>Fridge carrying</w:t>
            </w:r>
          </w:p>
        </w:tc>
        <w:tc>
          <w:tcPr>
            <w:tcW w:type="dxa" w:w="1134"/>
            <w:tcBorders>
              <w:bottom w:val="single" w:sz="12" w:space="0" w:color="55891A"/>
            </w:tcBorders>
          </w:tcPr>
          <w:p>
            <w:pPr>
              <w:keepNext/>
              <w:spacing w:after="0"/>
              <w:jc w:val="center"/>
            </w:pPr>
            <w:r>
              <w:rPr>
                <w:rFonts w:ascii="Arial" w:hAnsi="Arial"/>
                <w:b/>
                <w:i w:val="0"/>
                <w:color w:val="55891A"/>
                <w:sz w:val="17"/>
              </w:rPr>
              <w:t>Transport</w:t>
            </w:r>
          </w:p>
        </w:tc>
        <w:tc>
          <w:tcPr>
            <w:tcW w:type="dxa" w:w="96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2041"/>
          </w:tcPr>
          <w:p>
            <w:pPr>
              <w:keepNext/>
              <w:spacing w:after="0"/>
            </w:pPr>
            <w:r>
              <w:rPr>
                <w:rFonts w:ascii="Arial" w:hAnsi="Arial"/>
                <w:b w:val="0"/>
                <w:i w:val="0"/>
                <w:color w:val="1B2610"/>
                <w:sz w:val="18"/>
              </w:rPr>
              <w:t>Mogadishu</w:t>
            </w:r>
          </w:p>
        </w:tc>
        <w:tc>
          <w:tcPr>
            <w:tcW w:type="dxa" w:w="1701"/>
          </w:tcPr>
          <w:p>
            <w:pPr>
              <w:keepNext/>
              <w:spacing w:after="0"/>
            </w:pPr>
            <w:r>
              <w:rPr>
                <w:rFonts w:ascii="Arial" w:hAnsi="Arial"/>
                <w:b w:val="0"/>
                <w:i w:val="0"/>
                <w:color w:val="1B2610"/>
                <w:sz w:val="18"/>
              </w:rPr>
              <w:t>7 Sep 2026</w:t>
            </w:r>
          </w:p>
        </w:tc>
        <w:tc>
          <w:tcPr>
            <w:tcW w:type="dxa" w:w="1247"/>
          </w:tcPr>
          <w:p>
            <w:pPr>
              <w:keepNext/>
              <w:spacing w:after="0"/>
              <w:jc w:val="center"/>
            </w:pPr>
            <w:r>
              <w:rPr>
                <w:rFonts w:ascii="Arial" w:hAnsi="Arial"/>
                <w:b w:val="0"/>
                <w:i w:val="0"/>
                <w:color w:val="1B2610"/>
                <w:sz w:val="18"/>
              </w:rPr>
              <w:t>200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2041"/>
            <w:tcBorders>
              <w:top w:val="single" w:sz="8" w:space="0" w:color="55891A"/>
            </w:tcBorders>
          </w:tcPr>
          <w:p>
            <w:pPr>
              <w:spacing w:after="0"/>
            </w:pPr>
            <w:r>
              <w:rPr>
                <w:rFonts w:ascii="Arial" w:hAnsi="Arial"/>
                <w:b/>
                <w:i w:val="0"/>
                <w:color w:val="1B2610"/>
                <w:sz w:val="18"/>
              </w:rPr>
              <w:t>Total</w:t>
            </w:r>
          </w:p>
        </w:tc>
        <w:tc>
          <w:tcPr>
            <w:tcW w:type="dxa" w:w="1701"/>
            <w:tcBorders>
              <w:top w:val="single" w:sz="8" w:space="0" w:color="55891A"/>
            </w:tcBorders>
          </w:tcPr>
          <w:p>
            <w:pPr>
              <w:spacing w:after="0"/>
            </w:pPr>
            <w:r>
              <w:rPr>
                <w:rFonts w:ascii="Arial" w:hAnsi="Arial"/>
                <w:b/>
                <w:i w:val="0"/>
                <w:color w:val="1B2610"/>
                <w:sz w:val="18"/>
              </w:rPr>
            </w:r>
          </w:p>
        </w:tc>
        <w:tc>
          <w:tcPr>
            <w:tcW w:type="dxa" w:w="1247"/>
            <w:tcBorders>
              <w:top w:val="single" w:sz="8" w:space="0" w:color="55891A"/>
            </w:tcBorders>
          </w:tcPr>
          <w:p>
            <w:pPr>
              <w:spacing w:after="0"/>
              <w:jc w:val="center"/>
            </w:pPr>
            <w:r>
              <w:rPr>
                <w:rFonts w:ascii="Arial" w:hAnsi="Arial"/>
                <w:b/>
                <w:i w:val="0"/>
                <w:color w:val="1B2610"/>
                <w:sz w:val="18"/>
              </w:rPr>
              <w:t>200</w:t>
            </w:r>
          </w:p>
        </w:tc>
        <w:tc>
          <w:tcPr>
            <w:tcW w:type="dxa" w:w="1474"/>
            <w:tcBorders>
              <w:top w:val="single" w:sz="8" w:space="0" w:color="55891A"/>
            </w:tcBorders>
          </w:tcPr>
          <w:p>
            <w:pPr>
              <w:spacing w:after="0"/>
              <w:jc w:val="center"/>
            </w:pPr>
            <w:r>
              <w:rPr>
                <w:rFonts w:ascii="Arial" w:hAnsi="Arial"/>
                <w:b/>
                <w:i w:val="0"/>
                <w:color w:val="1B2610"/>
                <w:sz w:val="18"/>
              </w:rPr>
              <w:t>1</w:t>
            </w:r>
          </w:p>
        </w:tc>
        <w:tc>
          <w:tcPr>
            <w:tcW w:type="dxa" w:w="1134"/>
            <w:tcBorders>
              <w:top w:val="single" w:sz="8" w:space="0" w:color="55891A"/>
            </w:tcBorders>
          </w:tcPr>
          <w:p>
            <w:pPr>
              <w:spacing w:after="0"/>
              <w:jc w:val="center"/>
            </w:pPr>
            <w:r>
              <w:rPr>
                <w:rFonts w:ascii="Arial" w:hAnsi="Arial"/>
                <w:b/>
                <w:i w:val="0"/>
                <w:color w:val="1B2610"/>
                <w:sz w:val="18"/>
              </w:rPr>
              <w:t>1</w:t>
            </w:r>
          </w:p>
        </w:tc>
        <w:tc>
          <w:tcPr>
            <w:tcW w:type="dxa" w:w="964"/>
            <w:tcBorders>
              <w:top w:val="single" w:sz="8" w:space="0" w:color="55891A"/>
            </w:tcBorders>
          </w:tcPr>
          <w:p>
            <w:pPr>
              <w:spacing w:after="0"/>
              <w:jc w:val="center"/>
            </w:pPr>
            <w:r>
              <w:rPr>
                <w:rFonts w:ascii="Arial" w:hAnsi="Arial"/>
                <w:b/>
                <w:i w:val="0"/>
                <w:color w:val="1B2610"/>
                <w:sz w:val="18"/>
              </w:rPr>
              <w:t>1</w:t>
            </w:r>
          </w:p>
        </w:tc>
      </w:tr>
    </w:tbl>
    <w:p>
      <w:pPr>
        <w:spacing w:after="40"/>
      </w:pPr>
    </w:p>
    <w:p>
      <w:pPr>
        <w:pStyle w:val="Heading1"/>
      </w:pPr>
      <w:r>
        <w:t>5. Logistics and Coordination</w:t>
      </w:r>
    </w:p>
    <w:p>
      <w:r>
        <w:rPr>
          <w:rFonts w:ascii="Arial" w:hAnsi="Arial"/>
          <w:b w:val="0"/>
          <w:i w:val="0"/>
          <w:color w:val="1B2610"/>
          <w:sz w:val="20"/>
        </w:rPr>
        <w:t>Each district in Banadir (Mogadishu)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Heading2"/>
      </w:pPr>
      <w:r>
        <w:t>5.2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Banadir (Mogadishu);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5.3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the ceremony in Banadir (Mogadishu).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Banadir (Mogadishu),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Submitted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Banadir (Mogadishu)</w:t>
      </w:r>
    </w:p>
    <w:p>
      <w:r>
        <w:rPr>
          <w:rFonts w:ascii="Arial" w:hAnsi="Arial"/>
          <w:b w:val="0"/>
          <w:i w:val="0"/>
          <w:color w:val="1B2610"/>
          <w:sz w:val="20"/>
        </w:rPr>
        <w:t>Photo and video coverage of the ceremonies in Banadir (Mogadishu), by media house, with the city, the channel, the views and the link to each post. Views were checked on 14 October 2026 and will change.</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396"/>
        <w:gridCol w:w="1530"/>
        <w:gridCol w:w="2438"/>
        <w:gridCol w:w="1020"/>
        <w:gridCol w:w="793"/>
        <w:gridCol w:w="2664"/>
      </w:tblGrid>
      <w:tr>
        <w:trPr>
          <w:cantSplit/>
          <w:tblHeader/>
        </w:trPr>
        <w:tc>
          <w:tcPr>
            <w:tcW w:type="dxa" w:w="397"/>
            <w:tcBorders>
              <w:bottom w:val="single" w:sz="12" w:space="0" w:color="55891A"/>
            </w:tcBorders>
          </w:tcPr>
          <w:p>
            <w:pPr>
              <w:keepNext/>
              <w:spacing w:after="0"/>
            </w:pPr>
            <w:r>
              <w:rPr>
                <w:rFonts w:ascii="Arial" w:hAnsi="Arial"/>
                <w:b/>
                <w:i w:val="0"/>
                <w:color w:val="55891A"/>
                <w:sz w:val="17"/>
              </w:rPr>
              <w:t>#</w:t>
            </w:r>
          </w:p>
        </w:tc>
        <w:tc>
          <w:tcPr>
            <w:tcW w:type="dxa" w:w="1531"/>
            <w:tcBorders>
              <w:bottom w:val="single" w:sz="12" w:space="0" w:color="55891A"/>
            </w:tcBorders>
          </w:tcPr>
          <w:p>
            <w:pPr>
              <w:keepNext/>
              <w:spacing w:after="0"/>
            </w:pPr>
            <w:r>
              <w:rPr>
                <w:rFonts w:ascii="Arial" w:hAnsi="Arial"/>
                <w:b/>
                <w:i w:val="0"/>
                <w:color w:val="55891A"/>
                <w:sz w:val="17"/>
              </w:rPr>
              <w:t>City</w:t>
            </w:r>
          </w:p>
        </w:tc>
        <w:tc>
          <w:tcPr>
            <w:tcW w:type="dxa" w:w="2438"/>
            <w:tcBorders>
              <w:bottom w:val="single" w:sz="12" w:space="0" w:color="55891A"/>
            </w:tcBorders>
          </w:tcPr>
          <w:p>
            <w:pPr>
              <w:keepNext/>
              <w:spacing w:after="0"/>
            </w:pPr>
            <w:r>
              <w:rPr>
                <w:rFonts w:ascii="Arial" w:hAnsi="Arial"/>
                <w:b/>
                <w:i w:val="0"/>
                <w:color w:val="55891A"/>
                <w:sz w:val="17"/>
              </w:rPr>
              <w:t>Media house / outlet</w:t>
            </w:r>
          </w:p>
        </w:tc>
        <w:tc>
          <w:tcPr>
            <w:tcW w:type="dxa" w:w="1020"/>
            <w:tcBorders>
              <w:bottom w:val="single" w:sz="12" w:space="0" w:color="55891A"/>
            </w:tcBorders>
          </w:tcPr>
          <w:p>
            <w:pPr>
              <w:keepNext/>
              <w:spacing w:after="0"/>
            </w:pPr>
            <w:r>
              <w:rPr>
                <w:rFonts w:ascii="Arial" w:hAnsi="Arial"/>
                <w:b/>
                <w:i w:val="0"/>
                <w:color w:val="55891A"/>
                <w:sz w:val="17"/>
              </w:rPr>
              <w:t>Channel</w:t>
            </w:r>
          </w:p>
        </w:tc>
        <w:tc>
          <w:tcPr>
            <w:tcW w:type="dxa" w:w="794"/>
            <w:tcBorders>
              <w:bottom w:val="single" w:sz="12" w:space="0" w:color="55891A"/>
            </w:tcBorders>
          </w:tcPr>
          <w:p>
            <w:pPr>
              <w:keepNext/>
              <w:spacing w:after="0"/>
              <w:jc w:val="center"/>
            </w:pPr>
            <w:r>
              <w:rPr>
                <w:rFonts w:ascii="Arial" w:hAnsi="Arial"/>
                <w:b/>
                <w:i w:val="0"/>
                <w:color w:val="55891A"/>
                <w:sz w:val="17"/>
              </w:rPr>
              <w:t>Views</w:t>
            </w:r>
          </w:p>
        </w:tc>
        <w:tc>
          <w:tcPr>
            <w:tcW w:type="dxa" w:w="2665"/>
            <w:tcBorders>
              <w:bottom w:val="single" w:sz="12" w:space="0" w:color="55891A"/>
            </w:tcBorders>
          </w:tcPr>
          <w:p>
            <w:pPr>
              <w:keepNext/>
              <w:spacing w:after="0"/>
            </w:pPr>
            <w:r>
              <w:rPr>
                <w:rFonts w:ascii="Arial" w:hAnsi="Arial"/>
                <w:b/>
                <w:i w:val="0"/>
                <w:color w:val="55891A"/>
                <w:sz w:val="17"/>
              </w:rPr>
              <w:t>Link</w:t>
            </w:r>
          </w:p>
        </w:tc>
      </w:tr>
      <w:tr>
        <w:trPr>
          <w:cantSplit/>
        </w:trPr>
        <w:tc>
          <w:tcPr>
            <w:tcW w:type="dxa" w:w="397"/>
          </w:tcPr>
          <w:p>
            <w:pPr>
              <w:keepNext/>
              <w:spacing w:after="0"/>
            </w:pPr>
            <w:r>
              <w:rPr>
                <w:rFonts w:ascii="Arial" w:hAnsi="Arial"/>
                <w:b w:val="0"/>
                <w:i w:val="0"/>
                <w:color w:val="1B2610"/>
                <w:sz w:val="18"/>
              </w:rPr>
              <w:t>1</w:t>
            </w:r>
          </w:p>
        </w:tc>
        <w:tc>
          <w:tcPr>
            <w:tcW w:type="dxa" w:w="1531"/>
          </w:tcPr>
          <w:p>
            <w:pPr>
              <w:keepNext/>
              <w:spacing w:after="0"/>
            </w:pPr>
            <w:r>
              <w:rPr>
                <w:rFonts w:ascii="Arial" w:hAnsi="Arial"/>
                <w:b w:val="0"/>
                <w:i w:val="0"/>
                <w:color w:val="1B2610"/>
                <w:sz w:val="18"/>
              </w:rPr>
              <w:t>Mogadishu</w:t>
            </w:r>
          </w:p>
        </w:tc>
        <w:tc>
          <w:tcPr>
            <w:tcW w:type="dxa" w:w="2438"/>
          </w:tcPr>
          <w:p>
            <w:pPr>
              <w:keepNext/>
              <w:spacing w:after="0"/>
            </w:pPr>
            <w:r>
              <w:rPr>
                <w:rFonts w:ascii="Arial" w:hAnsi="Arial"/>
                <w:b w:val="0"/>
                <w:i w:val="0"/>
                <w:color w:val="1B2610"/>
                <w:sz w:val="18"/>
              </w:rPr>
              <w:t>Telefishinka Qaranka Soomaaliyeed (SNTV)</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37K</w:t>
            </w:r>
          </w:p>
        </w:tc>
        <w:tc>
          <w:tcPr>
            <w:tcW w:type="dxa" w:w="2665"/>
          </w:tcPr>
          <w:p>
            <w:pPr>
              <w:keepNext/>
              <w:spacing w:after="0"/>
            </w:pPr>
            <w:hyperlink r:id="rId15">
              <w:r>
                <w:rPr>
                  <w:rFonts w:ascii="Arial" w:hAnsi="Arial" w:cs="Arial"/>
                  <w:color w:val="55891A"/>
                  <w:sz w:val="17"/>
                  <w:u w:val="single"/>
                </w:rPr>
                <w:t>facebook.com/reel/916665714471740</w:t>
              </w:r>
            </w:hyperlink>
          </w:p>
        </w:tc>
      </w:tr>
      <w:tr>
        <w:trPr>
          <w:cantSplit/>
        </w:trPr>
        <w:tc>
          <w:tcPr>
            <w:tcW w:type="dxa" w:w="397"/>
          </w:tcPr>
          <w:p>
            <w:pPr>
              <w:keepNext/>
              <w:spacing w:after="0"/>
            </w:pPr>
            <w:r>
              <w:rPr>
                <w:rFonts w:ascii="Arial" w:hAnsi="Arial"/>
                <w:b w:val="0"/>
                <w:i w:val="0"/>
                <w:color w:val="1B2610"/>
                <w:sz w:val="18"/>
              </w:rPr>
              <w:t>2</w:t>
            </w:r>
          </w:p>
        </w:tc>
        <w:tc>
          <w:tcPr>
            <w:tcW w:type="dxa" w:w="1531"/>
          </w:tcPr>
          <w:p>
            <w:pPr>
              <w:keepNext/>
              <w:spacing w:after="0"/>
            </w:pPr>
            <w:r>
              <w:rPr>
                <w:rFonts w:ascii="Arial" w:hAnsi="Arial"/>
                <w:b w:val="0"/>
                <w:i w:val="0"/>
                <w:color w:val="1B2610"/>
                <w:sz w:val="18"/>
              </w:rPr>
              <w:t>Mogadishu</w:t>
            </w:r>
          </w:p>
        </w:tc>
        <w:tc>
          <w:tcPr>
            <w:tcW w:type="dxa" w:w="2438"/>
          </w:tcPr>
          <w:p>
            <w:pPr>
              <w:keepNext/>
              <w:spacing w:after="0"/>
            </w:pPr>
            <w:r>
              <w:rPr>
                <w:rFonts w:ascii="Arial" w:hAnsi="Arial"/>
                <w:b w:val="0"/>
                <w:i w:val="0"/>
                <w:color w:val="1B2610"/>
                <w:sz w:val="18"/>
              </w:rPr>
              <w:t>Somali National Television (SNTV)</w:t>
            </w:r>
          </w:p>
        </w:tc>
        <w:tc>
          <w:tcPr>
            <w:tcW w:type="dxa" w:w="1020"/>
          </w:tcPr>
          <w:p>
            <w:pPr>
              <w:keepNext/>
              <w:spacing w:after="0"/>
            </w:pPr>
            <w:r>
              <w:rPr>
                <w:rFonts w:ascii="Arial" w:hAnsi="Arial"/>
                <w:b w:val="0"/>
                <w:i w:val="0"/>
                <w:color w:val="1B2610"/>
                <w:sz w:val="18"/>
              </w:rPr>
              <w:t>YouTube</w:t>
            </w:r>
          </w:p>
        </w:tc>
        <w:tc>
          <w:tcPr>
            <w:tcW w:type="dxa" w:w="794"/>
          </w:tcPr>
          <w:p>
            <w:pPr>
              <w:keepNext/>
              <w:spacing w:after="0"/>
              <w:jc w:val="center"/>
            </w:pPr>
            <w:r>
              <w:rPr>
                <w:rFonts w:ascii="Arial" w:hAnsi="Arial"/>
                <w:b w:val="0"/>
                <w:i w:val="0"/>
                <w:color w:val="1B2610"/>
                <w:sz w:val="18"/>
              </w:rPr>
              <w:t>—</w:t>
            </w:r>
          </w:p>
        </w:tc>
        <w:tc>
          <w:tcPr>
            <w:tcW w:type="dxa" w:w="2665"/>
          </w:tcPr>
          <w:p>
            <w:pPr>
              <w:keepNext/>
              <w:spacing w:after="0"/>
            </w:pPr>
            <w:hyperlink r:id="rId16">
              <w:r>
                <w:rPr>
                  <w:rFonts w:ascii="Arial" w:hAnsi="Arial" w:cs="Arial"/>
                  <w:color w:val="55891A"/>
                  <w:sz w:val="17"/>
                  <w:u w:val="single"/>
                </w:rPr>
                <w:t>youtu.be/r6KLf6HcRBw?si=y_cvvihn6hT…</w:t>
              </w:r>
            </w:hyperlink>
          </w:p>
        </w:tc>
      </w:tr>
      <w:tr>
        <w:trPr>
          <w:cantSplit/>
        </w:trPr>
        <w:tc>
          <w:tcPr>
            <w:tcW w:type="dxa" w:w="397"/>
          </w:tcPr>
          <w:p>
            <w:pPr>
              <w:spacing w:after="0"/>
            </w:pPr>
            <w:r>
              <w:rPr>
                <w:rFonts w:ascii="Arial" w:hAnsi="Arial"/>
                <w:b w:val="0"/>
                <w:i w:val="0"/>
                <w:color w:val="1B2610"/>
                <w:sz w:val="18"/>
              </w:rPr>
              <w:t>3</w:t>
            </w:r>
          </w:p>
        </w:tc>
        <w:tc>
          <w:tcPr>
            <w:tcW w:type="dxa" w:w="1531"/>
          </w:tcPr>
          <w:p>
            <w:pPr>
              <w:spacing w:after="0"/>
            </w:pPr>
            <w:r>
              <w:rPr>
                <w:rFonts w:ascii="Arial" w:hAnsi="Arial"/>
                <w:b w:val="0"/>
                <w:i w:val="0"/>
                <w:color w:val="1B2610"/>
                <w:sz w:val="18"/>
              </w:rPr>
              <w:t>Mogadishu</w:t>
            </w:r>
          </w:p>
        </w:tc>
        <w:tc>
          <w:tcPr>
            <w:tcW w:type="dxa" w:w="2438"/>
          </w:tcPr>
          <w:p>
            <w:pPr>
              <w:spacing w:after="0"/>
            </w:pPr>
            <w:r>
              <w:rPr>
                <w:rFonts w:ascii="Arial" w:hAnsi="Arial"/>
                <w:b w:val="0"/>
                <w:i w:val="0"/>
                <w:color w:val="1B2610"/>
                <w:sz w:val="18"/>
              </w:rPr>
              <w:t>SNTV (@sntvnews1)</w:t>
            </w:r>
          </w:p>
        </w:tc>
        <w:tc>
          <w:tcPr>
            <w:tcW w:type="dxa" w:w="1020"/>
          </w:tcPr>
          <w:p>
            <w:pPr>
              <w:spacing w:after="0"/>
            </w:pPr>
            <w:r>
              <w:rPr>
                <w:rFonts w:ascii="Arial" w:hAnsi="Arial"/>
                <w:b w:val="0"/>
                <w:i w:val="0"/>
                <w:color w:val="1B2610"/>
                <w:sz w:val="18"/>
              </w:rPr>
              <w:t>TikTok</w:t>
            </w:r>
          </w:p>
        </w:tc>
        <w:tc>
          <w:tcPr>
            <w:tcW w:type="dxa" w:w="794"/>
          </w:tcPr>
          <w:p>
            <w:pPr>
              <w:spacing w:after="0"/>
              <w:jc w:val="center"/>
            </w:pPr>
            <w:r>
              <w:rPr>
                <w:rFonts w:ascii="Arial" w:hAnsi="Arial"/>
                <w:b w:val="0"/>
                <w:i w:val="0"/>
                <w:color w:val="1B2610"/>
                <w:sz w:val="18"/>
              </w:rPr>
              <w:t>50.4K plays</w:t>
            </w:r>
          </w:p>
        </w:tc>
        <w:tc>
          <w:tcPr>
            <w:tcW w:type="dxa" w:w="2665"/>
          </w:tcPr>
          <w:p>
            <w:pPr>
              <w:spacing w:after="0"/>
            </w:pPr>
            <w:hyperlink r:id="rId17">
              <w:r>
                <w:rPr>
                  <w:rFonts w:ascii="Arial" w:hAnsi="Arial" w:cs="Arial"/>
                  <w:color w:val="55891A"/>
                  <w:sz w:val="17"/>
                  <w:u w:val="single"/>
                </w:rPr>
                <w:t>vt.tiktok.com/ZSqhyFG6W/</w:t>
              </w:r>
            </w:hyperlink>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Banadir (Mogadishu)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BANADIR (MOGADISHU)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reel/916665714471740" TargetMode="External"/><Relationship Id="rId16" Type="http://schemas.openxmlformats.org/officeDocument/2006/relationships/hyperlink" Target="https://youtu.be/r6KLf6HcRBw?si=y_cvvihn6hTwlOGP" TargetMode="External"/><Relationship Id="rId17" Type="http://schemas.openxmlformats.org/officeDocument/2006/relationships/hyperlink" Target="https://vt.tiktok.com/ZSqhyFG6W/"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