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Jubaland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Jubaland: 1 district (Kismayo)</w:t>
            </w:r>
          </w:p>
        </w:tc>
      </w:tr>
      <w:tr>
        <w:trPr>
          <w:cantSplit/>
        </w:trPr>
        <w:tc>
          <w:tcPr>
            <w:tcW w:type="dxa" w:w="2268"/>
          </w:tcPr>
          <w:p>
            <w:pPr>
              <w:spacing w:after="0"/>
            </w:pPr>
            <w:r>
              <w:rPr>
                <w:rFonts w:ascii="Arial" w:hAnsi="Arial"/>
                <w:b/>
                <w:i w:val="0"/>
                <w:color w:val="FD6902"/>
                <w:sz w:val="19"/>
              </w:rPr>
              <w:t>Ceremony dates</w:t>
            </w:r>
          </w:p>
        </w:tc>
        <w:tc>
          <w:tcPr>
            <w:tcW w:type="dxa" w:w="6520"/>
          </w:tcPr>
          <w:p>
            <w:pPr>
              <w:spacing w:after="0"/>
            </w:pPr>
            <w:r>
              <w:rPr>
                <w:rFonts w:ascii="Arial" w:hAnsi="Arial"/>
                <w:b w:val="0"/>
                <w:i w:val="0"/>
                <w:color w:val="1B2610"/>
                <w:sz w:val="19"/>
              </w:rPr>
              <w:t>Kismayo: 23 Sep 2026</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Jubaland: Kismayo.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Jubaland, Rasmi Logistic Service supported fridge handover ceremonies in </w:t>
      </w:r>
      <w:r>
        <w:rPr>
          <w:rFonts w:ascii="Arial" w:hAnsi="Arial"/>
          <w:b/>
          <w:i w:val="0"/>
          <w:color w:val="1B2610"/>
          <w:sz w:val="20"/>
        </w:rPr>
        <w:t>1 district</w:t>
      </w:r>
      <w:r>
        <w:rPr>
          <w:rFonts w:ascii="Arial" w:hAnsi="Arial"/>
          <w:b w:val="0"/>
          <w:i w:val="0"/>
          <w:color w:val="1B2610"/>
          <w:sz w:val="20"/>
        </w:rPr>
        <w:t xml:space="preserve"> (ceremony dates: Kismayo: 23 Sep 2026).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Dates</w:t>
            </w:r>
          </w:p>
        </w:tc>
      </w:tr>
      <w:tr>
        <w:tc>
          <w:tcPr>
            <w:tcW w:type="dxa" w:w="2353"/>
          </w:tcPr>
          <w:p>
            <w:pPr>
              <w:spacing w:after="40"/>
              <w:jc w:val="center"/>
            </w:pPr>
            <w:r>
              <w:rPr>
                <w:rFonts w:ascii="Arial" w:hAnsi="Arial"/>
                <w:b/>
                <w:i w:val="0"/>
                <w:color w:val="55891A"/>
                <w:sz w:val="32"/>
              </w:rPr>
              <w:t>1</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Jubaland</w:t>
            </w:r>
          </w:p>
        </w:tc>
        <w:tc>
          <w:tcPr>
            <w:tcW w:type="dxa" w:w="2353"/>
          </w:tcPr>
          <w:p>
            <w:pPr>
              <w:spacing w:after="40"/>
              <w:jc w:val="center"/>
            </w:pPr>
            <w:r>
              <w:rPr>
                <w:rFonts w:ascii="Arial" w:hAnsi="Arial"/>
                <w:b/>
                <w:i w:val="0"/>
                <w:color w:val="55891A"/>
                <w:sz w:val="22"/>
              </w:rPr>
              <w:t>23 Sep 2026</w:t>
            </w:r>
          </w:p>
        </w:tc>
      </w:tr>
    </w:tbl>
    <w:p/>
    <w:p>
      <w:r>
        <w:rPr>
          <w:rFonts w:ascii="Arial" w:hAnsi="Arial"/>
          <w:b/>
          <w:i w:val="0"/>
          <w:color w:val="1B2610"/>
          <w:sz w:val="20"/>
        </w:rPr>
        <w:t>Services delivered in Jubaland:</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the district.</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in the district.</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the district.</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Kismayo</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for the team, materials and fridges.</w:t>
            </w:r>
          </w:p>
        </w:tc>
        <w:tc>
          <w:tcPr>
            <w:tcW w:type="dxa" w:w="1701"/>
          </w:tcPr>
          <w:p>
            <w:pPr>
              <w:keepNext/>
              <w:spacing w:after="0"/>
            </w:pPr>
            <w:r>
              <w:rPr>
                <w:rFonts w:ascii="Arial" w:hAnsi="Arial"/>
                <w:b w:val="0"/>
                <w:i w:val="0"/>
                <w:color w:val="1B2610"/>
                <w:sz w:val="18"/>
              </w:rPr>
              <w:t>Kismayo</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Links and details are in Annex A.</w:t>
            </w:r>
          </w:p>
        </w:tc>
        <w:tc>
          <w:tcPr>
            <w:tcW w:type="dxa" w:w="1701"/>
          </w:tcPr>
          <w:p>
            <w:pPr>
              <w:spacing w:after="0"/>
            </w:pPr>
            <w:r>
              <w:rPr>
                <w:rFonts w:ascii="Arial" w:hAnsi="Arial"/>
                <w:b w:val="0"/>
                <w:i w:val="0"/>
                <w:color w:val="1B2610"/>
                <w:sz w:val="18"/>
              </w:rPr>
              <w:t>Kismayo</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2041"/>
        <w:gridCol w:w="1701"/>
        <w:gridCol w:w="1247"/>
        <w:gridCol w:w="1474"/>
        <w:gridCol w:w="1134"/>
        <w:gridCol w:w="96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2041"/>
            <w:tcBorders>
              <w:bottom w:val="single" w:sz="12" w:space="0" w:color="55891A"/>
            </w:tcBorders>
          </w:tcPr>
          <w:p>
            <w:pPr>
              <w:keepNext/>
              <w:spacing w:after="0"/>
            </w:pPr>
            <w:r>
              <w:rPr>
                <w:rFonts w:ascii="Arial" w:hAnsi="Arial"/>
                <w:b/>
                <w:i w:val="0"/>
                <w:color w:val="55891A"/>
                <w:sz w:val="17"/>
              </w:rPr>
              <w:t>District</w:t>
            </w:r>
          </w:p>
        </w:tc>
        <w:tc>
          <w:tcPr>
            <w:tcW w:type="dxa" w:w="1701"/>
            <w:tcBorders>
              <w:bottom w:val="single" w:sz="12" w:space="0" w:color="55891A"/>
            </w:tcBorders>
          </w:tcPr>
          <w:p>
            <w:pPr>
              <w:keepNext/>
              <w:spacing w:after="0"/>
            </w:pPr>
            <w:r>
              <w:rPr>
                <w:rFonts w:ascii="Arial" w:hAnsi="Arial"/>
                <w:b/>
                <w:i w:val="0"/>
                <w:color w:val="55891A"/>
                <w:sz w:val="17"/>
              </w:rPr>
              <w:t>Date</w:t>
            </w:r>
          </w:p>
        </w:tc>
        <w:tc>
          <w:tcPr>
            <w:tcW w:type="dxa" w:w="1247"/>
            <w:tcBorders>
              <w:bottom w:val="single" w:sz="12" w:space="0" w:color="55891A"/>
            </w:tcBorders>
          </w:tcPr>
          <w:p>
            <w:pPr>
              <w:keepNext/>
              <w:spacing w:after="0"/>
              <w:jc w:val="center"/>
            </w:pPr>
            <w:r>
              <w:rPr>
                <w:rFonts w:ascii="Arial" w:hAnsi="Arial"/>
                <w:b/>
                <w:i w:val="0"/>
                <w:color w:val="55891A"/>
                <w:sz w:val="17"/>
              </w:rPr>
              <w:t>Families</w:t>
            </w:r>
          </w:p>
        </w:tc>
        <w:tc>
          <w:tcPr>
            <w:tcW w:type="dxa" w:w="1474"/>
            <w:tcBorders>
              <w:bottom w:val="single" w:sz="12" w:space="0" w:color="55891A"/>
            </w:tcBorders>
          </w:tcPr>
          <w:p>
            <w:pPr>
              <w:keepNext/>
              <w:spacing w:after="0"/>
              <w:jc w:val="center"/>
            </w:pPr>
            <w:r>
              <w:rPr>
                <w:rFonts w:ascii="Arial" w:hAnsi="Arial"/>
                <w:b/>
                <w:i w:val="0"/>
                <w:color w:val="55891A"/>
                <w:sz w:val="17"/>
              </w:rPr>
              <w:t>Fridge carrying</w:t>
            </w:r>
          </w:p>
        </w:tc>
        <w:tc>
          <w:tcPr>
            <w:tcW w:type="dxa" w:w="1134"/>
            <w:tcBorders>
              <w:bottom w:val="single" w:sz="12" w:space="0" w:color="55891A"/>
            </w:tcBorders>
          </w:tcPr>
          <w:p>
            <w:pPr>
              <w:keepNext/>
              <w:spacing w:after="0"/>
              <w:jc w:val="center"/>
            </w:pPr>
            <w:r>
              <w:rPr>
                <w:rFonts w:ascii="Arial" w:hAnsi="Arial"/>
                <w:b/>
                <w:i w:val="0"/>
                <w:color w:val="55891A"/>
                <w:sz w:val="17"/>
              </w:rPr>
              <w:t>Transport</w:t>
            </w:r>
          </w:p>
        </w:tc>
        <w:tc>
          <w:tcPr>
            <w:tcW w:type="dxa" w:w="96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2041"/>
          </w:tcPr>
          <w:p>
            <w:pPr>
              <w:keepNext/>
              <w:spacing w:after="0"/>
            </w:pPr>
            <w:r>
              <w:rPr>
                <w:rFonts w:ascii="Arial" w:hAnsi="Arial"/>
                <w:b w:val="0"/>
                <w:i w:val="0"/>
                <w:color w:val="1B2610"/>
                <w:sz w:val="18"/>
              </w:rPr>
              <w:t>Kismayo</w:t>
            </w:r>
          </w:p>
        </w:tc>
        <w:tc>
          <w:tcPr>
            <w:tcW w:type="dxa" w:w="1701"/>
          </w:tcPr>
          <w:p>
            <w:pPr>
              <w:keepNext/>
              <w:spacing w:after="0"/>
            </w:pPr>
            <w:r>
              <w:rPr>
                <w:rFonts w:ascii="Arial" w:hAnsi="Arial"/>
                <w:b w:val="0"/>
                <w:i w:val="0"/>
                <w:color w:val="1B2610"/>
                <w:sz w:val="18"/>
              </w:rPr>
              <w:t>23 Sep 2026</w:t>
            </w:r>
          </w:p>
        </w:tc>
        <w:tc>
          <w:tcPr>
            <w:tcW w:type="dxa" w:w="1247"/>
          </w:tcPr>
          <w:p>
            <w:pPr>
              <w:keepNext/>
              <w:spacing w:after="0"/>
              <w:jc w:val="center"/>
            </w:pPr>
            <w:r>
              <w:rPr>
                <w:rFonts w:ascii="Arial" w:hAnsi="Arial"/>
                <w:b w:val="0"/>
                <w:i w:val="0"/>
                <w:color w:val="1B2610"/>
                <w:sz w:val="18"/>
              </w:rPr>
              <w:t>200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2041"/>
            <w:tcBorders>
              <w:top w:val="single" w:sz="8" w:space="0" w:color="55891A"/>
            </w:tcBorders>
          </w:tcPr>
          <w:p>
            <w:pPr>
              <w:spacing w:after="0"/>
            </w:pPr>
            <w:r>
              <w:rPr>
                <w:rFonts w:ascii="Arial" w:hAnsi="Arial"/>
                <w:b/>
                <w:i w:val="0"/>
                <w:color w:val="1B2610"/>
                <w:sz w:val="18"/>
              </w:rPr>
              <w:t>Total</w:t>
            </w:r>
          </w:p>
        </w:tc>
        <w:tc>
          <w:tcPr>
            <w:tcW w:type="dxa" w:w="1701"/>
            <w:tcBorders>
              <w:top w:val="single" w:sz="8" w:space="0" w:color="55891A"/>
            </w:tcBorders>
          </w:tcPr>
          <w:p>
            <w:pPr>
              <w:spacing w:after="0"/>
            </w:pPr>
            <w:r>
              <w:rPr>
                <w:rFonts w:ascii="Arial" w:hAnsi="Arial"/>
                <w:b/>
                <w:i w:val="0"/>
                <w:color w:val="1B2610"/>
                <w:sz w:val="18"/>
              </w:rPr>
            </w:r>
          </w:p>
        </w:tc>
        <w:tc>
          <w:tcPr>
            <w:tcW w:type="dxa" w:w="1247"/>
            <w:tcBorders>
              <w:top w:val="single" w:sz="8" w:space="0" w:color="55891A"/>
            </w:tcBorders>
          </w:tcPr>
          <w:p>
            <w:pPr>
              <w:spacing w:after="0"/>
              <w:jc w:val="center"/>
            </w:pPr>
            <w:r>
              <w:rPr>
                <w:rFonts w:ascii="Arial" w:hAnsi="Arial"/>
                <w:b/>
                <w:i w:val="0"/>
                <w:color w:val="1B2610"/>
                <w:sz w:val="18"/>
              </w:rPr>
              <w:t>200</w:t>
            </w:r>
          </w:p>
        </w:tc>
        <w:tc>
          <w:tcPr>
            <w:tcW w:type="dxa" w:w="1474"/>
            <w:tcBorders>
              <w:top w:val="single" w:sz="8" w:space="0" w:color="55891A"/>
            </w:tcBorders>
          </w:tcPr>
          <w:p>
            <w:pPr>
              <w:spacing w:after="0"/>
              <w:jc w:val="center"/>
            </w:pPr>
            <w:r>
              <w:rPr>
                <w:rFonts w:ascii="Arial" w:hAnsi="Arial"/>
                <w:b/>
                <w:i w:val="0"/>
                <w:color w:val="1B2610"/>
                <w:sz w:val="18"/>
              </w:rPr>
              <w:t>1</w:t>
            </w:r>
          </w:p>
        </w:tc>
        <w:tc>
          <w:tcPr>
            <w:tcW w:type="dxa" w:w="1134"/>
            <w:tcBorders>
              <w:top w:val="single" w:sz="8" w:space="0" w:color="55891A"/>
            </w:tcBorders>
          </w:tcPr>
          <w:p>
            <w:pPr>
              <w:spacing w:after="0"/>
              <w:jc w:val="center"/>
            </w:pPr>
            <w:r>
              <w:rPr>
                <w:rFonts w:ascii="Arial" w:hAnsi="Arial"/>
                <w:b/>
                <w:i w:val="0"/>
                <w:color w:val="1B2610"/>
                <w:sz w:val="18"/>
              </w:rPr>
              <w:t>1</w:t>
            </w:r>
          </w:p>
        </w:tc>
        <w:tc>
          <w:tcPr>
            <w:tcW w:type="dxa" w:w="964"/>
            <w:tcBorders>
              <w:top w:val="single" w:sz="8" w:space="0" w:color="55891A"/>
            </w:tcBorders>
          </w:tcPr>
          <w:p>
            <w:pPr>
              <w:spacing w:after="0"/>
              <w:jc w:val="center"/>
            </w:pPr>
            <w:r>
              <w:rPr>
                <w:rFonts w:ascii="Arial" w:hAnsi="Arial"/>
                <w:b/>
                <w:i w:val="0"/>
                <w:color w:val="1B2610"/>
                <w:sz w:val="18"/>
              </w:rPr>
              <w:t>1</w:t>
            </w:r>
          </w:p>
        </w:tc>
      </w:tr>
    </w:tbl>
    <w:p>
      <w:pPr>
        <w:spacing w:after="40"/>
      </w:pPr>
    </w:p>
    <w:p>
      <w:pPr>
        <w:pStyle w:val="Heading1"/>
      </w:pPr>
      <w:r>
        <w:t>5. Logistics and Coordination</w:t>
      </w:r>
    </w:p>
    <w:p>
      <w:r>
        <w:rPr>
          <w:rFonts w:ascii="Arial" w:hAnsi="Arial"/>
          <w:b w:val="0"/>
          <w:i w:val="0"/>
          <w:color w:val="1B2610"/>
          <w:sz w:val="20"/>
        </w:rPr>
        <w:t>Each district in Jubaland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Heading2"/>
      </w:pPr>
      <w:r>
        <w:t>5.2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Jubaland;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5.3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the ceremony in Jubaland. Links and details for each district are in Annex A.</w:t>
      </w: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Jubaland,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Submitted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3"/>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4"/>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p>
      <w:r>
        <w:br w:type="page"/>
      </w:r>
    </w:p>
    <w:p>
      <w:pPr>
        <w:pStyle w:val="Heading1"/>
      </w:pPr>
      <w:r>
        <w:t>Annex A: Media Coverage — Jubaland</w:t>
      </w:r>
    </w:p>
    <w:p>
      <w:r>
        <w:rPr>
          <w:rFonts w:ascii="Arial" w:hAnsi="Arial"/>
          <w:b w:val="0"/>
          <w:i w:val="0"/>
          <w:color w:val="1B2610"/>
          <w:sz w:val="20"/>
        </w:rPr>
        <w:t>Photo and video coverage of the ceremonies in Jubaland, by media house, with the city, the channel, the views and the link to each post. Views were checked on 14 October 2026 and will change.</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396"/>
        <w:gridCol w:w="1530"/>
        <w:gridCol w:w="2438"/>
        <w:gridCol w:w="1020"/>
        <w:gridCol w:w="793"/>
        <w:gridCol w:w="2664"/>
      </w:tblGrid>
      <w:tr>
        <w:trPr>
          <w:cantSplit/>
          <w:tblHeader/>
        </w:trPr>
        <w:tc>
          <w:tcPr>
            <w:tcW w:type="dxa" w:w="397"/>
            <w:tcBorders>
              <w:bottom w:val="single" w:sz="12" w:space="0" w:color="55891A"/>
            </w:tcBorders>
          </w:tcPr>
          <w:p>
            <w:pPr>
              <w:keepNext/>
              <w:spacing w:after="0"/>
            </w:pPr>
            <w:r>
              <w:rPr>
                <w:rFonts w:ascii="Arial" w:hAnsi="Arial"/>
                <w:b/>
                <w:i w:val="0"/>
                <w:color w:val="55891A"/>
                <w:sz w:val="17"/>
              </w:rPr>
              <w:t>#</w:t>
            </w:r>
          </w:p>
        </w:tc>
        <w:tc>
          <w:tcPr>
            <w:tcW w:type="dxa" w:w="1531"/>
            <w:tcBorders>
              <w:bottom w:val="single" w:sz="12" w:space="0" w:color="55891A"/>
            </w:tcBorders>
          </w:tcPr>
          <w:p>
            <w:pPr>
              <w:keepNext/>
              <w:spacing w:after="0"/>
            </w:pPr>
            <w:r>
              <w:rPr>
                <w:rFonts w:ascii="Arial" w:hAnsi="Arial"/>
                <w:b/>
                <w:i w:val="0"/>
                <w:color w:val="55891A"/>
                <w:sz w:val="17"/>
              </w:rPr>
              <w:t>City</w:t>
            </w:r>
          </w:p>
        </w:tc>
        <w:tc>
          <w:tcPr>
            <w:tcW w:type="dxa" w:w="2438"/>
            <w:tcBorders>
              <w:bottom w:val="single" w:sz="12" w:space="0" w:color="55891A"/>
            </w:tcBorders>
          </w:tcPr>
          <w:p>
            <w:pPr>
              <w:keepNext/>
              <w:spacing w:after="0"/>
            </w:pPr>
            <w:r>
              <w:rPr>
                <w:rFonts w:ascii="Arial" w:hAnsi="Arial"/>
                <w:b/>
                <w:i w:val="0"/>
                <w:color w:val="55891A"/>
                <w:sz w:val="17"/>
              </w:rPr>
              <w:t>Media house / outlet</w:t>
            </w:r>
          </w:p>
        </w:tc>
        <w:tc>
          <w:tcPr>
            <w:tcW w:type="dxa" w:w="1020"/>
            <w:tcBorders>
              <w:bottom w:val="single" w:sz="12" w:space="0" w:color="55891A"/>
            </w:tcBorders>
          </w:tcPr>
          <w:p>
            <w:pPr>
              <w:keepNext/>
              <w:spacing w:after="0"/>
            </w:pPr>
            <w:r>
              <w:rPr>
                <w:rFonts w:ascii="Arial" w:hAnsi="Arial"/>
                <w:b/>
                <w:i w:val="0"/>
                <w:color w:val="55891A"/>
                <w:sz w:val="17"/>
              </w:rPr>
              <w:t>Channel</w:t>
            </w:r>
          </w:p>
        </w:tc>
        <w:tc>
          <w:tcPr>
            <w:tcW w:type="dxa" w:w="794"/>
            <w:tcBorders>
              <w:bottom w:val="single" w:sz="12" w:space="0" w:color="55891A"/>
            </w:tcBorders>
          </w:tcPr>
          <w:p>
            <w:pPr>
              <w:keepNext/>
              <w:spacing w:after="0"/>
              <w:jc w:val="center"/>
            </w:pPr>
            <w:r>
              <w:rPr>
                <w:rFonts w:ascii="Arial" w:hAnsi="Arial"/>
                <w:b/>
                <w:i w:val="0"/>
                <w:color w:val="55891A"/>
                <w:sz w:val="17"/>
              </w:rPr>
              <w:t>Views</w:t>
            </w:r>
          </w:p>
        </w:tc>
        <w:tc>
          <w:tcPr>
            <w:tcW w:type="dxa" w:w="2665"/>
            <w:tcBorders>
              <w:bottom w:val="single" w:sz="12" w:space="0" w:color="55891A"/>
            </w:tcBorders>
          </w:tcPr>
          <w:p>
            <w:pPr>
              <w:keepNext/>
              <w:spacing w:after="0"/>
            </w:pPr>
            <w:r>
              <w:rPr>
                <w:rFonts w:ascii="Arial" w:hAnsi="Arial"/>
                <w:b/>
                <w:i w:val="0"/>
                <w:color w:val="55891A"/>
                <w:sz w:val="17"/>
              </w:rPr>
              <w:t>Link</w:t>
            </w:r>
          </w:p>
        </w:tc>
      </w:tr>
      <w:tr>
        <w:trPr>
          <w:cantSplit/>
        </w:trPr>
        <w:tc>
          <w:tcPr>
            <w:tcW w:type="dxa" w:w="397"/>
          </w:tcPr>
          <w:p>
            <w:pPr>
              <w:keepNext/>
              <w:spacing w:after="0"/>
            </w:pPr>
            <w:r>
              <w:rPr>
                <w:rFonts w:ascii="Arial" w:hAnsi="Arial"/>
                <w:b w:val="0"/>
                <w:i w:val="0"/>
                <w:color w:val="1B2610"/>
                <w:sz w:val="18"/>
              </w:rPr>
              <w:t>1</w:t>
            </w:r>
          </w:p>
        </w:tc>
        <w:tc>
          <w:tcPr>
            <w:tcW w:type="dxa" w:w="1531"/>
          </w:tcPr>
          <w:p>
            <w:pPr>
              <w:keepNext/>
              <w:spacing w:after="0"/>
            </w:pPr>
            <w:r>
              <w:rPr>
                <w:rFonts w:ascii="Arial" w:hAnsi="Arial"/>
                <w:b w:val="0"/>
                <w:i w:val="0"/>
                <w:color w:val="1B2610"/>
                <w:sz w:val="18"/>
              </w:rPr>
              <w:t>Kismayo</w:t>
            </w:r>
          </w:p>
        </w:tc>
        <w:tc>
          <w:tcPr>
            <w:tcW w:type="dxa" w:w="2438"/>
          </w:tcPr>
          <w:p>
            <w:pPr>
              <w:keepNext/>
              <w:spacing w:after="0"/>
            </w:pPr>
            <w:r>
              <w:rPr>
                <w:rFonts w:ascii="Arial" w:hAnsi="Arial"/>
                <w:b w:val="0"/>
                <w:i w:val="0"/>
                <w:color w:val="1B2610"/>
                <w:sz w:val="18"/>
              </w:rPr>
              <w:t>Radio Kismayo</w:t>
            </w:r>
          </w:p>
        </w:tc>
        <w:tc>
          <w:tcPr>
            <w:tcW w:type="dxa" w:w="1020"/>
          </w:tcPr>
          <w:p>
            <w:pPr>
              <w:keepNext/>
              <w:spacing w:after="0"/>
            </w:pPr>
            <w:r>
              <w:rPr>
                <w:rFonts w:ascii="Arial" w:hAnsi="Arial"/>
                <w:b w:val="0"/>
                <w:i w:val="0"/>
                <w:color w:val="1B2610"/>
                <w:sz w:val="18"/>
              </w:rPr>
              <w:t>Facebook</w:t>
            </w:r>
          </w:p>
        </w:tc>
        <w:tc>
          <w:tcPr>
            <w:tcW w:type="dxa" w:w="794"/>
          </w:tcPr>
          <w:p>
            <w:pPr>
              <w:keepNext/>
              <w:spacing w:after="0"/>
              <w:jc w:val="center"/>
            </w:pPr>
            <w:r>
              <w:rPr>
                <w:rFonts w:ascii="Arial" w:hAnsi="Arial"/>
                <w:b w:val="0"/>
                <w:i w:val="0"/>
                <w:color w:val="1B2610"/>
                <w:sz w:val="18"/>
              </w:rPr>
              <w:t>—</w:t>
            </w:r>
          </w:p>
        </w:tc>
        <w:tc>
          <w:tcPr>
            <w:tcW w:type="dxa" w:w="2665"/>
          </w:tcPr>
          <w:p>
            <w:pPr>
              <w:keepNext/>
              <w:spacing w:after="0"/>
            </w:pPr>
            <w:hyperlink r:id="rId15">
              <w:r>
                <w:rPr>
                  <w:rFonts w:ascii="Arial" w:hAnsi="Arial" w:cs="Arial"/>
                  <w:color w:val="55891A"/>
                  <w:sz w:val="17"/>
                  <w:u w:val="single"/>
                </w:rPr>
                <w:t>facebook.com/share/v/1C1BYiQ3f8/</w:t>
              </w:r>
            </w:hyperlink>
          </w:p>
        </w:tc>
      </w:tr>
      <w:tr>
        <w:trPr>
          <w:cantSplit/>
        </w:trPr>
        <w:tc>
          <w:tcPr>
            <w:tcW w:type="dxa" w:w="397"/>
          </w:tcPr>
          <w:p>
            <w:pPr>
              <w:spacing w:after="0"/>
            </w:pPr>
            <w:r>
              <w:rPr>
                <w:rFonts w:ascii="Arial" w:hAnsi="Arial"/>
                <w:b w:val="0"/>
                <w:i w:val="0"/>
                <w:color w:val="1B2610"/>
                <w:sz w:val="18"/>
              </w:rPr>
              <w:t>2</w:t>
            </w:r>
          </w:p>
        </w:tc>
        <w:tc>
          <w:tcPr>
            <w:tcW w:type="dxa" w:w="1531"/>
          </w:tcPr>
          <w:p>
            <w:pPr>
              <w:spacing w:after="0"/>
            </w:pPr>
            <w:r>
              <w:rPr>
                <w:rFonts w:ascii="Arial" w:hAnsi="Arial"/>
                <w:b w:val="0"/>
                <w:i w:val="0"/>
                <w:color w:val="1B2610"/>
                <w:sz w:val="18"/>
              </w:rPr>
              <w:t>Kismayo</w:t>
            </w:r>
          </w:p>
        </w:tc>
        <w:tc>
          <w:tcPr>
            <w:tcW w:type="dxa" w:w="2438"/>
          </w:tcPr>
          <w:p>
            <w:pPr>
              <w:spacing w:after="0"/>
            </w:pPr>
            <w:r>
              <w:rPr>
                <w:rFonts w:ascii="Arial" w:hAnsi="Arial"/>
                <w:b w:val="0"/>
                <w:i w:val="0"/>
                <w:color w:val="1B2610"/>
                <w:sz w:val="18"/>
              </w:rPr>
              <w:t>Jubbaland TV</w:t>
            </w:r>
          </w:p>
        </w:tc>
        <w:tc>
          <w:tcPr>
            <w:tcW w:type="dxa" w:w="1020"/>
          </w:tcPr>
          <w:p>
            <w:pPr>
              <w:spacing w:after="0"/>
            </w:pPr>
            <w:r>
              <w:rPr>
                <w:rFonts w:ascii="Arial" w:hAnsi="Arial"/>
                <w:b w:val="0"/>
                <w:i w:val="0"/>
                <w:color w:val="1B2610"/>
                <w:sz w:val="18"/>
              </w:rPr>
              <w:t>Facebook</w:t>
            </w:r>
          </w:p>
        </w:tc>
        <w:tc>
          <w:tcPr>
            <w:tcW w:type="dxa" w:w="794"/>
          </w:tcPr>
          <w:p>
            <w:pPr>
              <w:spacing w:after="0"/>
              <w:jc w:val="center"/>
            </w:pPr>
            <w:r>
              <w:rPr>
                <w:rFonts w:ascii="Arial" w:hAnsi="Arial"/>
                <w:b w:val="0"/>
                <w:i w:val="0"/>
                <w:color w:val="1B2610"/>
                <w:sz w:val="18"/>
              </w:rPr>
              <w:t>—</w:t>
            </w:r>
          </w:p>
        </w:tc>
        <w:tc>
          <w:tcPr>
            <w:tcW w:type="dxa" w:w="2665"/>
          </w:tcPr>
          <w:p>
            <w:pPr>
              <w:spacing w:after="0"/>
            </w:pPr>
            <w:hyperlink r:id="rId16">
              <w:r>
                <w:rPr>
                  <w:rFonts w:ascii="Arial" w:hAnsi="Arial" w:cs="Arial"/>
                  <w:color w:val="55891A"/>
                  <w:sz w:val="17"/>
                  <w:u w:val="single"/>
                </w:rPr>
                <w:t>facebook.com/share/v/1P8MVcn4z6/</w:t>
              </w:r>
            </w:hyperlink>
          </w:p>
        </w:tc>
      </w:tr>
    </w:tbl>
    <w:p>
      <w:pPr>
        <w:spacing w:after="40"/>
      </w:pPr>
    </w:p>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Jubaland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JUBALAND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www.facebook.com/share/v/1C1BYiQ3f8/" TargetMode="External"/><Relationship Id="rId16" Type="http://schemas.openxmlformats.org/officeDocument/2006/relationships/hyperlink" Target="https://www.facebook.com/share/v/1P8MVcn4z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