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6F7FB">
      <w:pPr>
        <w:jc w:val="center"/>
      </w:pPr>
      <w:r>
        <w:rPr>
          <w:lang w:val="en-US" w:eastAsia="en-US"/>
        </w:rPr>
        <w:drawing>
          <wp:inline distT="0" distB="0" distL="0" distR="0">
            <wp:extent cx="2526665" cy="7435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l="-8" t="-26" r="-8" b="-26"/>
                    <a:stretch>
                      <a:fillRect/>
                    </a:stretch>
                  </pic:blipFill>
                  <pic:spPr>
                    <a:xfrm>
                      <a:off x="0" y="0"/>
                      <a:ext cx="2526665" cy="743585"/>
                    </a:xfrm>
                    <a:prstGeom prst="rect">
                      <a:avLst/>
                    </a:prstGeom>
                  </pic:spPr>
                </pic:pic>
              </a:graphicData>
            </a:graphic>
          </wp:inline>
        </w:drawing>
      </w:r>
    </w:p>
    <w:p w14:paraId="1E538830">
      <w:pPr>
        <w:jc w:val="center"/>
        <w:rPr>
          <w:rFonts w:ascii="黑体;SimHei" w:hAnsi="黑体;SimHei" w:eastAsia="黑体;SimHei" w:cs="黑体;SimHei"/>
          <w:b/>
          <w:spacing w:val="32"/>
          <w:sz w:val="52"/>
          <w:szCs w:val="52"/>
        </w:rPr>
      </w:pPr>
      <w:r>
        <w:rPr>
          <w:rFonts w:ascii="黑体;SimHei" w:hAnsi="黑体;SimHei" w:eastAsia="黑体;SimHei" w:cs="黑体;SimHei"/>
          <w:b/>
          <w:spacing w:val="32"/>
          <w:sz w:val="52"/>
          <w:szCs w:val="52"/>
        </w:rPr>
        <w:t>本科毕业设计开题报告</w:t>
      </w:r>
    </w:p>
    <w:p w14:paraId="5E39438C">
      <w:pPr>
        <w:tabs>
          <w:tab w:val="left" w:pos="7560"/>
        </w:tabs>
        <w:ind w:right="384"/>
        <w:rPr>
          <w:rFonts w:ascii="黑体;SimHei" w:hAnsi="黑体;SimHei" w:eastAsia="黑体;SimHei" w:cs="黑体;SimHei"/>
          <w:b/>
          <w:spacing w:val="32"/>
          <w:sz w:val="32"/>
          <w:szCs w:val="52"/>
        </w:rPr>
      </w:pPr>
    </w:p>
    <w:p w14:paraId="44BA9848">
      <w:pPr>
        <w:tabs>
          <w:tab w:val="left" w:pos="7560"/>
        </w:tabs>
        <w:ind w:right="384"/>
        <w:rPr>
          <w:b/>
          <w:sz w:val="32"/>
        </w:rPr>
      </w:pPr>
    </w:p>
    <w:tbl>
      <w:tblPr>
        <w:tblStyle w:val="3"/>
        <w:tblW w:w="8296" w:type="dxa"/>
        <w:tblInd w:w="0" w:type="dxa"/>
        <w:tblLayout w:type="fixed"/>
        <w:tblCellMar>
          <w:top w:w="0" w:type="dxa"/>
          <w:left w:w="108" w:type="dxa"/>
          <w:bottom w:w="0" w:type="dxa"/>
          <w:right w:w="108" w:type="dxa"/>
        </w:tblCellMar>
      </w:tblPr>
      <w:tblGrid>
        <w:gridCol w:w="2835"/>
        <w:gridCol w:w="5461"/>
      </w:tblGrid>
      <w:tr w14:paraId="50268BC6">
        <w:tblPrEx>
          <w:tblCellMar>
            <w:top w:w="0" w:type="dxa"/>
            <w:left w:w="108" w:type="dxa"/>
            <w:bottom w:w="0" w:type="dxa"/>
            <w:right w:w="108" w:type="dxa"/>
          </w:tblCellMar>
        </w:tblPrEx>
        <w:tc>
          <w:tcPr>
            <w:tcW w:w="2835" w:type="dxa"/>
          </w:tcPr>
          <w:p w14:paraId="1044F033">
            <w:pPr>
              <w:tabs>
                <w:tab w:val="left" w:pos="7560"/>
              </w:tabs>
              <w:ind w:right="384"/>
              <w:jc w:val="center"/>
              <w:rPr>
                <w:sz w:val="28"/>
              </w:rPr>
            </w:pPr>
            <w:r>
              <w:rPr>
                <w:rFonts w:ascii="宋体;SimSun" w:hAnsi="宋体;SimSun" w:cs="宋体;SimSun"/>
                <w:sz w:val="36"/>
                <w:szCs w:val="36"/>
              </w:rPr>
              <w:t>毕业设计</w:t>
            </w:r>
          </w:p>
        </w:tc>
        <w:tc>
          <w:tcPr>
            <w:tcW w:w="5461" w:type="dxa"/>
            <w:tcBorders>
              <w:bottom w:val="single" w:color="000000" w:sz="4" w:space="0"/>
            </w:tcBorders>
          </w:tcPr>
          <w:p w14:paraId="437694AA"/>
        </w:tc>
      </w:tr>
      <w:tr w14:paraId="21C1978D">
        <w:tblPrEx>
          <w:tblCellMar>
            <w:top w:w="0" w:type="dxa"/>
            <w:left w:w="108" w:type="dxa"/>
            <w:bottom w:w="0" w:type="dxa"/>
            <w:right w:w="108" w:type="dxa"/>
          </w:tblCellMar>
        </w:tblPrEx>
        <w:tc>
          <w:tcPr>
            <w:tcW w:w="2835" w:type="dxa"/>
          </w:tcPr>
          <w:p w14:paraId="728F9A36">
            <w:pPr>
              <w:tabs>
                <w:tab w:val="left" w:pos="7560"/>
              </w:tabs>
              <w:ind w:right="384"/>
              <w:jc w:val="center"/>
              <w:rPr>
                <w:rFonts w:ascii="宋体;SimSun" w:hAnsi="宋体;SimSun" w:cs="宋体;SimSun"/>
                <w:sz w:val="36"/>
                <w:szCs w:val="36"/>
              </w:rPr>
            </w:pPr>
            <w:r>
              <w:rPr>
                <w:rFonts w:ascii="宋体;SimSun" w:hAnsi="宋体;SimSun" w:cs="宋体;SimSun"/>
                <w:sz w:val="36"/>
                <w:szCs w:val="36"/>
              </w:rPr>
              <w:t>题目</w:t>
            </w:r>
          </w:p>
        </w:tc>
        <w:tc>
          <w:tcPr>
            <w:tcW w:w="5461" w:type="dxa"/>
            <w:tcBorders>
              <w:top w:val="single" w:color="000000" w:sz="4" w:space="0"/>
              <w:bottom w:val="single" w:color="000000" w:sz="4" w:space="0"/>
            </w:tcBorders>
          </w:tcPr>
          <w:p w14:paraId="0B76103E">
            <w:r>
              <w:t>面向光伏自消纳的 AI 数据中心冷却-蓄冷-算力联合优化系统设计</w:t>
            </w:r>
          </w:p>
        </w:tc>
      </w:tr>
    </w:tbl>
    <w:p w14:paraId="7BA19B9E">
      <w:pPr>
        <w:tabs>
          <w:tab w:val="left" w:pos="7560"/>
        </w:tabs>
        <w:ind w:left="540" w:right="384"/>
        <w:rPr>
          <w:sz w:val="28"/>
        </w:rPr>
      </w:pPr>
    </w:p>
    <w:p w14:paraId="708D10F7">
      <w:pPr>
        <w:tabs>
          <w:tab w:val="left" w:pos="7560"/>
        </w:tabs>
        <w:ind w:left="540" w:right="384"/>
        <w:rPr>
          <w:sz w:val="28"/>
        </w:rPr>
      </w:pPr>
    </w:p>
    <w:p w14:paraId="36C171C1">
      <w:pPr>
        <w:tabs>
          <w:tab w:val="left" w:pos="7560"/>
        </w:tabs>
        <w:ind w:left="540" w:right="384"/>
        <w:rPr>
          <w:sz w:val="28"/>
        </w:rPr>
      </w:pPr>
    </w:p>
    <w:tbl>
      <w:tblPr>
        <w:tblStyle w:val="3"/>
        <w:tblW w:w="6487" w:type="dxa"/>
        <w:jc w:val="center"/>
        <w:tblLayout w:type="fixed"/>
        <w:tblCellMar>
          <w:top w:w="0" w:type="dxa"/>
          <w:left w:w="108" w:type="dxa"/>
          <w:bottom w:w="0" w:type="dxa"/>
          <w:right w:w="108" w:type="dxa"/>
        </w:tblCellMar>
      </w:tblPr>
      <w:tblGrid>
        <w:gridCol w:w="2127"/>
        <w:gridCol w:w="4360"/>
      </w:tblGrid>
      <w:tr w14:paraId="6323EC30">
        <w:tblPrEx>
          <w:tblCellMar>
            <w:top w:w="0" w:type="dxa"/>
            <w:left w:w="108" w:type="dxa"/>
            <w:bottom w:w="0" w:type="dxa"/>
            <w:right w:w="108" w:type="dxa"/>
          </w:tblCellMar>
        </w:tblPrEx>
        <w:trPr>
          <w:jc w:val="center"/>
        </w:trPr>
        <w:tc>
          <w:tcPr>
            <w:tcW w:w="2127" w:type="dxa"/>
          </w:tcPr>
          <w:p w14:paraId="680E59A2">
            <w:pPr>
              <w:jc w:val="left"/>
              <w:rPr>
                <w:rFonts w:ascii="宋体;SimSun" w:hAnsi="宋体;SimSun" w:cs="宋体;SimSun"/>
                <w:sz w:val="36"/>
                <w:szCs w:val="36"/>
              </w:rPr>
            </w:pPr>
            <w:r>
              <w:rPr>
                <w:rFonts w:ascii="宋体;SimSun" w:hAnsi="宋体;SimSun" w:cs="宋体;SimSun"/>
                <w:sz w:val="36"/>
                <w:szCs w:val="36"/>
              </w:rPr>
              <w:t>学    号：</w:t>
            </w:r>
          </w:p>
        </w:tc>
        <w:tc>
          <w:tcPr>
            <w:tcW w:w="4360" w:type="dxa"/>
            <w:tcBorders>
              <w:bottom w:val="single" w:color="000000" w:sz="4" w:space="0"/>
            </w:tcBorders>
          </w:tcPr>
          <w:p w14:paraId="3E5ECE50">
            <w:r>
              <w:t>03022412</w:t>
            </w:r>
          </w:p>
        </w:tc>
      </w:tr>
      <w:tr w14:paraId="75ED8C23">
        <w:tblPrEx>
          <w:tblCellMar>
            <w:top w:w="0" w:type="dxa"/>
            <w:left w:w="108" w:type="dxa"/>
            <w:bottom w:w="0" w:type="dxa"/>
            <w:right w:w="108" w:type="dxa"/>
          </w:tblCellMar>
        </w:tblPrEx>
        <w:trPr>
          <w:jc w:val="center"/>
        </w:trPr>
        <w:tc>
          <w:tcPr>
            <w:tcW w:w="2127" w:type="dxa"/>
          </w:tcPr>
          <w:p w14:paraId="197A0FA7">
            <w:pPr>
              <w:jc w:val="left"/>
              <w:rPr>
                <w:rFonts w:ascii="宋体;SimSun" w:hAnsi="宋体;SimSun" w:cs="宋体;SimSun"/>
                <w:sz w:val="36"/>
                <w:szCs w:val="36"/>
              </w:rPr>
            </w:pPr>
            <w:r>
              <w:rPr>
                <w:rFonts w:ascii="宋体;SimSun" w:hAnsi="宋体;SimSun" w:cs="宋体;SimSun"/>
                <w:sz w:val="36"/>
                <w:szCs w:val="36"/>
              </w:rPr>
              <w:t>姓    名：</w:t>
            </w:r>
          </w:p>
        </w:tc>
        <w:tc>
          <w:tcPr>
            <w:tcW w:w="4360" w:type="dxa"/>
            <w:tcBorders>
              <w:top w:val="single" w:color="000000" w:sz="4" w:space="0"/>
              <w:bottom w:val="single" w:color="000000" w:sz="4" w:space="0"/>
            </w:tcBorders>
          </w:tcPr>
          <w:p w14:paraId="41C2FE04">
            <w:r>
              <w:t>谢子恒</w:t>
            </w:r>
          </w:p>
        </w:tc>
      </w:tr>
      <w:tr w14:paraId="45EDAAD5">
        <w:tblPrEx>
          <w:tblCellMar>
            <w:top w:w="0" w:type="dxa"/>
            <w:left w:w="108" w:type="dxa"/>
            <w:bottom w:w="0" w:type="dxa"/>
            <w:right w:w="108" w:type="dxa"/>
          </w:tblCellMar>
        </w:tblPrEx>
        <w:trPr>
          <w:jc w:val="center"/>
        </w:trPr>
        <w:tc>
          <w:tcPr>
            <w:tcW w:w="2127" w:type="dxa"/>
          </w:tcPr>
          <w:p w14:paraId="7D88318C">
            <w:pPr>
              <w:jc w:val="left"/>
              <w:rPr>
                <w:rFonts w:ascii="宋体;SimSun" w:hAnsi="宋体;SimSun" w:cs="宋体;SimSun"/>
                <w:sz w:val="36"/>
                <w:szCs w:val="36"/>
              </w:rPr>
            </w:pPr>
            <w:r>
              <w:rPr>
                <w:rFonts w:ascii="宋体;SimSun" w:hAnsi="宋体;SimSun" w:cs="宋体;SimSun"/>
                <w:sz w:val="36"/>
                <w:szCs w:val="36"/>
              </w:rPr>
              <w:t>学    院：</w:t>
            </w:r>
          </w:p>
        </w:tc>
        <w:tc>
          <w:tcPr>
            <w:tcW w:w="4360" w:type="dxa"/>
            <w:tcBorders>
              <w:top w:val="single" w:color="000000" w:sz="4" w:space="0"/>
              <w:bottom w:val="single" w:color="000000" w:sz="4" w:space="0"/>
            </w:tcBorders>
          </w:tcPr>
          <w:p w14:paraId="351A27E5">
            <w:r>
              <w:t>能源与环境学院</w:t>
            </w:r>
          </w:p>
        </w:tc>
      </w:tr>
      <w:tr w14:paraId="4C1E8C7F">
        <w:tblPrEx>
          <w:tblCellMar>
            <w:top w:w="0" w:type="dxa"/>
            <w:left w:w="108" w:type="dxa"/>
            <w:bottom w:w="0" w:type="dxa"/>
            <w:right w:w="108" w:type="dxa"/>
          </w:tblCellMar>
        </w:tblPrEx>
        <w:trPr>
          <w:jc w:val="center"/>
        </w:trPr>
        <w:tc>
          <w:tcPr>
            <w:tcW w:w="2127" w:type="dxa"/>
          </w:tcPr>
          <w:p w14:paraId="3F3411CB">
            <w:pPr>
              <w:jc w:val="left"/>
              <w:rPr>
                <w:rFonts w:ascii="宋体;SimSun" w:hAnsi="宋体;SimSun" w:cs="宋体;SimSun"/>
                <w:sz w:val="36"/>
                <w:szCs w:val="36"/>
              </w:rPr>
            </w:pPr>
            <w:r>
              <w:rPr>
                <w:rFonts w:ascii="宋体;SimSun" w:hAnsi="宋体;SimSun" w:cs="宋体;SimSun"/>
                <w:sz w:val="36"/>
                <w:szCs w:val="36"/>
              </w:rPr>
              <w:t>专    业：</w:t>
            </w:r>
          </w:p>
        </w:tc>
        <w:tc>
          <w:tcPr>
            <w:tcW w:w="4360" w:type="dxa"/>
            <w:tcBorders>
              <w:top w:val="single" w:color="000000" w:sz="4" w:space="0"/>
              <w:bottom w:val="single" w:color="000000" w:sz="4" w:space="0"/>
            </w:tcBorders>
          </w:tcPr>
          <w:p w14:paraId="7BA7EEBC">
            <w:r>
              <w:t>能源与动力工程</w:t>
            </w:r>
          </w:p>
        </w:tc>
      </w:tr>
      <w:tr w14:paraId="29283C34">
        <w:tblPrEx>
          <w:tblCellMar>
            <w:top w:w="0" w:type="dxa"/>
            <w:left w:w="108" w:type="dxa"/>
            <w:bottom w:w="0" w:type="dxa"/>
            <w:right w:w="108" w:type="dxa"/>
          </w:tblCellMar>
        </w:tblPrEx>
        <w:trPr>
          <w:jc w:val="center"/>
        </w:trPr>
        <w:tc>
          <w:tcPr>
            <w:tcW w:w="2127" w:type="dxa"/>
          </w:tcPr>
          <w:p w14:paraId="7DC5CEF5">
            <w:pPr>
              <w:jc w:val="left"/>
              <w:rPr>
                <w:rFonts w:ascii="宋体;SimSun" w:hAnsi="宋体;SimSun" w:cs="宋体;SimSun"/>
                <w:sz w:val="36"/>
                <w:szCs w:val="36"/>
              </w:rPr>
            </w:pPr>
            <w:r>
              <w:rPr>
                <w:rFonts w:ascii="宋体;SimSun" w:hAnsi="宋体;SimSun" w:cs="宋体;SimSun"/>
                <w:sz w:val="36"/>
                <w:szCs w:val="36"/>
              </w:rPr>
              <w:t>指导教师：</w:t>
            </w:r>
          </w:p>
        </w:tc>
        <w:tc>
          <w:tcPr>
            <w:tcW w:w="4360" w:type="dxa"/>
            <w:tcBorders>
              <w:top w:val="single" w:color="000000" w:sz="4" w:space="0"/>
              <w:bottom w:val="single" w:color="000000" w:sz="4" w:space="0"/>
            </w:tcBorders>
          </w:tcPr>
          <w:p w14:paraId="695638D7">
            <w:r>
              <w:t>刘沁雯</w:t>
            </w:r>
          </w:p>
        </w:tc>
      </w:tr>
      <w:tr w14:paraId="3F28B909">
        <w:tblPrEx>
          <w:tblCellMar>
            <w:top w:w="0" w:type="dxa"/>
            <w:left w:w="108" w:type="dxa"/>
            <w:bottom w:w="0" w:type="dxa"/>
            <w:right w:w="108" w:type="dxa"/>
          </w:tblCellMar>
        </w:tblPrEx>
        <w:trPr>
          <w:jc w:val="center"/>
        </w:trPr>
        <w:tc>
          <w:tcPr>
            <w:tcW w:w="2127" w:type="dxa"/>
          </w:tcPr>
          <w:p w14:paraId="66E41345">
            <w:pPr>
              <w:jc w:val="left"/>
              <w:rPr>
                <w:rFonts w:ascii="宋体;SimSun" w:hAnsi="宋体;SimSun" w:cs="宋体;SimSun"/>
                <w:sz w:val="36"/>
                <w:szCs w:val="36"/>
              </w:rPr>
            </w:pPr>
            <w:r>
              <w:rPr>
                <w:rFonts w:ascii="宋体;SimSun" w:hAnsi="宋体;SimSun" w:cs="宋体;SimSun"/>
                <w:sz w:val="36"/>
                <w:szCs w:val="36"/>
              </w:rPr>
              <w:t>开题日期：</w:t>
            </w:r>
          </w:p>
        </w:tc>
        <w:tc>
          <w:tcPr>
            <w:tcW w:w="4360" w:type="dxa"/>
            <w:tcBorders>
              <w:top w:val="single" w:color="000000" w:sz="4" w:space="0"/>
              <w:bottom w:val="single" w:color="000000" w:sz="4" w:space="0"/>
            </w:tcBorders>
          </w:tcPr>
          <w:p w14:paraId="18BF0627">
            <w:r>
              <w:t>2026 03 11</w:t>
            </w:r>
          </w:p>
        </w:tc>
      </w:tr>
    </w:tbl>
    <w:p w14:paraId="01E08C08"/>
    <w:p w14:paraId="60F9580E"/>
    <w:p w14:paraId="767A4E05"/>
    <w:p w14:paraId="6F06B97F"/>
    <w:p w14:paraId="68841094"/>
    <w:p w14:paraId="3018B562"/>
    <w:p w14:paraId="1095368F"/>
    <w:p w14:paraId="0D8955E5"/>
    <w:tbl>
      <w:tblPr>
        <w:tblStyle w:val="3"/>
        <w:tblW w:w="8640" w:type="dxa"/>
        <w:tblInd w:w="-72" w:type="dxa"/>
        <w:tblLayout w:type="fixed"/>
        <w:tblCellMar>
          <w:top w:w="0" w:type="dxa"/>
          <w:left w:w="108" w:type="dxa"/>
          <w:bottom w:w="0" w:type="dxa"/>
          <w:right w:w="108" w:type="dxa"/>
        </w:tblCellMar>
      </w:tblPr>
      <w:tblGrid>
        <w:gridCol w:w="8640"/>
      </w:tblGrid>
      <w:tr w14:paraId="274BD020">
        <w:tblPrEx>
          <w:tblCellMar>
            <w:top w:w="0" w:type="dxa"/>
            <w:left w:w="108" w:type="dxa"/>
            <w:bottom w:w="0" w:type="dxa"/>
            <w:right w:w="108" w:type="dxa"/>
          </w:tblCellMar>
        </w:tblPrEx>
        <w:trPr>
          <w:trHeight w:val="6156" w:hRule="atLeast"/>
        </w:trPr>
        <w:tc>
          <w:tcPr>
            <w:tcW w:w="8640" w:type="dxa"/>
            <w:tcBorders>
              <w:top w:val="single" w:color="000000" w:sz="4" w:space="0"/>
              <w:left w:val="single" w:color="000000" w:sz="4" w:space="0"/>
              <w:bottom w:val="single" w:color="000000" w:sz="4" w:space="0"/>
              <w:right w:val="single" w:color="000000" w:sz="4" w:space="0"/>
            </w:tcBorders>
          </w:tcPr>
          <w:p w14:paraId="0081044D">
            <w:r>
              <w:t>1. 选题背景和意义:</w:t>
            </w:r>
          </w:p>
          <w:p w14:paraId="77930850"/>
          <w:p w14:paraId="32D16AC5">
            <w:r>
              <w:t>(1) 数据中心能耗现状</w:t>
            </w:r>
          </w:p>
          <w:p w14:paraId="10FDE58E">
            <w:r>
              <w:t>数据中心已成为数字经济和人工智能发展的关键基础设施，其电力需求正在从“稳定增长”转向“加速扩张”。生成式AI推动GPU和高带宽存储设备的大规模部署，使AI数据中心的功率密度和冷却需求显著高于传统CPU型数据中心</w:t>
            </w:r>
            <w:r>
              <w:rPr>
                <w:sz w:val="18"/>
                <w:vertAlign w:val="superscript"/>
              </w:rPr>
              <w:t>[1]</w:t>
            </w:r>
            <w:r>
              <w:t>。Chen指出，在美国，到2028年AI服务器年耗电量可能超过300 TWh，已接近部分国家或大型工业部门的年用电规模</w:t>
            </w:r>
            <w:r>
              <w:rPr>
                <w:sz w:val="18"/>
                <w:vertAlign w:val="superscript"/>
              </w:rPr>
              <w:t>[2]</w:t>
            </w:r>
            <w:r>
              <w:t>。国际能源署进一步估计，2022年全球数据中心用电约为240-340 TWh，到2026年可能增长至620-1050 TWh，几乎翻倍</w:t>
            </w:r>
            <w:r>
              <w:rPr>
                <w:sz w:val="18"/>
                <w:vertAlign w:val="superscript"/>
              </w:rPr>
              <w:t>[3]</w:t>
            </w:r>
            <w:r>
              <w:t>。</w:t>
            </w:r>
          </w:p>
          <w:p w14:paraId="2219D0CB"/>
          <w:p w14:paraId="1045514E">
            <w:r>
              <w:t>在数据中心内部，冷却系统是仅次于IT设备本体的主要能耗来源。Dayarathna等指出，典型数据中心总能耗中，IT设备约占50%，冷却系统约占40%，其余部分来自供配电损耗和照明等辅助设施</w:t>
            </w:r>
            <w:r>
              <w:rPr>
                <w:sz w:val="18"/>
                <w:vertAlign w:val="superscript"/>
              </w:rPr>
              <w:t>[4]</w:t>
            </w:r>
            <w:r>
              <w:t>。因此，若只关注服务器芯片效率提升，而忽略冷却侧的系统优化，整体节能空间将受到明显限制。Masanet等指出，尽管全球数据中心PUE在过去十余年持续改善，但这类效率改进已难以完全对冲总能耗增长</w:t>
            </w:r>
            <w:r>
              <w:rPr>
                <w:sz w:val="18"/>
                <w:vertAlign w:val="superscript"/>
              </w:rPr>
              <w:t>[5]</w:t>
            </w:r>
            <w:r>
              <w:t>。这意味着，数据中心冷却系统优化不再只是机房运维问题，而是决定算力基础设施可持续性的核心问题之一。</w:t>
            </w:r>
          </w:p>
          <w:p w14:paraId="0156B4DD">
            <w:r>
              <w:t>(2) 中国数据中心现状与指导政策</w:t>
            </w:r>
          </w:p>
          <w:p w14:paraId="199F8DE9">
            <w:r>
              <w:t>1. 相关研究文献</w:t>
            </w:r>
          </w:p>
          <w:p w14:paraId="6DE8AC01">
            <w:r>
              <w:t>从国内情况看，数据中心已成为我国用能增速较快的新型基础设施领域。中国信息通信研究院在《中国绿色算力发展研究报告（2024年）》中指出，截至2023年底，我国数据中心在用标准机架约810万架，总耗电量约1500亿千瓦时，约占全社会用电量的1.6%，全国数据中心平均PUE约为1.48</w:t>
            </w:r>
            <w:r>
              <w:rPr>
                <w:sz w:val="18"/>
                <w:vertAlign w:val="superscript"/>
              </w:rPr>
              <w:t>[6]</w:t>
            </w:r>
            <w:r>
              <w:t>。该报告同时指出，西部国家算力枢纽节点正在依托风光资源优势推进算能协同，积极探索绿电直供等模式。这说明，我国数据中心发展已从单纯追求规模扩张，转向同时重视能效、碳效和可再生能源消纳能力的阶段。</w:t>
            </w:r>
          </w:p>
          <w:p w14:paraId="2719FCD5">
            <w:r>
              <w:t>2. 国家发改委相关指导文件</w:t>
            </w:r>
          </w:p>
          <w:p w14:paraId="04C0A836">
            <w:r>
              <w:t>国家层面的政策导向进一步强化了这一判断。2024年发布的《数据中心绿色低碳发展专项行动计划》明确提出，到2025年底，全国数据中心平均电能利用效率降至1.5以下，可再生能源利用率年均增长10%；新建及改扩建大型和超大型数据中心PUE降至1.25以内，国家枢纽节点项目PUE不得高于1.2，并提出鼓励数据中心通过绿电绿证交易、绿电直供等方式提高可再生能源利用率</w:t>
            </w:r>
            <w:r>
              <w:rPr>
                <w:sz w:val="18"/>
                <w:vertAlign w:val="superscript"/>
              </w:rPr>
              <w:t>[7]</w:t>
            </w:r>
            <w:r>
              <w:t>。同年发布的《加快构建新型电力系统行动方案（2024-2027年）》又进一步提出实施一批“算力与电力协同项目”，探索新能源就近供电、聚合交易和就地消纳的“绿电聚合供应”模式，提升数据中心绿电占比并降低电网保障容量需求</w:t>
            </w:r>
            <w:r>
              <w:rPr>
                <w:sz w:val="18"/>
                <w:vertAlign w:val="superscript"/>
              </w:rPr>
              <w:t>[8]</w:t>
            </w:r>
            <w:r>
              <w:t>。这说明，数据中心绿电消纳已不是企业内部节能选项，而是被纳入国家算力布局、电力系统建设和双碳战略的协同议题。</w:t>
            </w:r>
          </w:p>
          <w:p w14:paraId="2D675824">
            <w:r>
              <w:t>3. 国内现状总结</w:t>
            </w:r>
          </w:p>
          <w:p w14:paraId="14E09CBD">
            <w:r>
              <w:t>综合来看，我国数据中心一方面面临规模持续扩张、能耗持续增长、区域能效差异明显等现实压力，另一方面也处于政策强力引导的绿色转型窗口期。尤其是在“东数西算”、国家枢纽节点建设和新型电力系统加快推进的背景下，如何将数据中心负荷特性、冷却系统设计与绿电消纳机制协同起来，已经成为同时具有工程价值和政策相关性的研究问题。</w:t>
            </w:r>
          </w:p>
          <w:p w14:paraId="2251F0B0"/>
          <w:p w14:paraId="3EFB326D">
            <w:r>
              <w:t>(3) 问题背景</w:t>
            </w:r>
          </w:p>
          <w:p w14:paraId="1D6479C3"/>
          <w:p w14:paraId="3A6DE480">
            <w:r>
              <w:t>1. 数据中心能源系统简介</w:t>
            </w:r>
          </w:p>
          <w:p w14:paraId="55DEB051">
            <w:r>
              <w:t>从第一性原理看，数据中心能源系统的目标不是“消耗电能”本身，而是为IT设备持续提供满足约束条件的计算环境，其中最关键的环境服务之一就是冷量。Dayarathna等将数据中心描述为由IT负荷、供配电设备和冷却基础设施共同构成的综合能量系统</w:t>
            </w:r>
            <w:r>
              <w:rPr>
                <w:sz w:val="18"/>
                <w:vertAlign w:val="superscript"/>
              </w:rPr>
              <w:t>[4]</w:t>
            </w:r>
            <w:r>
              <w:t>。Sun等给出的原型模型进一步展示了冷机、冷却塔、泵组和末端空调在这一系统中的耦合关系</w:t>
            </w:r>
            <w:r>
              <w:rPr>
                <w:sz w:val="18"/>
                <w:vertAlign w:val="superscript"/>
              </w:rPr>
              <w:t>[9]</w:t>
            </w:r>
            <w:r>
              <w:t>。因此，当研究对象的最终服务需求是冷量时，直接储存冷量往往比“先将电储存起来，再用电驱动制冷机生产冷量”更接近服务目标本身的能量链条。</w:t>
            </w:r>
          </w:p>
          <w:p w14:paraId="3AC5D1B2"/>
          <w:p w14:paraId="6753239D">
            <w:r>
              <w:t>这一判断并不意味着蓄冷在所有场景下都绝对优于储电，而是说明在以制冷为主目标的应用中，热储能具有明确的物理合理性和潜在经济性。Luerssen等针对热带地区光伏驱动制冷场景的研究表明，蓄冷系统虽然可能带来一定的冷机效率损失，但其平准化储能成本通常低于电池储能，尤其适合服务对象本身就是冷负荷、且需要较大时间移位的场景</w:t>
            </w:r>
            <w:r>
              <w:rPr>
                <w:sz w:val="18"/>
                <w:vertAlign w:val="superscript"/>
              </w:rPr>
              <w:t>[10]</w:t>
            </w:r>
            <w:r>
              <w:t>。将这一逻辑放到数据中心中，蓄冷水罐的价值不只是“多一个储能设备”，而是把冷却系统从即时供冷结构扩展为可跨时段调节的热惯性系统，从而为削峰填谷、消纳光伏和降低冷机启停波动提供物理基础。这正是本课题研究数据中心冷却-蓄冷联合系统设计的必要性所在。</w:t>
            </w:r>
          </w:p>
          <w:p w14:paraId="0460314D">
            <w:r>
              <w:t>2. 数据中心能源系统控制方法</w:t>
            </w:r>
          </w:p>
          <w:p w14:paraId="0A183657">
            <w:r>
              <w:t>围绕数据中心能源系统，现有控制方法大致可以分为三类。第一类是基于经验规则或固定逻辑的控制方法，其优点是实现简单、工程上成熟、运行风险较低，但通常依赖固定设定点或启停阈值，难以根据天气、负荷和电价变化进行主动协调优化</w:t>
            </w:r>
            <w:r>
              <w:rPr>
                <w:sz w:val="18"/>
                <w:vertAlign w:val="superscript"/>
              </w:rPr>
              <w:t>[11]</w:t>
            </w:r>
            <w:r>
              <w:t>。第二类是基于模型的优化控制方法，以MPC为代表，通过显式预测未来负荷、天气或价格变化来进行滚动优化，在建筑和冷却系统调度中具有较强可解释性</w:t>
            </w:r>
            <w:r>
              <w:rPr>
                <w:sz w:val="18"/>
                <w:vertAlign w:val="superscript"/>
              </w:rPr>
              <w:t>[12]</w:t>
            </w:r>
            <w:r>
              <w:t>。Oldewurtel等进一步表明，MPC可以直接利用天气与价格信号开展冷却调度</w:t>
            </w:r>
            <w:r>
              <w:rPr>
                <w:sz w:val="18"/>
                <w:vertAlign w:val="superscript"/>
              </w:rPr>
              <w:t>[13]</w:t>
            </w:r>
            <w:r>
              <w:t>。但对于数据中心这类负荷动态快、耦合变量多、模型校准成本高的系统，MPC对预测精度和模型可信度的依赖也是其主要约束。</w:t>
            </w:r>
          </w:p>
          <w:p w14:paraId="57C1A40A"/>
          <w:p w14:paraId="44080267">
            <w:r>
              <w:t>第三类是基于强化学习，尤其是深度强化学习的方法。Mahbod等证明了无模型强化学习在数据中心节能控制中的可行性</w:t>
            </w:r>
            <w:r>
              <w:rPr>
                <w:sz w:val="18"/>
                <w:vertAlign w:val="superscript"/>
              </w:rPr>
              <w:t>[14]</w:t>
            </w:r>
            <w:r>
              <w:t>。Ran等进一步将深度强化学习用于作业调度与冷却控制的联合优化</w:t>
            </w:r>
            <w:r>
              <w:rPr>
                <w:sz w:val="18"/>
                <w:vertAlign w:val="superscript"/>
              </w:rPr>
              <w:t>[15]</w:t>
            </w:r>
            <w:r>
              <w:t>。Guo等则展示了SAC在数据中心动态热管理中的应用潜力</w:t>
            </w:r>
            <w:r>
              <w:rPr>
                <w:sz w:val="18"/>
                <w:vertAlign w:val="superscript"/>
              </w:rPr>
              <w:t>[16]</w:t>
            </w:r>
            <w:r>
              <w:t>。参照Xiao与You在Introduction中的论证，RL之所以更适合作为数据中心控制路线，并不是因为它在所有场景下都必然优于MPC，而是因为数据中心尤其是AI数据中心具有两个突出特点：一是工作负荷具有明显波动性，难以稳定预测；二是冷却系统包含空气侧、水侧与设备侧的多变量耦合，建立高精度模型的成本较高</w:t>
            </w:r>
            <w:r>
              <w:rPr>
                <w:sz w:val="18"/>
                <w:vertAlign w:val="superscript"/>
              </w:rPr>
              <w:t>[17]</w:t>
            </w:r>
            <w:r>
              <w:t>。在这种情况下，MPC虽然仍是重要基准方法，但其效果高度依赖预测与建模质量；相比之下，DRL可以直接通过与环境交互学习闭环策略，更容易利用数据中心已有的监测数据、运行日志和高保真仿真环境来逼近较优控制结果</w:t>
            </w:r>
            <w:r>
              <w:rPr>
                <w:sz w:val="18"/>
                <w:vertAlign w:val="superscript"/>
              </w:rPr>
              <w:t>[18, 19]</w:t>
            </w:r>
            <w:r>
              <w:t>。因此，对本课题而言，比较基于逻辑的控制、基于模型的MPC与基于DRL的方法，不仅是方法选型问题，也是明确为何以RL作为主要扩展路线的必要前提。</w:t>
            </w:r>
          </w:p>
          <w:p w14:paraId="2B207ECB"/>
          <w:p w14:paraId="496F9A45">
            <w:r>
              <w:t>3. AI发展对数据中心负荷特性的影响</w:t>
            </w:r>
          </w:p>
          <w:p w14:paraId="33784C45">
            <w:r>
              <w:t>AI的发展进一步改变了数据中心负荷的时序特征与冷却需求结构。Hu等对大规模GPU数据中心的深度学习工作负荷进行了刻画，说明训练任务往往伴随长时间高利用率运行</w:t>
            </w:r>
            <w:r>
              <w:rPr>
                <w:sz w:val="18"/>
                <w:vertAlign w:val="superscript"/>
              </w:rPr>
              <w:t>[20]</w:t>
            </w:r>
            <w:r>
              <w:t>。Weng等则展示了异构GPU集群中任务请求的波动性与调度复杂性</w:t>
            </w:r>
            <w:r>
              <w:rPr>
                <w:sz w:val="18"/>
                <w:vertAlign w:val="superscript"/>
              </w:rPr>
              <w:t>[21]</w:t>
            </w:r>
            <w:r>
              <w:t>。Hu等关于大语言模型开发过程的研究进一步说明，模型开发类工作负荷会持续推高机柜热流密度和冷却压力</w:t>
            </w:r>
            <w:r>
              <w:rPr>
                <w:sz w:val="18"/>
                <w:vertAlign w:val="superscript"/>
              </w:rPr>
              <w:t>[22]</w:t>
            </w:r>
            <w:r>
              <w:t>。这意味着，AI数据中心的难点不只是“平均负荷更高”，而是“负荷动态更强、热惯性更敏感、控制决策更需要跨时段协调”。</w:t>
            </w:r>
          </w:p>
          <w:p w14:paraId="470DBD67"/>
          <w:p w14:paraId="41BDAD29">
            <w:r>
              <w:t>从工作负荷组织角度看，数据中心中的任务并非全部刚性。已有研究表明，部分批处理任务具备时间弹性，可通过推迟、提前或迁移执行时段来换取能源侧收益</w:t>
            </w:r>
            <w:r>
              <w:rPr>
                <w:sz w:val="18"/>
                <w:vertAlign w:val="superscript"/>
              </w:rPr>
              <w:t>[23]</w:t>
            </w:r>
            <w:r>
              <w:t>；面向可持续数据中心控制的基准环境也开始将任务队列、backlog状态和任务年龄等信息纳入统一状态空间</w:t>
            </w:r>
            <w:r>
              <w:rPr>
                <w:sz w:val="18"/>
                <w:vertAlign w:val="superscript"/>
              </w:rPr>
              <w:t>[24]</w:t>
            </w:r>
            <w:r>
              <w:t>。因此，在AI发展背景下，如果仍把IT负荷视为完全外生且不可调节的输入，就会丢失冷却系统与算力调度协同优化的关键自由度。将弹性IT负荷调度纳入统一优化框架，正是为了更真实地刻画AI数据中心在冷却需求、绿电利用和成本控制之间的耦合关系。</w:t>
            </w:r>
          </w:p>
          <w:p w14:paraId="68CC5143">
            <w:r>
              <w:t>4. 数据中心与绿电消纳</w:t>
            </w:r>
          </w:p>
          <w:p w14:paraId="70A670F7">
            <w:r>
              <w:t>在高比例可再生能源电力系统中，数据中心不应只被视为“高耗能负荷”，还应被视为具备调节潜力的柔性负荷。Alaper"a等指出，数据中心凭借UPS、电池和可转移负荷能够为电网提供动态灵活性</w:t>
            </w:r>
            <w:r>
              <w:rPr>
                <w:sz w:val="18"/>
                <w:vertAlign w:val="superscript"/>
              </w:rPr>
              <w:t>[25]</w:t>
            </w:r>
            <w:r>
              <w:t>。Cupelli等进一步表明，数据中心可以通过控制策略参与需求响应项目</w:t>
            </w:r>
            <w:r>
              <w:rPr>
                <w:sz w:val="18"/>
                <w:vertAlign w:val="superscript"/>
              </w:rPr>
              <w:t>[26]</w:t>
            </w:r>
            <w:r>
              <w:t>。Takci等则对数据中心参与需求侧管理的潜力进行了定量评估</w:t>
            </w:r>
            <w:r>
              <w:rPr>
                <w:sz w:val="18"/>
                <w:vertAlign w:val="superscript"/>
              </w:rPr>
              <w:t>[27]</w:t>
            </w:r>
            <w:r>
              <w:t>。进一步看，当数据中心可以根据绿电出力、电价和系统调峰需求动态调整其用能时，其角色就从单向用电主体转变为“源-荷-储”协调中的重要需求侧资源。</w:t>
            </w:r>
          </w:p>
          <w:p w14:paraId="491C3D97"/>
          <w:p w14:paraId="215639D5">
            <w:r>
              <w:t>这类协同具有多重价值。对电力系统而言，可调数据中心负荷能够缓解新能源波动带来的平衡压力，增强系统对风光出力不确定性的承受能力</w:t>
            </w:r>
            <w:r>
              <w:rPr>
                <w:sz w:val="18"/>
                <w:vertAlign w:val="superscript"/>
              </w:rPr>
              <w:t>[28]</w:t>
            </w:r>
            <w:r>
              <w:t>。对数据中心运营方而言，将冷却、蓄冷和算力负荷调度与电价或碳信号联动，有机会降低购电成本和间接碳排放</w:t>
            </w:r>
            <w:r>
              <w:rPr>
                <w:sz w:val="18"/>
                <w:vertAlign w:val="superscript"/>
              </w:rPr>
              <w:t>[29]</w:t>
            </w:r>
            <w:r>
              <w:t>。对国家政策目标而言，这也与当前推进算电协同、绿电直供和需求侧响应能力建设的方向一致</w:t>
            </w:r>
            <w:r>
              <w:rPr>
                <w:sz w:val="18"/>
                <w:vertAlign w:val="superscript"/>
              </w:rPr>
              <w:t>[8]</w:t>
            </w:r>
            <w:r>
              <w:t>。因此，将数据中心置于绿电消纳和新型电力系统的框架下重新理解，是本课题的重要问题背景。</w:t>
            </w:r>
          </w:p>
          <w:p w14:paraId="18C95818"/>
          <w:p w14:paraId="5849304B">
            <w:r>
              <w:t>(4) 选题合理性论证</w:t>
            </w:r>
          </w:p>
          <w:p w14:paraId="34FD9858">
            <w:r>
              <w:t>本课题的合理性首先体现在其问题来源具有明确的现实基础。数据中心连续稳定运行的要求，与光伏出力的波动性之间存在天然矛盾；与此同时，冷却系统具有较大的能耗占比，蓄冷装置具有跨时段调节能力，部分算力任务又具有一定的时间弹性。因此，围绕光伏自消纳目标研究冷却、蓄冷与算力调度之间的协同关系，具有清晰的问题导向。</w:t>
            </w:r>
          </w:p>
          <w:p w14:paraId="33F48CEF"/>
          <w:p w14:paraId="3AFDB3E2">
            <w:r>
              <w:t>其次，现有研究虽然已经分别关注了热储能、绿电利用和工作负荷调度，但多数工作仍停留在局部耦合层面。Fu等研究了带冷冻水储能的数据中心多阶段调度问题，并将储冷系统与IT侧调节共同纳入优化框架，但其主要关注的是电能与调频市场中的调度收益，而非面向光伏自消纳的系统协同</w:t>
            </w:r>
            <w:r>
              <w:rPr>
                <w:sz w:val="18"/>
                <w:vertAlign w:val="superscript"/>
              </w:rPr>
              <w:t>[30]</w:t>
            </w:r>
            <w:r>
              <w:t>。Liu等较早讨论了数据中心在可再生能源和冷却约束下的工作负荷管理问题，说明“绿电利用+冷却调节+工作负荷组织”已经具备研究基础</w:t>
            </w:r>
            <w:r>
              <w:rPr>
                <w:sz w:val="18"/>
                <w:vertAlign w:val="superscript"/>
              </w:rPr>
              <w:t>[23]</w:t>
            </w:r>
            <w:r>
              <w:t>。最新研究还进一步考虑了工作负荷时移与制冷调节对可再生能源利用率的提升作用，但并未显式引入TES作为独立的跨时段调节单元</w:t>
            </w:r>
            <w:r>
              <w:rPr>
                <w:sz w:val="18"/>
                <w:vertAlign w:val="superscript"/>
              </w:rPr>
              <w:t>[31]</w:t>
            </w:r>
            <w:r>
              <w:t>.</w:t>
            </w:r>
          </w:p>
          <w:p w14:paraId="112A1EEF"/>
          <w:p w14:paraId="0806F776">
            <w:r>
              <w:t>因此，从现有公开文献来看，将TES、绿电消纳目标与数据中心算力调度纳入同一统一框架进行协同分析的研究仍然相对较少。换言之，本课题并不是简单重复已有的单项优化工作，而是在已有研究基础上，把冷却系统、蓄冷装置和可调算力负荷整合为一个面向光伏自消纳的系统问题。这种选题既保持了研究范围的明确性，又能够体现系统设计导向，符合本科毕业设计应有的层次与工作深度。</w:t>
            </w:r>
          </w:p>
          <w:p w14:paraId="0CC39982">
            <w:r>
              <w:t>(5) 研究意义</w:t>
            </w:r>
          </w:p>
          <w:p w14:paraId="3C60C668">
            <w:r>
              <w:t>本课题的研究意义主要体现在三个方面。首先，在工程应用层面，AI数据中心具有负荷密度高、冷却能耗大、运行连续性要求高等特点，而光伏出力具有明显波动性，单独优化某一设备或某一环节难以兼顾经济性与运行安全。因此，研究冷却系统、蓄冷装置与可调算力负荷的协同运行问题，具有较强的现实意义。其次，在系统设计层面，本课题将光伏自消纳目标引入数据中心运行方案中，有助于从整体上分析供能侧、用能侧与储能侧之间的匹配关系，为数据中心绿色运行方案设计提供参考。最后，在方法验证层面，本课题基于已有仿真平台开展复现和扩展，可形成一套可比较、可验证的设计与评估流程，为后续类似场景下的数据中心综合能源优化研究提供基础</w:t>
            </w:r>
            <w:r>
              <w:rPr>
                <w:sz w:val="18"/>
                <w:vertAlign w:val="superscript"/>
              </w:rPr>
              <w:t>[17, 7]</w:t>
            </w:r>
            <w:r>
              <w:t>。</w:t>
            </w:r>
          </w:p>
          <w:p w14:paraId="7F5A6119"/>
        </w:tc>
      </w:tr>
      <w:tr w14:paraId="0AAF8B32">
        <w:tblPrEx>
          <w:tblCellMar>
            <w:top w:w="0" w:type="dxa"/>
            <w:left w:w="108" w:type="dxa"/>
            <w:bottom w:w="0" w:type="dxa"/>
            <w:right w:w="108" w:type="dxa"/>
          </w:tblCellMar>
        </w:tblPrEx>
        <w:trPr>
          <w:trHeight w:val="5598" w:hRule="atLeast"/>
        </w:trPr>
        <w:tc>
          <w:tcPr>
            <w:tcW w:w="8640" w:type="dxa"/>
            <w:tcBorders>
              <w:top w:val="single" w:color="000000" w:sz="4" w:space="0"/>
              <w:left w:val="single" w:color="000000" w:sz="4" w:space="0"/>
              <w:bottom w:val="single" w:color="000000" w:sz="4" w:space="0"/>
              <w:right w:val="single" w:color="000000" w:sz="4" w:space="0"/>
            </w:tcBorders>
          </w:tcPr>
          <w:p w14:paraId="26C1693D">
            <w:r>
              <w:t>2. 课题关键问题及难点:</w:t>
            </w:r>
          </w:p>
          <w:p w14:paraId="64CEA3E6"/>
          <w:p w14:paraId="6319A49C">
            <w:r>
              <w:t>1. 多模块能源系统的建立和可信度：本课题需要把光伏供能、冷却系统、蓄冷装置和可调算力负荷组织成一个统一的系统来分析，而不是分别讨论单个设备。难点在于明确各模块之间的边界、输入输出关系以及耦合路径，使系统结构既能反映真实运行逻辑，又保持本科毕业设计可完成的复杂度。相关综述指出，现有RL研究在联合优化场景下常常面临系统对象过多、评价尺度不统一的问题，因此如何建立一个层次清晰、目标明确的系统模型，是课题首先需要解决的问题</w:t>
            </w:r>
            <w:r>
              <w:rPr>
                <w:sz w:val="18"/>
                <w:vertAlign w:val="superscript"/>
              </w:rPr>
              <w:t>[32]</w:t>
            </w:r>
            <w:r>
              <w:t>。</w:t>
            </w:r>
          </w:p>
          <w:p w14:paraId="481EE660">
            <w:r>
              <w:t>2. RL在建筑能源中的应用挑战与局限性：本课题虽然以RL作为主要方法路线，但核心问题并不是“算法是否先进”，而是RL方案在工程场景下是否可靠、是否可部署。Kannari等指出，建筑RL研究中长期真实部署仍然较少，安全性、可推广性和与数字孪生/仿真平台的衔接仍是重要实施障碍</w:t>
            </w:r>
            <w:r>
              <w:rPr>
                <w:sz w:val="18"/>
                <w:vertAlign w:val="superscript"/>
              </w:rPr>
              <w:t>[33]</w:t>
            </w:r>
            <w:r>
              <w:t>。</w:t>
            </w:r>
          </w:p>
          <w:p w14:paraId="787E884D">
            <w:r>
              <w:t>3. 数据中心任务调度和负荷调节的耦合关系：数据中心负荷并非完全刚性，部分任务具有一定的时间弹性，但任务调度会进一步影响服务器利用率和冷却需求。因此，本课题需要从项目层面说明：算力调度不是独立模块，而是会改变冷却侧负荷形态，并进一步影响蓄冷利用和光伏消纳效果。如何在不把问题扩大为复杂IT系统优化的前提下，合理抽象这种“算力负荷-冷却负荷-储冷调节”的链式关系，是本课题的重要难点。</w:t>
            </w:r>
          </w:p>
          <w:p w14:paraId="0F8AED22">
            <w:r>
              <w:t>4. 光伏自消纳的系统设计与评估：本课题最终关注的是面向光伏自消纳的联合运行方案，因此评价方案优劣时不能只看单一能耗指标，还需要综合考察温控约束、绿电利用率、运行成本和系统稳定性。Kahil等指出，现有数据中心RL研究仍缺乏统一的多尺度指标报告方式</w:t>
            </w:r>
            <w:r>
              <w:rPr>
                <w:sz w:val="18"/>
                <w:vertAlign w:val="superscript"/>
              </w:rPr>
              <w:t>[32]</w:t>
            </w:r>
            <w:r>
              <w:t>；Khabbazi等则强调，控制策略的对比基准、测试时长和实验协议会直接影响结论的可信度</w:t>
            </w:r>
            <w:r>
              <w:rPr>
                <w:sz w:val="18"/>
                <w:vertAlign w:val="superscript"/>
              </w:rPr>
              <w:t>[34]</w:t>
            </w:r>
            <w:r>
              <w:t>。</w:t>
            </w:r>
          </w:p>
          <w:p w14:paraId="3BDE0F7D"/>
        </w:tc>
      </w:tr>
    </w:tbl>
    <w:p w14:paraId="52DF0811">
      <w:pPr>
        <w:pStyle w:val="17"/>
      </w:pPr>
      <w:r>
        <w:t>注：开题报告可单独装订，但在院（系）范围内，封面和装订格式必须统一。</w:t>
      </w:r>
    </w:p>
    <w:tbl>
      <w:tblPr>
        <w:tblStyle w:val="3"/>
        <w:tblW w:w="8640" w:type="dxa"/>
        <w:tblInd w:w="-72" w:type="dxa"/>
        <w:tblLayout w:type="fixed"/>
        <w:tblCellMar>
          <w:top w:w="0" w:type="dxa"/>
          <w:left w:w="108" w:type="dxa"/>
          <w:bottom w:w="0" w:type="dxa"/>
          <w:right w:w="108" w:type="dxa"/>
        </w:tblCellMar>
      </w:tblPr>
      <w:tblGrid>
        <w:gridCol w:w="8460"/>
        <w:gridCol w:w="180"/>
      </w:tblGrid>
      <w:tr w14:paraId="68247BA6">
        <w:tblPrEx>
          <w:tblCellMar>
            <w:top w:w="0" w:type="dxa"/>
            <w:left w:w="108" w:type="dxa"/>
            <w:bottom w:w="0" w:type="dxa"/>
            <w:right w:w="108" w:type="dxa"/>
          </w:tblCellMar>
        </w:tblPrEx>
        <w:trPr>
          <w:trHeight w:val="13539" w:hRule="atLeast"/>
        </w:trPr>
        <w:tc>
          <w:tcPr>
            <w:tcW w:w="8640" w:type="dxa"/>
            <w:gridSpan w:val="2"/>
            <w:tcBorders>
              <w:top w:val="single" w:color="000000" w:sz="4" w:space="0"/>
              <w:left w:val="single" w:color="000000" w:sz="4" w:space="0"/>
              <w:bottom w:val="single" w:color="000000" w:sz="4" w:space="0"/>
              <w:right w:val="single" w:color="000000" w:sz="4" w:space="0"/>
            </w:tcBorders>
          </w:tcPr>
          <w:p w14:paraId="7EAFC4AC">
            <w:r>
              <w:t>3. 文献综述:</w:t>
            </w:r>
          </w:p>
          <w:p w14:paraId="5C0268DE"/>
          <w:p w14:paraId="6A303632">
            <w:r>
              <w:t>现有研究已经从多个角度讨论了数据中心的能源系统问题，包括综合能源系统构建、冷却与热管理、供配电与可再生能源接入，以及MPC、RL等先进控制方法的应用。与单篇论文相比，综述类文献更适合用于判断研究脉络与现有空白。基于“数据中心能源系统综述”文件夹中的相关综述，可以将本课题相关研究归纳为以下几个方面。</w:t>
            </w:r>
          </w:p>
          <w:p w14:paraId="720F52E4"/>
          <w:p w14:paraId="76A83C26">
            <w:r>
              <w:t>(1) 数据中心综合能源系统与供能侧研究</w:t>
            </w:r>
          </w:p>
          <w:p w14:paraId="01E5935D">
            <w:r>
              <w:t>从系统层面看，数据中心能源问题已逐步由“单一设备节能”扩展为“多能耦合系统优化”。Wang等提出数据中心综合能源系统的概念，认为数据中心不仅是电力负荷中心，还可以通过清洁供能、余热利用和跨能源链协同形成更完整的能量系统框架</w:t>
            </w:r>
            <w:r>
              <w:rPr>
                <w:sz w:val="18"/>
                <w:vertAlign w:val="superscript"/>
              </w:rPr>
              <w:t>[35]</w:t>
            </w:r>
            <w:r>
              <w:t>。这一综述强调了计算、供电、制冷与热利用之间的整体关联，为从系统设计角度理解数据中心能源问题提供了基础。</w:t>
            </w:r>
          </w:p>
          <w:p w14:paraId="4B393103"/>
          <w:p w14:paraId="08BAFA43">
            <w:r>
              <w:t>在供能侧，Khosravi等系统回顾了数据中心供配电系统、能源效率设计以及可再生能源接入方式，指出数据中心电力系统的设计不仅影响PUE，还直接影响运行可靠性、建设成本和可再生能源利用水平</w:t>
            </w:r>
            <w:r>
              <w:rPr>
                <w:sz w:val="18"/>
                <w:vertAlign w:val="superscript"/>
              </w:rPr>
              <w:t>[36]</w:t>
            </w:r>
            <w:r>
              <w:t>。该综述特别区分了现场可再生能源配置、购电协议和离场绿电配置等不同路径，说明数据中心绿电化已经不仅是能源采购问题，而是与系统结构和运行方式密切相关的工程问题。</w:t>
            </w:r>
          </w:p>
          <w:p w14:paraId="63D0187E"/>
          <w:p w14:paraId="705E4B24">
            <w:r>
              <w:t>(2) 冷却系统、热管理与蓄冷相关研究</w:t>
            </w:r>
          </w:p>
          <w:p w14:paraId="14545547">
            <w:r>
              <w:t>冷却系统是数据中心能源研究中最成熟、也是与本课题最直接相关的方向之一。Zhang等从冷却技术类型、功耗建模和控制优化三个方面总结了数据中心冷却系统研究，指出冷机与风机是主要耗能设备，冷却系统优化具有显著节能价值</w:t>
            </w:r>
            <w:r>
              <w:rPr>
                <w:sz w:val="18"/>
                <w:vertAlign w:val="superscript"/>
              </w:rPr>
              <w:t>[11]</w:t>
            </w:r>
            <w:r>
              <w:t>。Cai和Gou进一步从被动设计与主动设计的角度系统梳理了数据中心冷却策略，认为自由冷却、液冷以及更高效的运行管理方法是未来降低冷却能耗的重要方向</w:t>
            </w:r>
            <w:r>
              <w:rPr>
                <w:sz w:val="18"/>
                <w:vertAlign w:val="superscript"/>
              </w:rPr>
              <w:t>[37]</w:t>
            </w:r>
            <w:r>
              <w:t>。</w:t>
            </w:r>
          </w:p>
          <w:p w14:paraId="1616A404"/>
          <w:p w14:paraId="0F11E733">
            <w:r>
              <w:t>与冷却系统相联系的，是冷量跨时段调节问题。现有综述普遍承认数据中心冷却负荷具有显著的时间动态特征，但关于蓄冷装置如何与数据中心冷却系统进行系统协同的总结仍然较少。已有具体研究已开始尝试将蓄冷与冷却控制结合，如Zhu等将冷储能纳入数据中心混合冷却系统MPC框架</w:t>
            </w:r>
            <w:r>
              <w:rPr>
                <w:sz w:val="18"/>
                <w:vertAlign w:val="superscript"/>
              </w:rPr>
              <w:t>[38]</w:t>
            </w:r>
            <w:r>
              <w:t>，Xiang等讨论了free-cooling与TES联用场景</w:t>
            </w:r>
            <w:r>
              <w:rPr>
                <w:sz w:val="18"/>
                <w:vertAlign w:val="superscript"/>
              </w:rPr>
              <w:t>[39]</w:t>
            </w:r>
            <w:r>
              <w:t>。但从综述层面看，TES更多仍被视为冷却系统的附属调节单元，而非与绿电消纳和算力调度并列考虑的核心模块。</w:t>
            </w:r>
          </w:p>
          <w:p w14:paraId="28FBAB0C"/>
          <w:p w14:paraId="020BCE35">
            <w:r>
              <w:t>(3) 数据中心先进控制方法研究</w:t>
            </w:r>
          </w:p>
          <w:p w14:paraId="28400A15">
            <w:r>
              <w:t>在控制方法方面，MPC与RL是近年最具代表性的两类路线。Drgovna等对建筑MPC进行了系统综述，指出MPC的优势在于能够处理预测信息、滚动优化与显式约束，但其性能高度依赖模型质量、预测精度和实现复杂度</w:t>
            </w:r>
            <w:r>
              <w:rPr>
                <w:sz w:val="18"/>
                <w:vertAlign w:val="superscript"/>
              </w:rPr>
              <w:t>[40]</w:t>
            </w:r>
            <w:r>
              <w:t>。Yao与Shekhar进一步总结了HVAC领域MPC的建模方式、预测时域、代价函数和求解参数，说明MPC尤其适用于具有明确动态模型和约束表达的问题</w:t>
            </w:r>
            <w:r>
              <w:rPr>
                <w:sz w:val="18"/>
                <w:vertAlign w:val="superscript"/>
              </w:rPr>
              <w:t>[41]</w:t>
            </w:r>
            <w:r>
              <w:t>。这些结论虽然来自建筑领域，但对数据中心冷却系统同样具有参考意义。</w:t>
            </w:r>
          </w:p>
          <w:p w14:paraId="70CCB04F"/>
          <w:p w14:paraId="3AC04BD4">
            <w:r>
              <w:t>与MPC相比，RL更强调基于交互的数据驱动闭环控制。Kahil等对数据中心RL研究进行了系统综述，指出当前研究主要集中在冷却控制、资源分配和任务调度等方向，其中连续控制场景下SAC应用较多</w:t>
            </w:r>
            <w:r>
              <w:rPr>
                <w:sz w:val="18"/>
                <w:vertAlign w:val="superscript"/>
              </w:rPr>
              <w:t>[32]</w:t>
            </w:r>
            <w:r>
              <w:t>。该综述同时指出，现有研究在实验设置、评价指标和可部署性方面仍存在较大差异，说明RL在数据中心中的工程化应用仍处于探索阶段。对本课题而言，这意味着RL可以作为重要的方法路线，但其价值应体现在服务系统级策略比较与联合优化，而不应被简化为单纯的算法实现问题。</w:t>
            </w:r>
          </w:p>
          <w:p w14:paraId="3778CFB3"/>
          <w:p w14:paraId="28586B61">
            <w:r>
              <w:t>(4) 与本课题相关的研究空白</w:t>
            </w:r>
          </w:p>
          <w:p w14:paraId="092B1A9C">
            <w:r>
              <w:t>综合上述综述可以看到，现有研究已经分别从综合能源系统、冷却与热管理、供能系统以及先进控制方法等方面对数据中心能源问题进行了较为充分的讨论，但不同方向之间仍存在明显分割。其一，关于数据中心综合能源系统的综述强调了电、冷、热等多能耦合的重要性，但对面向光伏自消纳的运行目标讨论仍不充分</w:t>
            </w:r>
            <w:r>
              <w:rPr>
                <w:sz w:val="18"/>
                <w:vertAlign w:val="superscript"/>
              </w:rPr>
              <w:t>[35]</w:t>
            </w:r>
            <w:r>
              <w:t>。其二，关于冷却系统的综述重点关注制冷技术、散热策略和功耗管理，但对TES与算力调度之间的联动讨论较少</w:t>
            </w:r>
            <w:r>
              <w:rPr>
                <w:sz w:val="18"/>
                <w:vertAlign w:val="superscript"/>
              </w:rPr>
              <w:t>[37]</w:t>
            </w:r>
            <w:r>
              <w:t>。其三，关于控制方法的综述分别总结了MPC和RL的优势与局限，但大多数工作仍聚焦单一控制对象，而不是将冷却系统、蓄冷装置和可调算力负荷纳入同一统一框架</w:t>
            </w:r>
            <w:r>
              <w:rPr>
                <w:sz w:val="18"/>
                <w:vertAlign w:val="superscript"/>
              </w:rPr>
              <w:t>[40, 32]</w:t>
            </w:r>
            <w:r>
              <w:t>。</w:t>
            </w:r>
          </w:p>
          <w:p w14:paraId="65296FBE"/>
          <w:p w14:paraId="474ADEB5">
            <w:r>
              <w:t>因此，本课题拟在已有研究基础上，围绕光伏自消纳这一明确目标，将数据中心冷却系统、蓄冷装置与可调算力负荷放入统一问题框架中进行联合分析。这一研究路径与现有综述指出的系统化发展趋势一致，也对应了目前文献中</w:t>
            </w:r>
            <w:r>
              <w:rPr>
                <w:rFonts w:hint="eastAsia"/>
                <w:lang w:val="en-US" w:eastAsia="zh-CN"/>
              </w:rPr>
              <w:t>尚在探索的</w:t>
            </w:r>
            <w:r>
              <w:t>交叉耦合问题。</w:t>
            </w:r>
          </w:p>
          <w:p w14:paraId="5B330C88"/>
        </w:tc>
      </w:tr>
      <w:tr w14:paraId="12A39B42">
        <w:tblPrEx>
          <w:tblCellMar>
            <w:top w:w="0" w:type="dxa"/>
            <w:left w:w="108" w:type="dxa"/>
            <w:bottom w:w="0" w:type="dxa"/>
            <w:right w:w="108" w:type="dxa"/>
          </w:tblCellMar>
        </w:tblPrEx>
        <w:trPr>
          <w:trHeight w:val="13383" w:hRule="atLeast"/>
        </w:trPr>
        <w:tc>
          <w:tcPr>
            <w:tcW w:w="8460" w:type="dxa"/>
            <w:tcBorders>
              <w:top w:val="single" w:color="000000" w:sz="4" w:space="0"/>
              <w:left w:val="single" w:color="000000" w:sz="4" w:space="0"/>
              <w:bottom w:val="single" w:color="000000" w:sz="4" w:space="0"/>
              <w:right w:val="single" w:color="000000" w:sz="4" w:space="0"/>
            </w:tcBorders>
          </w:tcPr>
          <w:p w14:paraId="2A946C7D">
            <w:r>
              <w:t>4. 方案论证:</w:t>
            </w:r>
          </w:p>
          <w:p w14:paraId="0ED3C503"/>
          <w:p w14:paraId="511A1D37">
            <w:r>
              <w:t>本课题采用“物理模型建模 + 外生信号注入 + 联合控制设计 + 对比实验验证”的技术路线。整体思路是在已有数据中心高保真仿真环境基础上，引入蓄冷装置、光伏出力和可调算力负荷，构建面向光伏自消纳的联合运行框架，并通过分阶段实验验证各模块的边际作用与整体效果。</w:t>
            </w:r>
          </w:p>
          <w:p w14:paraId="1691D3DF"/>
          <w:p w14:paraId="473D966A">
            <w:r>
              <w:t>(1) 底层物理环境建模</w:t>
            </w:r>
          </w:p>
          <w:p w14:paraId="72796EBB">
            <w:r>
              <w:t>为保证方案分析具有明确的物理基础，底层环境采用EnergyPlus建立数据中心能源系统模型。Sun等提出的数据中心原型模型为高功率密度机房的热工建模和冷却系统仿真提供了可复用基础</w:t>
            </w:r>
            <w:r>
              <w:rPr>
                <w:sz w:val="18"/>
                <w:vertAlign w:val="superscript"/>
              </w:rPr>
              <w:t>[9]</w:t>
            </w:r>
            <w:r>
              <w:t>。在此基础上，本课题沿用Xiao与You所采用的AI数据中心建模框架，以确保冷却系统、机房热环境和控制变量之间的关系能够在统一物理环境中表达</w:t>
            </w:r>
            <w:r>
              <w:rPr>
                <w:sz w:val="18"/>
                <w:vertAlign w:val="superscript"/>
              </w:rPr>
              <w:t>[17]</w:t>
            </w:r>
            <w:r>
              <w:t>。该模块的目标不是追求过度复杂的设备细节，而是为后续控制策略比较提供可信的状态演化环境。</w:t>
            </w:r>
          </w:p>
          <w:p w14:paraId="049F7872"/>
          <w:p w14:paraId="0D5913BF">
            <w:r>
              <w:t>(2) 弹性IT算力负荷表征</w:t>
            </w:r>
          </w:p>
          <w:p w14:paraId="481F36AC">
            <w:r>
              <w:t>在算力侧，本课题不将IT负荷简单视为完全外生的固定输入，而是引入具有一定时间弹性的任务负荷表征。Sarkar等提出的SustainDC为数据中心任务队列管理和可持续控制提供了标准化接口，其中工作负荷环境能够描述任务积压、任务年龄和调度行为对系统状态的影响</w:t>
            </w:r>
            <w:r>
              <w:rPr>
                <w:sz w:val="18"/>
                <w:vertAlign w:val="superscript"/>
              </w:rPr>
              <w:t>[24]</w:t>
            </w:r>
            <w:r>
              <w:t>。考虑到本课题研究重点是单数据中心场景下的联合优化，而非多数据中心博弈，因此仅移植其中与任务组织和时间弹性直接相关的工作负荷环境模块，用以刻画算力调度对冷却需求和能源利用的间接影响。</w:t>
            </w:r>
          </w:p>
          <w:p w14:paraId="4C4218BF"/>
          <w:p w14:paraId="05EADDAE">
            <w:r>
              <w:t>(3) 蓄冷模块集成</w:t>
            </w:r>
          </w:p>
          <w:p w14:paraId="092ED00C">
            <w:r>
              <w:t>在冷却侧，本课题将蓄冷装置作为连接供能侧波动与冷负荷时移能力的重要中间环节。相关研究表明，冷储能能够提高冷却系统在时序上的可调节性，并为削峰填谷和运行成本优化提供额外自由度</w:t>
            </w:r>
            <w:r>
              <w:rPr>
                <w:sz w:val="18"/>
                <w:vertAlign w:val="superscript"/>
              </w:rPr>
              <w:t>[38]</w:t>
            </w:r>
            <w:r>
              <w:t>。因此，本课题在现有冷却系统模型中引入TES支路，使其具备充放冷能力，并通过简化而明确的控制逻辑描述蓄冷状态、放冷过程和系统耦合关系。该设计的重点在于体现TES对系统时序调节能力的贡献，而不是展开过细的设备结构设计。</w:t>
            </w:r>
          </w:p>
          <w:p w14:paraId="18534879"/>
          <w:p w14:paraId="53326209">
            <w:r>
              <w:t>(4) 光伏与电价外生信号模块</w:t>
            </w:r>
          </w:p>
          <w:p w14:paraId="4FA7A464">
            <w:r>
              <w:t>在供能侧，本课题将光伏出力和电价信号作为环境外生变量引入控制框架。由于本课题关注的是数据中心对波动绿电的利用方式，而非光伏预测模型本身，因此PV出力采用离线预计算时间序列形式输入，电价信号采用区域公开数据进行构造。这样处理的目的，是把研究重点集中在“当绿电和价格条件发生变化时，系统应如何响应”这一控制问题上，而不是扩展为光伏发电建模问题。</w:t>
            </w:r>
          </w:p>
          <w:p w14:paraId="13804677"/>
          <w:p w14:paraId="06351BDF">
            <w:r>
              <w:t>(5) 联合控制目标与策略设计</w:t>
            </w:r>
          </w:p>
          <w:p w14:paraId="0D4B3374">
            <w:r>
              <w:t>在控制层，本课题不将冷却、蓄冷和算力调度分开优化，而是通过统一控制框架进行协同设计。根据前述问题定义，控制目标主要围绕三个方向展开：一是以PUE改善为核心的复现验证目标，二是以购电成本控制为核心的经济性目标，三是以提升光伏自消纳和绿电利用为核心的绿色运行目标。Kahil等指出，数据中心RL研究的关键不只是算法本身，而是目标函数、状态空间与评价标准之间是否保持一致</w:t>
            </w:r>
            <w:r>
              <w:rPr>
                <w:sz w:val="18"/>
                <w:vertAlign w:val="superscript"/>
              </w:rPr>
              <w:t>[32]</w:t>
            </w:r>
            <w:r>
              <w:t>。因此，本课题在策略设计中强调不同目标下的统一约束表达，使各类方案能够在相同评价基础上进行比较。</w:t>
            </w:r>
          </w:p>
          <w:p w14:paraId="527C4925"/>
          <w:p w14:paraId="18F45F7C">
            <w:r>
              <w:t>(6) 最终RL框架</w:t>
            </w:r>
          </w:p>
          <w:p w14:paraId="39322206">
            <w:r>
              <w:t xml:space="preserve">结合 </w:t>
            </w:r>
            <w:r>
              <w:rPr>
                <w:rFonts w:hint="eastAsia"/>
                <w:lang w:val="en-US" w:eastAsia="zh-CN"/>
              </w:rPr>
              <w:t xml:space="preserve">以上设计, </w:t>
            </w:r>
            <w:r>
              <w:t>本课题最终采用“统一观测、联合动作、分目标训练”的RL框架。具体而言，智能体的观测空间由四类信息共同构成：第一类是EnergyPlus环境提供的机房热状态与冷却系统运行状态；第二类是工作负荷环境提供的任务队列与负荷组织状态；第三类是光伏出力与电价等外生时序信号；第四类是TES装置自身的蓄冷状态与控制位置。这样的状态组织方式旨在使智能体能够同时感知供能侧波动、冷却侧响应、储能侧能力以及算力侧弹性，从而在统一状态空间内完成协同决策</w:t>
            </w:r>
            <w:r>
              <w:rPr>
                <w:sz w:val="18"/>
                <w:vertAlign w:val="superscript"/>
              </w:rPr>
              <w:t>[17]</w:t>
            </w:r>
            <w:r>
              <w:t>。</w:t>
            </w:r>
          </w:p>
          <w:p w14:paraId="7D7DF8A8"/>
          <w:p w14:paraId="66F52F86">
            <w:r>
              <w:t>在动作层，本课题将冷却系统调节、TES充放冷控制和弹性IT任务调度纳入同一控制框架。其中，冷却相关变量与TES控制采用连续动作表达，以适应SAC对连续控制问题的处理优势；工作负荷调度则保留离散决策含义，并通过环境封装实现与连续控制框架的衔接</w:t>
            </w:r>
            <w:r>
              <w:rPr>
                <w:sz w:val="18"/>
                <w:vertAlign w:val="superscript"/>
              </w:rPr>
              <w:t>[24]</w:t>
            </w:r>
            <w:r>
              <w:t>。在训练层，为保证不同实验之间具有可比性，本课题在统一状态和动作框架下设置RL-PUE、RL-Cost和RL-Green三类目标变体，并保持约束项表达一致。由此形成的最终RL框架，不是若干独立控制器的简单叠加，而是一个面向光伏自消纳目标的联合决策系统。</w:t>
            </w:r>
          </w:p>
          <w:p w14:paraId="6BC93F88"/>
          <w:p w14:paraId="620A05E1">
            <w:r>
              <w:t>(7) 实验设计与对比验证</w:t>
            </w:r>
          </w:p>
          <w:p w14:paraId="5E8210AD">
            <w:r>
              <w:t>为验证所提联合框架的有效性，本课题采用分层递进的对照试验设计。总体思路是在相同气象条件、相同基础物理模型和相同负荷场景下，逐步引入RL控制、TES模块以及光伏/电价信号，并通过组间比较识别各模块对系统性能的边际贡献。该设计强调“控制变量逐步增加、比较对象逐级展开”的实验逻辑，以保证结论能够直接对应到具体设计要素，而不是停留在笼统的性能描述层面。</w:t>
            </w:r>
          </w:p>
          <w:p w14:paraId="5FBBE378"/>
          <w:p w14:paraId="5D07D4A3">
            <w:r>
              <w:t>具体而言，本课题设置</w:t>
            </w:r>
            <w:bookmarkStart w:id="0" w:name="_GoBack"/>
            <w:bookmarkEnd w:id="0"/>
            <w:r>
              <w:t>五组对照试验。E0与E1用于完成原始框架的复现验证，重点比较规则控制与RL冷却控制在无TES条件下的差异；E1与E2的比较用于识别TES引入后对系统调节能力和冷却能耗的影响；E3与E4则进一步在统一联合控制框架下，对比经济性目标与绿电目标所对应的运行策略差异。通过这一实验安排，可以较为清晰地回答三个问题：第一，RL冷却控制是否优于基准控制；第二，TES是否为系统带来额外的时序调节收益；第三，在引入光伏与价格信号后，系统在“成本最优”和“绿电优先”两种目标下是否会呈现不同的调度方向。</w:t>
            </w:r>
          </w:p>
          <w:p w14:paraId="79C1A123"/>
        </w:tc>
        <w:tc>
          <w:tcPr>
            <w:tcW w:w="180" w:type="dxa"/>
            <w:tcMar>
              <w:left w:w="0" w:type="dxa"/>
              <w:right w:w="0" w:type="dxa"/>
            </w:tcMar>
          </w:tcPr>
          <w:p w14:paraId="4C99BB10">
            <w:pPr>
              <w:snapToGrid w:val="0"/>
            </w:pPr>
          </w:p>
        </w:tc>
      </w:tr>
      <w:tr w14:paraId="11B4E793">
        <w:tblPrEx>
          <w:tblCellMar>
            <w:top w:w="0" w:type="dxa"/>
            <w:left w:w="108" w:type="dxa"/>
            <w:bottom w:w="0" w:type="dxa"/>
            <w:right w:w="108" w:type="dxa"/>
          </w:tblCellMar>
        </w:tblPrEx>
        <w:trPr>
          <w:trHeight w:val="13598" w:hRule="atLeast"/>
        </w:trPr>
        <w:tc>
          <w:tcPr>
            <w:tcW w:w="8460" w:type="dxa"/>
            <w:tcBorders>
              <w:top w:val="single" w:color="000000" w:sz="4" w:space="0"/>
              <w:left w:val="single" w:color="000000" w:sz="4" w:space="0"/>
              <w:bottom w:val="single" w:color="000000" w:sz="4" w:space="0"/>
              <w:right w:val="single" w:color="000000" w:sz="4" w:space="0"/>
            </w:tcBorders>
          </w:tcPr>
          <w:p w14:paraId="0EFA5ADF">
            <w:r>
              <w:t>5. 进度安排:</w:t>
            </w:r>
            <w:r>
              <w:br w:type="textWrapping"/>
            </w:r>
            <w:r>
              <w:br w:type="textWrapping"/>
            </w:r>
            <w:r>
              <w:t>1. 第1-3周：复现验证。跑通原始代码，在Singapore站点复现E0和E1的PUE数值。同步熟悉epJSON结构和Sinergym接口。</w:t>
            </w:r>
            <w:r>
              <w:br w:type="textWrapping"/>
            </w:r>
            <w:r>
              <w:t>2. 第4-7周：TES集成与调试。修改epJSON添加TES Branch，验证plant loop收敛性。并行开发弹性IT任务调度wrapper。跑E2验证TES边际贡献。</w:t>
            </w:r>
            <w:r>
              <w:br w:type="textWrapping"/>
            </w:r>
            <w:r>
              <w:t>3. 第8-11周：核心实验。集成PV/电价信号，实现三种reward变体，完成E3至E6实验矩阵。</w:t>
            </w:r>
            <w:r>
              <w:br w:type="textWrapping"/>
            </w:r>
            <w:r>
              <w:t>4. 第12-14周：分析与写作。提取24h调度曲线进行方向逆转分析和beta贡献分解，完成论文初稿。</w:t>
            </w:r>
            <w:r>
              <w:br w:type="textWrapping"/>
            </w:r>
            <w:r>
              <w:t>5. 第15-16周：论文定稿与答辩准备。</w:t>
            </w:r>
            <w:r>
              <w:br w:type="textWrapping"/>
            </w:r>
          </w:p>
        </w:tc>
        <w:tc>
          <w:tcPr>
            <w:tcW w:w="180" w:type="dxa"/>
            <w:tcMar>
              <w:left w:w="0" w:type="dxa"/>
              <w:right w:w="0" w:type="dxa"/>
            </w:tcMar>
          </w:tcPr>
          <w:p w14:paraId="7E39AEF2">
            <w:pPr>
              <w:snapToGrid w:val="0"/>
            </w:pPr>
          </w:p>
        </w:tc>
      </w:tr>
    </w:tbl>
    <w:p w14:paraId="7C5ADF96"/>
    <w:p w14:paraId="578F879A">
      <w:r>
        <w:br w:type="page"/>
      </w:r>
    </w:p>
    <w:p w14:paraId="05611DFE">
      <w:pPr>
        <w:jc w:val="center"/>
        <w:rPr>
          <w:rFonts w:ascii="宋体;SimSun" w:hAnsi="宋体;SimSun" w:eastAsia="宋体;SimSun"/>
          <w:b/>
          <w:sz w:val="28"/>
          <w:szCs w:val="28"/>
        </w:rPr>
      </w:pPr>
      <w:r>
        <w:rPr>
          <w:rFonts w:ascii="宋体;SimSun" w:hAnsi="宋体;SimSun" w:eastAsia="宋体;SimSun"/>
          <w:b/>
          <w:sz w:val="28"/>
          <w:szCs w:val="28"/>
        </w:rPr>
        <w:t>参考文献</w:t>
      </w:r>
    </w:p>
    <w:p w14:paraId="5231B7A1"/>
    <w:p w14:paraId="60D069C8">
      <w:pPr>
        <w:ind w:left="420" w:hanging="420"/>
        <w:rPr>
          <w:sz w:val="20"/>
          <w:szCs w:val="20"/>
        </w:rPr>
      </w:pPr>
      <w:r>
        <w:t>[1] Alkrush, A. A., Salem, M. S., Abdelrehim, O., Hegazi, A. Data Centers Cooling: A Critical Review of Techniques, Challenges,, Energy Saving Solutions[J]. International Journal of Refrigeration, 2024, 160: 246-262. DOI: 10.1016/j.ijrefrig.2024.02.007.</w:t>
      </w:r>
    </w:p>
    <w:p w14:paraId="25476FD0">
      <w:pPr>
        <w:ind w:left="420" w:hanging="420"/>
        <w:rPr>
          <w:sz w:val="20"/>
          <w:szCs w:val="20"/>
        </w:rPr>
      </w:pPr>
      <w:r>
        <w:t>[2] Chen, S. How Much Energy Will AI Really Consume? The Good, the Bad, the Unknown[J]. Nature, 2025, 639(8053): 22-24. DOI: 10.1038/d41586-025-00616-z.</w:t>
      </w:r>
    </w:p>
    <w:p w14:paraId="6D5D4D24">
      <w:pPr>
        <w:ind w:left="420" w:hanging="420"/>
        <w:rPr>
          <w:sz w:val="20"/>
          <w:szCs w:val="20"/>
        </w:rPr>
      </w:pPr>
      <w:r>
        <w:t>[3] International Energy Agency. Electricity 2024: Analysis, Forecast to 2026[EB/OL]. 2024. https://www.iea.org/reports/electricity-2024</w:t>
      </w:r>
    </w:p>
    <w:p w14:paraId="1600CF34">
      <w:pPr>
        <w:ind w:left="420" w:hanging="420"/>
        <w:rPr>
          <w:sz w:val="20"/>
          <w:szCs w:val="20"/>
        </w:rPr>
      </w:pPr>
      <w:r>
        <w:t>[4] Dayarathna, Miyuru, Wen, Yonggang, Fan, Rui. Data Center Energy Consumption Modeling: A Survey[J]. IEEE Communications Surveys &amp; Tutorials, 2016, 18(1): 732-794. DOI: 10.1109/COMST.2015.2481183.</w:t>
      </w:r>
    </w:p>
    <w:p w14:paraId="1BD747CE">
      <w:pPr>
        <w:ind w:left="420" w:hanging="420"/>
        <w:rPr>
          <w:sz w:val="20"/>
          <w:szCs w:val="20"/>
        </w:rPr>
      </w:pPr>
      <w:r>
        <w:t>[5] Masanet, Eric, Shehabi, Arman, Lei, Nuoa, Smith, Sarah, Koomey, Jonathan. Recalibrating Global Data Center Energy-Use Estimates[J]. Science, 2020, 367(6481): 984-986. DOI: 10.1126/science.aba3758.</w:t>
      </w:r>
    </w:p>
    <w:p w14:paraId="04690115">
      <w:pPr>
        <w:ind w:left="420" w:hanging="420"/>
        <w:rPr>
          <w:sz w:val="20"/>
          <w:szCs w:val="20"/>
        </w:rPr>
      </w:pPr>
      <w:r>
        <w:t>[6] China Academy of Information, Communications Technology. China Green Computing Power Development Report (2024)[R]. China Academy of Information, Communications Technology, 2024. In Chinese.</w:t>
      </w:r>
    </w:p>
    <w:p w14:paraId="047A0293">
      <w:pPr>
        <w:ind w:left="420" w:hanging="420"/>
        <w:rPr>
          <w:sz w:val="20"/>
          <w:szCs w:val="20"/>
        </w:rPr>
      </w:pPr>
      <w:r>
        <w:t>[7] National Development, Reform Commission. Action Plan for the Green, Low-Carbon Development of Data Centers[EB/OL]. 2024. Policy document, in Chinese.</w:t>
      </w:r>
    </w:p>
    <w:p w14:paraId="583D9004">
      <w:pPr>
        <w:ind w:left="420" w:hanging="420"/>
        <w:rPr>
          <w:sz w:val="20"/>
          <w:szCs w:val="20"/>
        </w:rPr>
      </w:pPr>
      <w:r>
        <w:t>[8] National Development, Reform Commission. Action Plan for Accelerating the Construction of a New Power System (2024-2027)[EB/OL]. 2024. Policy document, in Chinese.</w:t>
      </w:r>
    </w:p>
    <w:p w14:paraId="4CB8E556">
      <w:pPr>
        <w:ind w:left="420" w:hanging="420"/>
        <w:rPr>
          <w:sz w:val="20"/>
          <w:szCs w:val="20"/>
        </w:rPr>
      </w:pPr>
      <w:r>
        <w:t>[9] Sun, Kaiyu, Hong, Tianzhen, Taylor, Steve, Piette, Mary Ann. Prototype Energy Models for Data Centers[J]. Energy, Buildings, 2021, 231: 110603. DOI: 10.1016/j.enbuild.2020.110603.</w:t>
      </w:r>
    </w:p>
    <w:p w14:paraId="585F8AE3">
      <w:pPr>
        <w:ind w:left="420" w:hanging="420"/>
        <w:rPr>
          <w:sz w:val="20"/>
          <w:szCs w:val="20"/>
        </w:rPr>
      </w:pPr>
      <w:r>
        <w:t>[10] Luerssen, Christoph, Gandhi, Oktoviano, Reindl, Thomas, Sekhar, Chandra, Cheong, David. Levelised Cost of Storage (LCOS) for Solar-PV-Powered Cooling in the Tropics[J]. Applied Energy, 2019, 242: 640-654. DOI: 10.1016/j.apenergy.2019.03.133.</w:t>
      </w:r>
    </w:p>
    <w:p w14:paraId="21BF9DC6">
      <w:pPr>
        <w:ind w:left="420" w:hanging="420"/>
        <w:rPr>
          <w:sz w:val="20"/>
          <w:szCs w:val="20"/>
        </w:rPr>
      </w:pPr>
      <w:r>
        <w:t>[11] Zhang, Q., Meng, Z., Hong, X., Zhan, Y., Liu, J., Dong, J., Bai, T., Niu, J., Deen, M. J. A Survey on Data Center Cooling Systems: Technology, Power Consumption Modeling, Control Strategy Optimization[J]. Journal of Systems Architecture, 2021, 119: 102253. DOI: 10.1016/j.sysarc.2021.102253.</w:t>
      </w:r>
    </w:p>
    <w:p w14:paraId="3934065E">
      <w:pPr>
        <w:ind w:left="420" w:hanging="420"/>
        <w:rPr>
          <w:sz w:val="20"/>
          <w:szCs w:val="20"/>
        </w:rPr>
      </w:pPr>
      <w:r>
        <w:t>[12] Ma, Y., Borrelli, F., et al. Model Predictive Control for the Operation of Building Cooling Systems[J]. IEEE Transactions on Control Systems Technology, 2012, 20(3): 796-803. DOI: 10.1109/TCST.2011.2124461.</w:t>
      </w:r>
    </w:p>
    <w:p w14:paraId="69D58F37">
      <w:pPr>
        <w:ind w:left="420" w:hanging="420"/>
        <w:rPr>
          <w:sz w:val="20"/>
          <w:szCs w:val="20"/>
        </w:rPr>
      </w:pPr>
      <w:r>
        <w:t>[13] Oldewurtel, F., et al. Use of Model Predictive Control, Weather Forecasts for Energy Efficient Building Climate Control[J]. Energy, Buildings, 2012, 45: 15-27. DOI: 10.1016/j.enbuild.2011.09.022.</w:t>
      </w:r>
    </w:p>
    <w:p w14:paraId="49C4186F">
      <w:pPr>
        <w:ind w:left="420" w:hanging="420"/>
        <w:rPr>
          <w:sz w:val="20"/>
          <w:szCs w:val="20"/>
        </w:rPr>
      </w:pPr>
      <w:r>
        <w:t>[14] Mahbod, M. H. B., Chng, C. B., Lee, P. S., Chui, C. K. Energy Saving Evaluation of an Energy Efficient Data Center Using a Model-Free Reinforcement Learning Approach[J]. Applied Energy, 2022, 322: 119392. DOI: 10.1016/j.apenergy.2022.119392.</w:t>
      </w:r>
    </w:p>
    <w:p w14:paraId="6D76F2B5">
      <w:pPr>
        <w:ind w:left="420" w:hanging="420"/>
        <w:rPr>
          <w:sz w:val="20"/>
          <w:szCs w:val="20"/>
        </w:rPr>
      </w:pPr>
      <w:r>
        <w:t>[15] Ran, Y., Hu, H., Zhou, X., Wen, Y. DeepEE: Joint Optimization of Job Scheduling, Cooling Control for Data Center Energy Efficiency Using Deep Reinforcement Learning[C]. 2019 IEEE 39th International Conference on Distributed Computing Systems (ICDCS), 2019: 645-655. DOI: 10.1109/ICDCS.2019.00070.</w:t>
      </w:r>
    </w:p>
    <w:p w14:paraId="4E39F29E">
      <w:pPr>
        <w:ind w:left="420" w:hanging="420"/>
        <w:rPr>
          <w:sz w:val="20"/>
          <w:szCs w:val="20"/>
        </w:rPr>
      </w:pPr>
      <w:r>
        <w:t>[16] Guo, Y., Qu, S., Wang, C., Xing, Z., Duan, K. Optimal Dynamic Thermal Management for Data Center via Soft Actor-Critic Algorithm[J]. Applied Energy, 2024, 373. DOI: 10.1016/j.apenergy.2024.123815.</w:t>
      </w:r>
    </w:p>
    <w:p w14:paraId="46B1B539">
      <w:pPr>
        <w:ind w:left="420" w:hanging="420"/>
        <w:rPr>
          <w:sz w:val="20"/>
          <w:szCs w:val="20"/>
        </w:rPr>
      </w:pPr>
      <w:r>
        <w:t>[17] Xiao, Tianqi, You, Fengqi. Leveraging Deep Reinforcement Learning within Optimal Renewable Energy Strategies for Sustainable AI Data Centers[J]. Environmental Science &amp; Technology, 2026, 60(1): 522-536. DOI: 10.1021/acs.est.5c09990.</w:t>
      </w:r>
    </w:p>
    <w:p w14:paraId="0E347BEC">
      <w:r>
        <w:t>[18] Lin, Y., McPhee, J., Azad, N. L. Comparison of Deep Reinforcement Learning, Model Predictive Control for Adaptive Cruise Control[J]. IEEE Transactions on Intelligent Vehicles, 2021, 6(2): 221-231. DOI: 10.1109/TIV.2020.3012947.</w:t>
      </w:r>
    </w:p>
    <w:p w14:paraId="6D0C529D">
      <w:r>
        <w:t>[19] Wang, D., Zheng, W., Wang, Z., Wang, Y., Pang, X., Wang, W. Comparison of Reinforcement Learning, Model Predictive Control for Building Energy System Optimization[J]. Applied Thermal Engineering, 2023, 228: 120430. DOI: 10.1016/j.applthermaleng.2023.120430.</w:t>
      </w:r>
    </w:p>
    <w:p w14:paraId="4584EE4C">
      <w:r>
        <w:t>[20] Hu, Q., Sun, P., Yan, S., Wen, Y., Zhang, T., et al. Characterization, Prediction of Deep Learning Workloads in Large-Scale GPU Datacenters[C]. Proceedings of the International Conference for High Performance Computing, Networking, Storage, Analysis, 2021: 1-15. DOI: 10.1145/3458817.3476223.</w:t>
      </w:r>
    </w:p>
    <w:p w14:paraId="18AC23FF">
      <w:r>
        <w:t>[21] Weng, Q., Xiao, W., Yu, Y., Wang, W., Wang, C., He, J., Li, Y., Zhang, L., Lin, W., Ding, Y. MLaaS in the Wild: Workload Analysis, Scheduling in Large-Scale Heterogeneous GPU Clusters[C]. 19th USENIX Symposium on Networked Systems Design, Implementation (NSDI 22), 2022: 945-960. https://www.usenix.org/conference/nsdi22/presentation/weng</w:t>
      </w:r>
    </w:p>
    <w:p w14:paraId="4F134654">
      <w:r>
        <w:t>[22] Hu, Q., Ye, Z., Wang, Z., Wang, G., Zhang, M., Chen, Q., Sun, P., Lin, D., Wang, X., Luo, Y. Characterization of Large Language Model Development in the Datacenter[C]. 21st USENIX Symposium on Networked Systems Design, Implementation (NSDI 24), 2024: 709-729. https://www.usenix.org/conference/nsdi24/presentation/hu</w:t>
      </w:r>
    </w:p>
    <w:p w14:paraId="351C3784">
      <w:r>
        <w:t>[23] Liu, Z., Lin, M., Wierman, A., Low, S., Andrew, L. Renewable, Cooling Aware Workload Management for Sustainable Data Centers[J]. ACM SIGMETRICS Performance Evaluation Review, 2012, 40(1): 175-186. DOI: 10.1145/2318857.2254779.</w:t>
      </w:r>
    </w:p>
    <w:p w14:paraId="2C4531DA">
      <w:r>
        <w:t>[24] Sarkar, S., et al. SustainDC: Benchmarking for Sustainable Data Center Control[C]. NeurIPS 2024 Datasets, Benchmarks Track, 2024. https://proceedings.neurips.cc/paper_files/paper/2024/file/b6676756f8a935e208f394a1ba47f0bc-Paper-Datasets_and_Benchmarks_Track.pdf</w:t>
      </w:r>
    </w:p>
    <w:p w14:paraId="7A652D14">
      <w:r>
        <w:t>[25] Alapera. Data Centers as a Source of Dynamic Flexibility in Smart Grids[J]. Applied Energy, 2018, 229: 69-79. DOI: 10.1016/j.apenergy.2018.07.056.</w:t>
      </w:r>
    </w:p>
    <w:p w14:paraId="6E70F26B">
      <w:r>
        <w:t>[26] Cupelli, Livio, Schu. Data Center Control Strategy for Participation in Demand Response Programs[J]. IEEE Transactions on Industrial Informatics, 2018, 14(11): 5087-5099. DOI: 10.1109/TII.2018.2806889.</w:t>
      </w:r>
    </w:p>
    <w:p w14:paraId="52D6D813">
      <w:r>
        <w:t>[27] Takc. Quantitative Evaluation of Data Centers' Participation in Demand Side Management[J]. IEEE Access, 2021, 9: 14883-14896. DOI: 10.1109/ACCESS.2021.3052204.</w:t>
      </w:r>
    </w:p>
    <w:p w14:paraId="6B1F179A">
      <w:r>
        <w:t>[28] Yang, T., Zhao, Y., Pen, H., Wang, Z. Data Center Holistic Demand Response Algorithm to Smooth Microgrid Tie-Line Power Fluctuation[J]. Applied Energy, 2018, 231: 277-287. DOI: 10.1016/j.apenergy.2018.09.093.</w:t>
      </w:r>
    </w:p>
    <w:p w14:paraId="3944C920">
      <w:r>
        <w:t>[29] Radovanovic, Ana, Koningstein, Ross, Schneider, Ian, Chen, B., Duarte, A., Roy, B., Xiao, D., Haridasan, M., Hung, P., Care, N., et al. Carbon-Aware Computing for Datacenters[J]. IEEE Transactions on Power Systems, 2023, 38(2): 1270-1280. DOI: 10.1109/TPWRS.2022.3173250.</w:t>
      </w:r>
    </w:p>
    <w:p w14:paraId="42C59FA7">
      <w:r>
        <w:t>[30] Fu, Yifeng, Ou, Chao, Wen, Yao, Xiao, Xiao, Yao, Yao. A Multi-Stage Power Scheduling Framework for Data Center with Chilled Water Storage in Energy, Regulation Markets[J]. arXiv preprint arXiv:2007.09770, 2020. https://arxiv.org/abs/2007.09770</w:t>
      </w:r>
    </w:p>
    <w:p w14:paraId="375B80E8">
      <w:r>
        <w:t>[31] Liu, Jinliang, Geng, Jian, Zheng, Jianping, Wang, Yaming, Yang, Ruidong, Jermsittiparsert, Kittisak. Multi-Time Scale Optimization Scheduling of Intelligent Data Centers Based on Workload Shift, Refrigeration Regulation[J]. Energy Engineering, 2026, 123(2): 857-881. DOI: 10.32604/ee.2025.072631.</w:t>
      </w:r>
    </w:p>
    <w:p w14:paraId="16439A68">
      <w:r>
        <w:t>[32] Kahil, H., Sharma, S., Valisuo, P., Elmusrati, M. Reinforcement Learning for Data Center Energy Efficiency Optimization: A Systematic Literature Review, Research Roadmap[J]. Applied Energy, 2025, 389: 125734. DOI: 10.1016/j.apenergy.2025.125734.</w:t>
      </w:r>
    </w:p>
    <w:p w14:paraId="19B7AC44">
      <w:r>
        <w:t>[33] Kannari, Lotta, Wessberg, Nina, Hirvonen, Sara, Kantorovitch, Julia, Paiho, Satu. Reinforcement Learning for Control, Optimization of Real Buildings: Identifying, Addressing Implementation Hurdles[J]. Journal of Building Engineering, 2025, 104: 112283. DOI: 10.1016/j.jobe.2025.112283.</w:t>
      </w:r>
    </w:p>
    <w:p w14:paraId="1BC29DE3">
      <w:r>
        <w:t>[34] Khabbazi, Arash J., Pergantis, Elias N., Reyes Premer, Levi D., Papageorgiou, Panagiotis, Lee, Alex H., Braun, James E., Henze, Gregor P., Kircher, Kevin J. Lessons Learned from Field Demonstrations of Model Predictive Control, Reinforcement Learning for Residential, Commercial HVAC: A Review[J]. arXiv preprint arXiv:2503.05022, 2025. https://arxiv.org/abs/2503.05022</w:t>
      </w:r>
    </w:p>
    <w:p w14:paraId="1BDCC67B">
      <w:r>
        <w:t>[35] Wang, Yongzhen, Han, Yibo, Shen, Jun, Han, Kai, Li, Jian, Ji, Wenjie, Li, Hailong, Jing, Rui, Hua, Haochen, Wang, Dan, Han, Juntao, Shao, Shuangquan, Lin, Jiayu, Zhao, Jun, Zhang, Quan, Zhang, Yunfei, Zhang, Haoran, Yang, Qiang, Yan, Jinyue. Data Center Integrated Energy System for Sustainability: Generalization, Approaches, Methods, Techniques,, Future Perspectives[J]. The Innovation Energy, 2024, 1(1): 100014. DOI: 10.59717/j.xinn-energy.2024.100014.</w:t>
      </w:r>
    </w:p>
    <w:p w14:paraId="31B12D45">
      <w:r>
        <w:t>[36] Khosravi, Ali, Sandoval, Oscar R., Taslimi, Melika Sadat, Sahrakorpi, Tiia, Amorim, Gessica, Garcia Pabon, Juan Jose. Review of Energy Efficiency, Technological Advancements in Data Center Power Systems[J]. Energy &amp; Buildings, 2024, 323: 114834. DOI: 10.1016/j.enbuild.2024.114834.</w:t>
      </w:r>
    </w:p>
    <w:p w14:paraId="490862B2">
      <w:r>
        <w:t>[37] Cai, Senhong, Gou, Zhonghua. Towards Energy-Efficient Data Centers: A Comprehensive Review of Passive, Active Cooling Strategies[J]. Energy, Built Environment, 2026, 7: 206-226. DOI: 10.1016/j.enbenv.2024.08.009.</w:t>
      </w:r>
    </w:p>
    <w:p w14:paraId="319B8930">
      <w:r>
        <w:t>[38] Zhu, Y., Zhang, Q., Zeng, L., Wang, J., Zou, S. An Advanced Control Strategy of Hybrid Cooling System with Cold Water Storage System in Data Center[J]. Energy, 2024, 291: 130304. DOI: 10.1016/j.energy.2024.130304.</w:t>
      </w:r>
    </w:p>
    <w:p w14:paraId="61648215">
      <w:r>
        <w:t>[39] Xiang, K., et al. Optimization of a Free Cooling System Integrated with Cold Thermal Energy Storage in Data Center Based on MPC[J]. Energy, 2025, 336: 138389. DOI: 10.1016/j.energy.2025.138389.</w:t>
      </w:r>
    </w:p>
    <w:p w14:paraId="7AA32B9F">
      <w:r>
        <w:t>[40] Drgon. All You Need to Know about Model Predictive Control for Buildings[J]. Annual Reviews in Control, 2020, 50: 190-232. DOI: 10.1016/j.arcontrol.2020.09.001.</w:t>
      </w:r>
    </w:p>
    <w:p w14:paraId="4281B41C">
      <w:r>
        <w:t>[41] Yao, Ye, Shekhar, Divyanshu Kumar. State of the Art Review on Model Predictive Control (MPC) in Heating Ventilation, Air-Conditioning (HVAC) Field[J]. Building, Environment, 2021, 200: 107952. DOI: 10.1016/j.buildenv.2021.107952.</w:t>
      </w:r>
    </w:p>
    <w:sectPr>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黑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compat>
    <w:noLeading/>
    <w:doNotExpandShiftReturn/>
    <w:useFELayout/>
    <w:compatSetting w:name="compatibilityMode" w:uri="http://schemas.microsoft.com/office/word" w:val="11"/>
  </w:compat>
  <w:rsids>
    <w:rsidRoot w:val="00000000"/>
    <w:rsid w:val="587B156F"/>
    <w:rsid w:val="609C29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bottom w:val="single" w:color="000000" w:sz="6" w:space="1"/>
      </w:pBdr>
      <w:snapToGrid w:val="0"/>
      <w:jc w:val="center"/>
    </w:pPr>
    <w:rPr>
      <w:rFonts w:ascii="Calibri" w:hAnsi="Calibri" w:eastAsia="宋体;SimSun" w:cs="Times New Roman"/>
      <w:sz w:val="18"/>
      <w:szCs w:val="18"/>
    </w:rPr>
  </w:style>
  <w:style w:type="paragraph" w:styleId="5">
    <w:name w:val="List"/>
    <w:basedOn w:val="6"/>
    <w:uiPriority w:val="0"/>
    <w:rPr>
      <w:rFonts w:cs="FreeSans"/>
    </w:rPr>
  </w:style>
  <w:style w:type="paragraph" w:styleId="6">
    <w:name w:val="Body Text"/>
    <w:basedOn w:val="1"/>
    <w:uiPriority w:val="0"/>
    <w:pPr>
      <w:spacing w:before="0" w:after="140" w:line="276" w:lineRule="auto"/>
    </w:pPr>
  </w:style>
  <w:style w:type="paragraph" w:styleId="7">
    <w:name w:val="caption"/>
    <w:basedOn w:val="1"/>
    <w:qFormat/>
    <w:uiPriority w:val="0"/>
    <w:pPr>
      <w:suppressLineNumbers/>
      <w:spacing w:before="120" w:after="120"/>
    </w:pPr>
    <w:rPr>
      <w:rFonts w:cs="FreeSans"/>
      <w:i/>
      <w:iCs/>
      <w:sz w:val="24"/>
      <w:szCs w:val="24"/>
    </w:rPr>
  </w:style>
  <w:style w:type="paragraph" w:styleId="8">
    <w:name w:val="footer"/>
    <w:basedOn w:val="1"/>
    <w:qFormat/>
    <w:uiPriority w:val="0"/>
    <w:pPr>
      <w:snapToGrid w:val="0"/>
      <w:jc w:val="left"/>
    </w:pPr>
    <w:rPr>
      <w:rFonts w:ascii="Calibri" w:hAnsi="Calibri" w:eastAsia="宋体;SimSun" w:cs="Times New Roman"/>
      <w:sz w:val="18"/>
      <w:szCs w:val="18"/>
    </w:rPr>
  </w:style>
  <w:style w:type="character" w:customStyle="1" w:styleId="9">
    <w:name w:val="默认段落字体"/>
    <w:qFormat/>
    <w:uiPriority w:val="0"/>
  </w:style>
  <w:style w:type="character" w:customStyle="1" w:styleId="10">
    <w:name w:val="页眉 Char"/>
    <w:qFormat/>
    <w:uiPriority w:val="0"/>
    <w:rPr>
      <w:sz w:val="18"/>
      <w:szCs w:val="18"/>
    </w:rPr>
  </w:style>
  <w:style w:type="character" w:customStyle="1" w:styleId="11">
    <w:name w:val="页脚 Char"/>
    <w:qFormat/>
    <w:uiPriority w:val="0"/>
    <w:rPr>
      <w:sz w:val="18"/>
      <w:szCs w:val="18"/>
    </w:rPr>
  </w:style>
  <w:style w:type="character" w:customStyle="1" w:styleId="12">
    <w:name w:val="纯文本 Char"/>
    <w:qFormat/>
    <w:uiPriority w:val="0"/>
    <w:rPr>
      <w:rFonts w:ascii="宋体;SimSun" w:hAnsi="宋体;SimSun" w:eastAsia="宋体;SimSun" w:cs="Courier New"/>
      <w:szCs w:val="21"/>
    </w:rPr>
  </w:style>
  <w:style w:type="character" w:customStyle="1" w:styleId="13">
    <w:name w:val="批注框文本 Char"/>
    <w:qFormat/>
    <w:uiPriority w:val="0"/>
    <w:rPr>
      <w:rFonts w:ascii="Times New Roman" w:hAnsi="Times New Roman" w:eastAsia="宋体;SimSun" w:cs="Times New Roman"/>
      <w:sz w:val="18"/>
      <w:szCs w:val="18"/>
    </w:rPr>
  </w:style>
  <w:style w:type="paragraph" w:customStyle="1" w:styleId="14">
    <w:name w:val="Heading"/>
    <w:basedOn w:val="1"/>
    <w:next w:val="6"/>
    <w:qFormat/>
    <w:uiPriority w:val="0"/>
    <w:pPr>
      <w:keepNext/>
      <w:spacing w:before="240" w:after="120"/>
    </w:pPr>
    <w:rPr>
      <w:rFonts w:ascii="Liberation Sans" w:hAnsi="Liberation Sans" w:eastAsia="Noto Sans CJK SC" w:cs="FreeSans"/>
      <w:sz w:val="28"/>
      <w:szCs w:val="28"/>
    </w:rPr>
  </w:style>
  <w:style w:type="paragraph" w:customStyle="1" w:styleId="15">
    <w:name w:val="Index"/>
    <w:basedOn w:val="1"/>
    <w:qFormat/>
    <w:uiPriority w:val="0"/>
    <w:pPr>
      <w:suppressLineNumbers/>
    </w:pPr>
    <w:rPr>
      <w:rFonts w:cs="FreeSans"/>
    </w:rPr>
  </w:style>
  <w:style w:type="paragraph" w:customStyle="1" w:styleId="16">
    <w:name w:val="Header and Footer"/>
    <w:basedOn w:val="1"/>
    <w:qFormat/>
    <w:uiPriority w:val="0"/>
    <w:pPr>
      <w:suppressLineNumbers/>
      <w:tabs>
        <w:tab w:val="center" w:pos="4819"/>
        <w:tab w:val="right" w:pos="9638"/>
      </w:tabs>
    </w:pPr>
  </w:style>
  <w:style w:type="paragraph" w:customStyle="1" w:styleId="17">
    <w:name w:val="纯文本"/>
    <w:basedOn w:val="1"/>
    <w:qFormat/>
    <w:uiPriority w:val="0"/>
    <w:rPr>
      <w:rFonts w:ascii="宋体;SimSun" w:hAnsi="宋体;SimSun" w:cs="Courier New"/>
      <w:szCs w:val="21"/>
    </w:rPr>
  </w:style>
  <w:style w:type="paragraph" w:customStyle="1" w:styleId="18">
    <w:name w:val="批注框文本"/>
    <w:basedOn w:val="1"/>
    <w:qFormat/>
    <w:uiPriority w:val="0"/>
    <w:rPr>
      <w:sz w:val="18"/>
      <w:szCs w:val="18"/>
    </w:rPr>
  </w:style>
  <w:style w:type="paragraph" w:customStyle="1" w:styleId="19">
    <w:name w:val="Table Contents"/>
    <w:basedOn w:val="1"/>
    <w:qFormat/>
    <w:uiPriority w:val="0"/>
    <w:pPr>
      <w:widowControl w:val="0"/>
      <w:suppressLineNumbers/>
    </w:pPr>
  </w:style>
  <w:style w:type="paragraph" w:customStyle="1" w:styleId="20">
    <w:name w:val="Table Heading"/>
    <w:basedOn w:val="19"/>
    <w:qFormat/>
    <w:uiPriority w:val="0"/>
    <w:pPr>
      <w:suppressLineNumbers/>
      <w:jc w:val="center"/>
    </w:pPr>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TotalTime>31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2026-03-10T22:21:00Z</dcterms:created>
  <dc:creator>18430</dc:creator>
  <cp:lastModifiedBy>谢子恒</cp:lastModifiedBy>
  <dcterms:modified xsi:type="dcterms:W3CDTF">2026-03-10T22:52:49Z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3076-12.2.0.23196</vt:lpwstr>
  </property>
  <property fmtid="{D5CDD505-2E9C-101B-9397-08002B2CF9AE}" pid="3" name="ICV">
    <vt:lpwstr>621A1E4AEDB9473785A2C8515E598F9E_12</vt:lpwstr>
  </property>
</Properties>
</file>