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Early sepsis detection: a short review</w:t>
      </w:r>
    </w:p>
    <w:p>
      <w:r>
        <w:t xml:space="preserve">Machine learning can flag sepsis hours earlier than clinical scores </w:t>
      </w:r>
      <w:r>
        <w:t>(Smith and Jones, 2020b)</w:t>
      </w:r>
      <w:r>
        <w:t xml:space="preserve">. </w:t>
      </w:r>
      <w:r>
        <w:rPr>
          <w:i/>
        </w:rPr>
        <w:t xml:space="preserve">Readmission risk follows a similar pattern </w:t>
      </w:r>
      <w:r>
        <w:rPr/>
        <w:t>(García et al., 2021, p. 1045; Smith and Jones, 2020a)</w:t>
      </w:r>
      <w:r>
        <w:t>.</w:t>
      </w:r>
    </w:p>
    <w:p>
      <w:r>
        <w:t xml:space="preserve">As </w:t>
      </w:r>
      <w:r>
        <w:t>Kahneman (2011)</w:t>
      </w:r>
      <w:r>
        <w:t xml:space="preserve"> argued, fast intuitions are often wrong, and ethics frameworks matter </w:t>
      </w:r>
      <w:r>
        <w:t>(see Brown, 2019; World Health Organization, 2023)</w:t>
      </w:r>
      <w:r>
        <w:t>.</w:t>
      </w:r>
    </w:p>
    <w:p>
      <w:r>
        <w:t xml:space="preserve">Privacy-preserving approaches are maturing </w:t>
      </w:r>
      <w:r>
        <w:t>(Lee and Park, 2022; Nguyen, 2018)</w:t>
      </w:r>
      <w:r>
        <w:t>. Contact: someone@example.com (this is not a citation).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Federated learning</w:t>
            </w:r>
          </w:p>
        </w:tc>
        <w:tc>
          <w:tcPr>
            <w:tcW w:type="dxa" w:w="4320"/>
          </w:tcPr>
          <w:p>
            <w:r>
              <w:t xml:space="preserve">Reported in </w:t>
            </w:r>
            <w:r>
              <w:t>(2022)</w:t>
            </w:r>
            <w:r>
              <w:t xml:space="preserve"> and </w:t>
            </w:r>
            <w:r>
              <w:t>(García et al., 2021)</w:t>
            </w:r>
            <w:r>
              <w:t>.</w:t>
            </w:r>
          </w:p>
        </w:tc>
      </w:tr>
    </w:tbl>
    <w:p>
      <w:pPr>
        <w:bidi/>
      </w:pPr>
      <w:r>
        <w:rPr>
          <w:rtl/>
        </w:rPr>
        <w:t xml:space="preserve">یادگیری عمیق در تشخیص پزشکی کاربرد گسترده‌ای دارد </w:t>
      </w:r>
      <w:r>
        <w:rPr>
          <w:rtl/>
        </w:rPr>
        <w:t>(رضایی و محمدی، 1399؛ کریمی، 1398)</w:t>
      </w:r>
      <w:r>
        <w:rPr>
          <w:rtl/>
        </w:rPr>
        <w:t>.</w:t>
      </w:r>
    </w:p>
    <w:p>
      <w:pPr>
        <w:pStyle w:val="Heading1"/>
      </w:pPr>
      <w:r>
        <w:t>References</w:t>
      </w:r>
    </w:p>
    <w:p>
      <w:pPr>
        <w:spacing w:after="120"/>
        <w:ind w:left="720" w:hanging="720"/>
      </w:pPr>
      <w:r>
        <w:t xml:space="preserve">Brown, A. (2019) ‘Ethics of artificial intelligence in medicine’, in White, R. and Green, S. (eds) </w:t>
      </w:r>
      <w:r>
        <w:rPr>
          <w:i/>
        </w:rPr>
        <w:t>Handbook of Digital Health</w:t>
      </w:r>
      <w:r>
        <w:t>. Cham: Springer, pp. 45–67.</w:t>
      </w:r>
    </w:p>
    <w:p>
      <w:pPr>
        <w:spacing w:after="120"/>
        <w:ind w:left="720" w:hanging="720"/>
      </w:pPr>
      <w:r>
        <w:t xml:space="preserve">García, M., Chen, W., Okafor, N. and Novak, P. (2021) ‘Transformer models in clinical text mining: a systematic review’, </w:t>
      </w:r>
      <w:r>
        <w:rPr>
          <w:i/>
        </w:rPr>
        <w:t>Nature Medicine</w:t>
      </w:r>
      <w:r>
        <w:t>, 27, pp. 1043–1051. Available at: https://doi.org/10.1038/s41591-021-0001.</w:t>
      </w:r>
    </w:p>
    <w:p>
      <w:pPr>
        <w:spacing w:after="120"/>
        <w:ind w:left="720" w:hanging="720"/>
      </w:pPr>
      <w:r>
        <w:t xml:space="preserve">Kahneman, D. (2011) </w:t>
      </w:r>
      <w:r>
        <w:rPr>
          <w:i/>
        </w:rPr>
        <w:t>Thinking, Fast and Slow</w:t>
      </w:r>
      <w:r>
        <w:t>. 2nd edn. New York: Farrar, Straus and Giroux.</w:t>
      </w:r>
    </w:p>
    <w:p>
      <w:pPr>
        <w:spacing w:after="120"/>
        <w:ind w:left="720" w:hanging="720"/>
      </w:pPr>
      <w:r>
        <w:t xml:space="preserve">Lee, M.-J. and Park, J.-W. (2022) ‘Federated learning for privacy-preserving diagnosis’, in </w:t>
      </w:r>
      <w:r>
        <w:rPr>
          <w:i/>
        </w:rPr>
        <w:t>Proceedings of the IEEE Conference on Computer Vision</w:t>
      </w:r>
      <w:r>
        <w:t>. New Orleans, pp. 210–218. Available at: https://doi.org/10.1109/CVPR.2022.0021.</w:t>
      </w:r>
    </w:p>
    <w:p>
      <w:pPr>
        <w:spacing w:after="120"/>
        <w:ind w:left="720" w:hanging="720"/>
      </w:pPr>
      <w:r>
        <w:t xml:space="preserve">Nguyen, T. (2018) </w:t>
      </w:r>
      <w:r>
        <w:rPr>
          <w:i/>
        </w:rPr>
        <w:t>Explainable models for intensive care</w:t>
      </w:r>
      <w:r>
        <w:t>. PhD thesis. University of Oxford.</w:t>
      </w:r>
    </w:p>
    <w:p>
      <w:pPr>
        <w:spacing w:after="120"/>
        <w:ind w:left="720" w:hanging="720"/>
      </w:pPr>
      <w:r>
        <w:t xml:space="preserve">Smith, J.A. and Jones, B. (2020a) ‘A cohort study of hospital readmissions’, </w:t>
      </w:r>
      <w:r>
        <w:rPr>
          <w:i/>
        </w:rPr>
        <w:t>Journal of Medical Informatics</w:t>
      </w:r>
      <w:r>
        <w:t>, 12(5), pp. 301–310.</w:t>
      </w:r>
    </w:p>
    <w:p>
      <w:pPr>
        <w:spacing w:after="120"/>
        <w:ind w:left="720" w:hanging="720"/>
      </w:pPr>
      <w:r>
        <w:t xml:space="preserve">Smith, J.A. and Jones, B. (2020b) ‘Machine learning for early sepsis detection’, </w:t>
      </w:r>
      <w:r>
        <w:rPr>
          <w:i/>
        </w:rPr>
        <w:t>Journal of Medical Informatics</w:t>
      </w:r>
      <w:r>
        <w:t>, 12(3), pp. 123–129. Available at: https://doi.org/10.1000/jmi.2020.123.</w:t>
      </w:r>
    </w:p>
    <w:p>
      <w:pPr>
        <w:spacing w:after="120"/>
        <w:ind w:left="720" w:hanging="720"/>
      </w:pPr>
      <w:r>
        <w:t xml:space="preserve">World Health Organization (2023) </w:t>
      </w:r>
      <w:r>
        <w:rPr>
          <w:i/>
        </w:rPr>
        <w:t>Global report on sepsis</w:t>
      </w:r>
      <w:r>
        <w:t>. Available at: https://www.who.int/publications/sepsis-report (Accessed: 1 October 2026).</w:t>
      </w:r>
    </w:p>
    <w:p>
      <w:pPr>
        <w:bidi/>
        <w:spacing w:after="120"/>
        <w:ind w:left="720" w:hanging="720"/>
      </w:pPr>
      <w:r>
        <w:rPr>
          <w:rtl/>
        </w:rPr>
        <w:t xml:space="preserve">رضایی، ع. و محمدی، س. (1399) «کاربرد یادگیری عمیق در تشخیص پزشکی»، </w:t>
      </w:r>
      <w:r>
        <w:rPr>
          <w:i/>
          <w:rtl/>
        </w:rPr>
        <w:t>مجله انفورماتیک پزشکی ایران</w:t>
      </w:r>
      <w:r>
        <w:rPr>
          <w:rtl/>
        </w:rPr>
        <w:t>، 8(2)، صص. 45–60.</w:t>
      </w:r>
    </w:p>
    <w:p>
      <w:pPr>
        <w:bidi/>
        <w:spacing w:after="120"/>
        <w:ind w:left="720" w:hanging="720"/>
      </w:pPr>
      <w:r>
        <w:rPr>
          <w:rtl/>
        </w:rPr>
        <w:t xml:space="preserve">کریمی، ح. (1398) </w:t>
      </w:r>
      <w:r>
        <w:rPr>
          <w:i/>
          <w:rtl/>
        </w:rPr>
        <w:t>روش تحقیق در علوم پزشکی</w:t>
      </w:r>
      <w:r>
        <w:rPr>
          <w:rtl/>
        </w:rPr>
        <w:t>. ویرایش سوم. تهران: انتشارات دانشگاه تهران.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