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Early sepsis detection: a short review</w:t>
      </w:r>
    </w:p>
    <w:p>
      <w:r>
        <w:t xml:space="preserve">Machine learning can flag sepsis hours earlier than clinical scores </w:t>
      </w:r>
      <w:r>
        <w:t>[1]</w:t>
      </w:r>
      <w:r>
        <w:t xml:space="preserve">. </w:t>
      </w:r>
      <w:r>
        <w:rPr>
          <w:i/>
        </w:rPr>
        <w:t xml:space="preserve">Readmission risk follows a similar pattern </w:t>
      </w:r>
      <w:r>
        <w:rPr/>
        <w:t>[2, 3, p. 1045]</w:t>
      </w:r>
      <w:r>
        <w:t>.</w:t>
      </w:r>
    </w:p>
    <w:p>
      <w:r>
        <w:t xml:space="preserve">As </w:t>
      </w:r>
      <w:r>
        <w:t>Kahneman [4]</w:t>
      </w:r>
      <w:r>
        <w:t xml:space="preserve"> argued, fast intuitions are often wrong, and ethics frameworks matter </w:t>
      </w:r>
      <w:r>
        <w:t>[see 5, 6]</w:t>
      </w:r>
      <w:r>
        <w:t>.</w:t>
      </w:r>
    </w:p>
    <w:p>
      <w:r>
        <w:t xml:space="preserve">Privacy-preserving approaches are maturing </w:t>
      </w:r>
      <w:r>
        <w:t>[7, 8]</w:t>
      </w:r>
      <w:r>
        <w:t>. Contact: someone@example.com (this is not a citation).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Federated learning</w:t>
            </w:r>
          </w:p>
        </w:tc>
        <w:tc>
          <w:tcPr>
            <w:tcW w:type="dxa" w:w="4320"/>
          </w:tcPr>
          <w:p>
            <w:r>
              <w:t xml:space="preserve">Reported in </w:t>
            </w:r>
            <w:r>
              <w:t>[7]</w:t>
            </w:r>
            <w:r>
              <w:t xml:space="preserve"> and </w:t>
            </w:r>
            <w:r>
              <w:t>[3]</w:t>
            </w:r>
            <w:r>
              <w:t>.</w:t>
            </w:r>
          </w:p>
        </w:tc>
      </w:tr>
    </w:tbl>
    <w:p>
      <w:pPr>
        <w:bidi/>
      </w:pPr>
      <w:r>
        <w:rPr>
          <w:rtl/>
        </w:rPr>
        <w:t xml:space="preserve">یادگیری عمیق در تشخیص پزشکی کاربرد گسترده‌ای دارد </w:t>
      </w:r>
      <w:r>
        <w:rPr>
          <w:rtl/>
        </w:rPr>
        <w:t>[9, 10]</w:t>
      </w:r>
      <w:r>
        <w:rPr>
          <w:rtl/>
        </w:rPr>
        <w:t>.</w:t>
      </w:r>
    </w:p>
    <w:p>
      <w:pPr>
        <w:pStyle w:val="Heading1"/>
      </w:pPr>
      <w:r>
        <w:t>References</w:t>
      </w:r>
    </w:p>
    <w:p>
      <w:pPr>
        <w:tabs>
          <w:tab w:pos="567" w:val="left"/>
        </w:tabs>
        <w:spacing w:after="120"/>
        <w:ind w:left="567" w:hanging="567"/>
      </w:pPr>
      <w:r>
        <w:t>[1]</w:t>
        <w:tab/>
      </w:r>
      <w:r>
        <w:t xml:space="preserve">J. A. Smith and B. Jones, “Machine learning for early sepsis detection,” </w:t>
      </w:r>
      <w:r>
        <w:rPr>
          <w:i/>
        </w:rPr>
        <w:t>Journal of Medical Informatics</w:t>
      </w:r>
      <w:r>
        <w:t>, vol. 12, no. 3, pp. 123–129, Mar. 2020, doi: 10.1000/jmi.2020.123.</w:t>
      </w:r>
    </w:p>
    <w:p>
      <w:pPr>
        <w:tabs>
          <w:tab w:pos="567" w:val="left"/>
          <w:tab w:pos="567" w:val="left"/>
        </w:tabs>
        <w:spacing w:after="120"/>
        <w:ind w:left="567" w:hanging="567"/>
      </w:pPr>
      <w:r>
        <w:t>[2]</w:t>
        <w:tab/>
      </w:r>
      <w:r>
        <w:t xml:space="preserve">J. A. Smith and B. Jones, “A cohort study of hospital readmissions,” </w:t>
      </w:r>
      <w:r>
        <w:rPr>
          <w:i/>
        </w:rPr>
        <w:t>Journal of Medical Informatics</w:t>
      </w:r>
      <w:r>
        <w:t>, vol. 12, no. 5, pp. 301–310, 2020.</w:t>
      </w:r>
    </w:p>
    <w:p>
      <w:pPr>
        <w:tabs>
          <w:tab w:pos="567" w:val="left"/>
          <w:tab w:pos="567" w:val="left"/>
          <w:tab w:pos="567" w:val="left"/>
        </w:tabs>
        <w:spacing w:after="120"/>
        <w:ind w:left="567" w:hanging="567"/>
      </w:pPr>
      <w:r>
        <w:t>[3]</w:t>
        <w:tab/>
      </w:r>
      <w:r>
        <w:t xml:space="preserve">M. García, W. Chen, N. Okafor, and P. Novak, “Transformer models in clinical text mining: a systematic review,” </w:t>
      </w:r>
      <w:r>
        <w:rPr>
          <w:i/>
        </w:rPr>
        <w:t>Nature Medicine</w:t>
      </w:r>
      <w:r>
        <w:t>, vol. 27, pp. 1043–1051, 2021, doi: 10.1038/s41591-021-0001.</w:t>
      </w:r>
    </w:p>
    <w:p>
      <w:pPr>
        <w:tabs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t>[4]</w:t>
        <w:tab/>
      </w:r>
      <w:r>
        <w:t xml:space="preserve">D. Kahneman, </w:t>
      </w:r>
      <w:r>
        <w:rPr>
          <w:i/>
        </w:rPr>
        <w:t>Thinking, Fast and Slow</w:t>
      </w:r>
      <w:r>
        <w:t>, 2nd ed. New York: Farrar, Straus and Giroux, 2011.</w:t>
      </w:r>
    </w:p>
    <w:p>
      <w:pPr>
        <w:tabs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t>[5]</w:t>
        <w:tab/>
      </w:r>
      <w:r>
        <w:t xml:space="preserve">A. Brown, “Ethics of artificial intelligence in medicine,” in </w:t>
      </w:r>
      <w:r>
        <w:rPr>
          <w:i/>
        </w:rPr>
        <w:t>Handbook of Digital Health</w:t>
      </w:r>
      <w:r>
        <w:t>, R. White and S. Green, Eds. Cham: Springer, 2019, pp. 45–67.</w:t>
      </w:r>
    </w:p>
    <w:p>
      <w:pPr>
        <w:tabs>
          <w:tab w:pos="567" w:val="left"/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t>[6]</w:t>
        <w:tab/>
      </w:r>
      <w:r>
        <w:t>World Health Organization. “Global report on sepsis.” [Online]. Available: https://www.who.int/publications/sepsis-report (accessed Oct. 1, 2026).</w:t>
      </w:r>
    </w:p>
    <w:p>
      <w:pPr>
        <w:tabs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t>[7]</w:t>
        <w:tab/>
      </w:r>
      <w:r>
        <w:t xml:space="preserve">M.-J. Lee and J.-W. Park, “Federated learning for privacy-preserving diagnosis,” in </w:t>
      </w:r>
      <w:r>
        <w:rPr>
          <w:i/>
        </w:rPr>
        <w:t>Proceedings of the IEEE Conference on Computer Vision</w:t>
      </w:r>
      <w:r>
        <w:t>, New Orleans, 2022, pp. 210–218, doi: 10.1109/CVPR.2022.0021.</w:t>
      </w:r>
    </w:p>
    <w:p>
      <w:pPr>
        <w:tabs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t>[8]</w:t>
        <w:tab/>
      </w:r>
      <w:r>
        <w:t>T. Nguyen, “Explainable models for intensive care,” PhD thesis, University of Oxford, 2018.</w:t>
      </w:r>
    </w:p>
    <w:p>
      <w:pPr>
        <w:bidi/>
        <w:tabs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rPr>
          <w:rtl/>
        </w:rPr>
        <w:t>[9]</w:t>
        <w:tab/>
      </w:r>
      <w:r>
        <w:rPr>
          <w:rtl/>
        </w:rPr>
        <w:t xml:space="preserve">ع. رضایی و س. محمدی، «کاربرد یادگیری عمیق در تشخیص پزشکی،» </w:t>
      </w:r>
      <w:r>
        <w:rPr>
          <w:i/>
          <w:rtl/>
        </w:rPr>
        <w:t>مجله انفورماتیک پزشکی ایران</w:t>
      </w:r>
      <w:r>
        <w:rPr>
          <w:rtl/>
        </w:rPr>
        <w:t>، ج. 8، ش. 2، صص. 45–60، 1399.</w:t>
      </w:r>
    </w:p>
    <w:p>
      <w:pPr>
        <w:bidi/>
        <w:tabs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  <w:tab w:pos="567" w:val="left"/>
        </w:tabs>
        <w:spacing w:after="120"/>
        <w:ind w:left="567" w:hanging="567"/>
      </w:pPr>
      <w:r>
        <w:rPr>
          <w:rtl/>
        </w:rPr>
        <w:t>[10]</w:t>
        <w:tab/>
      </w:r>
      <w:r>
        <w:rPr>
          <w:rtl/>
        </w:rPr>
        <w:t xml:space="preserve">ح. کریمی، </w:t>
      </w:r>
      <w:r>
        <w:rPr>
          <w:i/>
          <w:rtl/>
        </w:rPr>
        <w:t>روش تحقیق در علوم پزشکی</w:t>
      </w:r>
      <w:r>
        <w:rPr>
          <w:rtl/>
        </w:rPr>
        <w:t>، ویرایش سوم. تهران: انتشارات دانشگاه تهران، 1398.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