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Early sepsis detection: a short review</w:t>
      </w:r>
    </w:p>
    <w:p>
      <w:r>
        <w:t xml:space="preserve">Machine learning can flag sepsis hours earlier than clinical scores [@smith2020]. </w:t>
      </w:r>
      <w:r>
        <w:rPr>
          <w:i/>
        </w:rPr>
        <w:t>Readmission risk follows a similar pattern [@smith2020b</w:t>
      </w:r>
      <w:r>
        <w:t>; @garcia2021, p. 1045].</w:t>
      </w:r>
    </w:p>
    <w:p>
      <w:r>
        <w:t>As @kahneman2011 argued, fast intuitions are often wrong, and ethics frameworks matter [see @brown2019; @who2023].</w:t>
      </w:r>
    </w:p>
    <w:p>
      <w:r>
        <w:t>Privacy-preserving approaches are maturing [@lee2022; @nguyen2018]. Contact: someone@example.com (this is not a citation).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Federated learning</w:t>
            </w:r>
          </w:p>
        </w:tc>
        <w:tc>
          <w:tcPr>
            <w:tcW w:type="dxa" w:w="4320"/>
          </w:tcPr>
          <w:p>
            <w:r>
              <w:t>Reported in [-@lee2022] and \cite{garcia2021}.</w:t>
            </w:r>
          </w:p>
        </w:tc>
      </w:tr>
    </w:tbl>
    <w:p>
      <w:pPr>
        <w:bidi/>
      </w:pPr>
      <w:r>
        <w:rPr>
          <w:rtl/>
        </w:rPr>
        <w:t>یادگیری عمیق در تشخیص پزشکی کاربرد گسترده‌ای دارد [@rezaei1399; @karimi1398].</w:t>
      </w:r>
    </w:p>
    <w:p>
      <w:pPr>
        <w:pStyle w:val="Heading1"/>
      </w:pPr>
      <w:r>
        <w:t>References</w:t>
      </w:r>
    </w:p>
    <w:p>
      <w:r>
        <w:t>[[BIBLIOGRAPHY]]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