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after="2200"/>
      </w:pPr>
      <w:r>
        <w:t>+=</w:t>
      </w:r>
    </w:p>
    <w:p>
      <w:pPr>
        <w:spacing/>
        <w:jc w:val="center"/>
      </w:pPr>
      <w:r>
        <w:rPr>
          <w:b/>
          <w:bCs/>
          <w:color w:val="1f2937"/>
          <w:sz w:val="72"/>
          <w:szCs w:val="72"/>
        </w:rPr>
        <w:t>VELIKY</w:t>
      </w:r>
      <w:r/>
    </w:p>
    <w:p>
      <w:pPr>
        <w:spacing w:before="150"/>
        <w:jc w:val="center"/>
      </w:pPr>
      <w:r>
        <w:rPr>
          <w:i/>
          <w:iCs/>
          <w:color w:val="0f766e"/>
          <w:sz w:val="26"/>
          <w:szCs w:val="26"/>
        </w:rPr>
        <w:t>Sovereign Enterprise Neural Tool-Intelligence &amp; Evidence Layer</w:t>
      </w:r>
      <w:r/>
    </w:p>
    <w:p>
      <w:pPr>
        <w:spacing w:after="200"/>
      </w:pPr>
      <w:r/>
    </w:p>
    <w:p>
      <w:pPr>
        <w:spacing/>
        <w:jc w:val="center"/>
      </w:pPr>
      <w:r>
        <w:rPr>
          <w:color w:val="6b7280"/>
          <w:sz w:val="24"/>
          <w:szCs w:val="24"/>
        </w:rPr>
        <w:t>Architecture Reference Document</w:t>
      </w:r>
      <w:r/>
    </w:p>
    <w:p>
      <w:pPr>
        <w:spacing w:before="60"/>
        <w:jc w:val="center"/>
      </w:pPr>
      <w:r>
        <w:rPr>
          <w:color w:val="6b7280"/>
        </w:rPr>
        <w:t>SIH 2026 — Problem Statement #26117: Sovereign On-Premise Agentic AI Workbench using Open-Weight Multimodal LLMs for Confidential Industrial Work</w:t>
      </w:r>
      <w:r/>
    </w:p>
    <w:p>
      <w:pPr>
        <w:spacing w:after="1600"/>
      </w:pPr>
      <w:r/>
    </w:p>
    <w:tbl>
      <w:tblPr>
        <w:name w:val="Table1"/>
        <w:tabOrder w:val="0"/>
        <w:jc w:val="left"/>
        <w:tblInd w:w="0" w:type="dxa"/>
        <w:tblW w:w="9350" w:type="dxa"/>
      </w:tblPr>
      <w:tblGrid>
        <w:gridCol w:w="9350"/>
      </w:tblGrid>
      <w:tr>
        <w:trPr>
          <w:tblHeader w:val="0"/>
          <w:cantSplit w:val="0"/>
          <w:trHeight w:val="0" w:hRule="auto"/>
        </w:trPr>
        <w:tc>
          <w:tcPr>
            <w:tcW w:w="9350" w:type="dxa"/>
            <w:shd w:val="solid" w:color="ECFDF5" tmshd="1677721856, 0, 16121324"/>
            <w:tcMar>
              <w:top w:w="150" w:type="dxa"/>
              <w:left w:w="200" w:type="dxa"/>
              <w:bottom w:w="150" w:type="dxa"/>
              <w:right w:w="200" w:type="dxa"/>
            </w:tcMar>
            <w:tcBorders>
              <w:top w:val="single" w:sz="6" w:space="0" w:color="0F766E" tmln="15, 20, 20, 0, 0"/>
              <w:left w:val="single" w:sz="6" w:space="0" w:color="0F766E" tmln="15, 20, 20, 0, 0"/>
              <w:bottom w:val="single" w:sz="6" w:space="0" w:color="0F766E" tmln="15, 20, 20, 0, 0"/>
              <w:right w:val="single" w:sz="6" w:space="0" w:color="0F766E" tmln="15, 20, 20, 0, 0"/>
              <w:tl2br w:val="nil" w:sz="0" w:space="0" w:color="000000" tmln="20, 20, 20, 0, 0"/>
              <w:tr2bl w:val="nil" w:sz="0" w:space="0" w:color="000000" tmln="20, 20, 20, 0, 0"/>
            </w:tcBorders>
            <w:tmTcPr id="1788753616" protected="0"/>
          </w:tcPr>
          <w:p>
            <w:pPr>
              <w:spacing w:after="80"/>
            </w:pPr>
            <w:r>
              <w:rPr>
                <w:b/>
                <w:bCs/>
                <w:color w:val="0f766e"/>
                <w:sz w:val="21"/>
                <w:szCs w:val="21"/>
              </w:rPr>
              <w:t>Purpose of this document</w:t>
            </w:r>
            <w:r/>
          </w:p>
          <w:p>
            <w:pPr/>
            <w:r>
              <w:rPr>
                <w:sz w:val="21"/>
                <w:szCs w:val="21"/>
              </w:rPr>
              <w:t>This is the single reference for the whole team — architecture, differentiators, evaluation plan, deployment reality, and build order. If a teammate asks 'what are we actually building,' this document is the answer. It supersedes any single chat thread or verbal explanation.</w:t>
            </w:r>
            <w:r/>
          </w:p>
        </w:tc>
      </w:tr>
    </w:tbl>
    <w:p>
      <w:pPr>
        <w:spacing w:after="600"/>
      </w:pPr>
      <w:r/>
    </w:p>
    <w:p>
      <w:pPr>
        <w:spacing/>
        <w:jc w:val="center"/>
      </w:pPr>
      <w:r>
        <w:rPr>
          <w:i/>
          <w:iCs/>
          <w:color w:val="6b7280"/>
          <w:sz w:val="18"/>
          <w:szCs w:val="18"/>
        </w:rPr>
        <w:t>Companion project: EDITH — Personal AI Operating System (shared architectural pattern, personal-scale)</w:t>
      </w:r>
      <w:r/>
    </w:p>
    <w:p>
      <w:pPr>
        <w:sectPr>
          <w:footnotePr>
            <w:pos w:val="pageBottom"/>
            <w:numFmt w:val="decimal"/>
            <w:numStart w:val="1"/>
            <w:numRestart w:val="continuous"/>
          </w:footnotePr>
          <w:endnotePr>
            <w:pos w:val="docEnd"/>
            <w:numFmt w:val="lowerRoman"/>
            <w:numStart w:val="1"/>
            <w:numRestart w:val="continuous"/>
          </w:endnotePr>
          <w:type w:val="nextPage"/>
          <w:pgSz w:h="15840" w:w="12240"/>
          <w:pgMar w:left="1350" w:top="1440" w:right="1350" w:bottom="1440" w:header="0" w:footer="0"/>
          <w:paperSrc w:first="0" w:other="0" a="0" b="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2"/>
        <w:spacing w:before="400" w:after="200"/>
      </w:pPr>
      <w:r>
        <w:br w:type="page"/>
      </w:r>
      <w:r>
        <w:t>Table of Contents</w:t>
      </w:r>
    </w:p>
    <w:p>
      <w:pPr>
        <w:spacing w:after="120"/>
      </w:pPr>
      <w:r>
        <w:rPr>
          <w:color w:val="1f2937"/>
          <w:sz w:val="23"/>
          <w:szCs w:val="23"/>
        </w:rPr>
        <w:t>1. Executive Summary</w:t>
      </w:r>
      <w:r/>
    </w:p>
    <w:p>
      <w:pPr>
        <w:spacing w:after="120"/>
      </w:pPr>
      <w:r>
        <w:rPr>
          <w:color w:val="1f2937"/>
          <w:sz w:val="23"/>
          <w:szCs w:val="23"/>
        </w:rPr>
        <w:t>2. Problem Statement Recap — PS #26117</w:t>
      </w:r>
      <w:r/>
    </w:p>
    <w:p>
      <w:pPr>
        <w:spacing w:after="120"/>
      </w:pPr>
      <w:r>
        <w:rPr>
          <w:color w:val="1f2937"/>
          <w:sz w:val="23"/>
          <w:szCs w:val="23"/>
        </w:rPr>
        <w:t>3. System Philosophy</w:t>
      </w:r>
      <w:r/>
    </w:p>
    <w:p>
      <w:pPr>
        <w:spacing w:after="120"/>
      </w:pPr>
      <w:r>
        <w:rPr>
          <w:color w:val="1f2937"/>
          <w:sz w:val="23"/>
          <w:szCs w:val="23"/>
        </w:rPr>
        <w:t>4. High-Level Architecture</w:t>
      </w:r>
      <w:r/>
    </w:p>
    <w:p>
      <w:pPr>
        <w:spacing w:after="120"/>
      </w:pPr>
      <w:r>
        <w:rPr>
          <w:color w:val="1f2937"/>
          <w:sz w:val="23"/>
          <w:szCs w:val="23"/>
        </w:rPr>
        <w:t>5. Core Layers</w:t>
      </w:r>
      <w:r/>
    </w:p>
    <w:p>
      <w:pPr>
        <w:spacing w:after="120"/>
      </w:pPr>
      <w:r>
        <w:rPr>
          <w:color w:val="1f2937"/>
          <w:sz w:val="23"/>
          <w:szCs w:val="23"/>
        </w:rPr>
        <w:t>6. The Knowledge Vault &amp; Graph Model</w:t>
      </w:r>
      <w:r/>
    </w:p>
    <w:p>
      <w:pPr>
        <w:spacing w:after="120"/>
      </w:pPr>
      <w:r>
        <w:rPr>
          <w:color w:val="1f2937"/>
          <w:sz w:val="23"/>
          <w:szCs w:val="23"/>
        </w:rPr>
        <w:t>7. Differentiators — the “No One Else Thought of This” Layer</w:t>
      </w:r>
      <w:r/>
    </w:p>
    <w:p>
      <w:pPr>
        <w:spacing w:after="120"/>
      </w:pPr>
      <w:r>
        <w:rPr>
          <w:color w:val="1f2937"/>
          <w:sz w:val="23"/>
          <w:szCs w:val="23"/>
        </w:rPr>
        <w:t>8. Evaluation Methodology</w:t>
      </w:r>
      <w:r/>
    </w:p>
    <w:p>
      <w:pPr>
        <w:spacing w:after="120"/>
      </w:pPr>
      <w:r>
        <w:rPr>
          <w:color w:val="1f2937"/>
          <w:sz w:val="23"/>
          <w:szCs w:val="23"/>
        </w:rPr>
        <w:t>9. Resource &amp; Hardware Sizing</w:t>
      </w:r>
      <w:r/>
    </w:p>
    <w:p>
      <w:pPr>
        <w:spacing w:after="120"/>
      </w:pPr>
      <w:r>
        <w:rPr>
          <w:color w:val="1f2937"/>
          <w:sz w:val="23"/>
          <w:szCs w:val="23"/>
        </w:rPr>
        <w:t>10. Failure Modes &amp; Resilience</w:t>
      </w:r>
      <w:r/>
    </w:p>
    <w:p>
      <w:pPr>
        <w:spacing w:after="120"/>
      </w:pPr>
      <w:r>
        <w:rPr>
          <w:color w:val="1f2937"/>
          <w:sz w:val="23"/>
          <w:szCs w:val="23"/>
        </w:rPr>
        <w:t>11. Security, Data Governance &amp; Compliance</w:t>
      </w:r>
      <w:r/>
    </w:p>
    <w:p>
      <w:pPr>
        <w:spacing w:after="120"/>
      </w:pPr>
      <w:r>
        <w:rPr>
          <w:color w:val="1f2937"/>
          <w:sz w:val="23"/>
          <w:szCs w:val="23"/>
        </w:rPr>
        <w:t>12. Integration with Existing Plant Systems</w:t>
      </w:r>
      <w:r/>
    </w:p>
    <w:p>
      <w:pPr>
        <w:spacing w:after="120"/>
      </w:pPr>
      <w:r>
        <w:rPr>
          <w:color w:val="1f2937"/>
          <w:sz w:val="23"/>
          <w:szCs w:val="23"/>
        </w:rPr>
        <w:t>13. Cost &amp; Deployment Feasibility</w:t>
      </w:r>
      <w:r/>
    </w:p>
    <w:p>
      <w:pPr>
        <w:spacing w:after="120"/>
      </w:pPr>
      <w:r>
        <w:rPr>
          <w:color w:val="1f2937"/>
          <w:sz w:val="23"/>
          <w:szCs w:val="23"/>
        </w:rPr>
        <w:t>14. Build Roadmap</w:t>
      </w:r>
      <w:r/>
    </w:p>
    <w:p>
      <w:pPr>
        <w:spacing w:after="120"/>
      </w:pPr>
      <w:r>
        <w:rPr>
          <w:color w:val="1f2937"/>
          <w:sz w:val="23"/>
          <w:szCs w:val="23"/>
        </w:rPr>
        <w:t>15. Relationship to EDITH</w:t>
      </w:r>
      <w:r/>
    </w:p>
    <w:p>
      <w:pPr>
        <w:spacing w:after="120"/>
      </w:pPr>
      <w:r>
        <w:rPr>
          <w:color w:val="1f2937"/>
          <w:sz w:val="23"/>
          <w:szCs w:val="23"/>
        </w:rPr>
        <w:t>16. Appendix — Full Reference Diagram</w:t>
      </w:r>
      <w:r/>
    </w:p>
    <w:p>
      <w:pPr>
        <w:spacing w:after="120"/>
      </w:pPr>
      <w:r>
        <w:rPr>
          <w:color w:val="1f2937"/>
          <w:sz w:val="23"/>
          <w:szCs w:val="23"/>
        </w:rPr>
        <w:t>17. Demonstration Scripts</w:t>
      </w:r>
      <w:r/>
    </w:p>
    <w:p>
      <w:pPr>
        <w:pStyle w:val="para2"/>
        <w:spacing w:before="400" w:after="200"/>
      </w:pPr>
      <w:r>
        <w:br w:type="page"/>
      </w:r>
      <w:r>
        <w:t>1. Executive Summary</w:t>
      </w:r>
    </w:p>
    <w:p>
      <w:pPr>
        <w:spacing w:after="160"/>
      </w:pPr>
      <w:r>
        <w:rPr>
          <w:sz w:val="22"/>
          <w:szCs w:val="22"/>
        </w:rPr>
        <w:t>VELIKY is not a local RAG chatbot. It is a sovereign, on-premise AI workbench that lets an organization deploy agentic, tool-using, multimodal AI over confidential internal data without that data ever leaving the organization's infrastructure. It sees documents, drawings, and spreadsheets; plans multi-step investigations; uses tools inside a controlled sandbox; verifies its own outputs against evidence; and leaves an auditable record of every action it takes.</w:t>
      </w:r>
      <w:r/>
    </w:p>
    <w:p>
      <w:pPr>
        <w:spacing w:after="160"/>
      </w:pPr>
      <w:r>
        <w:rPr>
          <w:sz w:val="22"/>
          <w:szCs w:val="22"/>
        </w:rPr>
        <w:t>The system is judged not on whether it can answer a question, but on whether it can be trusted to act — and trust is engineered in, not assumed: every action passes through policy gating and independent verification before it is reported as done.</w:t>
      </w:r>
      <w:r/>
    </w:p>
    <w:p>
      <w:pPr>
        <w:pStyle w:val="para4"/>
        <w:spacing w:before="200" w:after="100"/>
      </w:pPr>
      <w:r>
        <w:t>The one-line pitch</w:t>
      </w:r>
    </w:p>
    <w:tbl>
      <w:tblPr>
        <w:name w:val="Table2"/>
        <w:tabOrder w:val="0"/>
        <w:jc w:val="left"/>
        <w:tblInd w:w="0" w:type="dxa"/>
        <w:tblW w:w="9350" w:type="dxa"/>
      </w:tblPr>
      <w:tblGrid>
        <w:gridCol w:w="9350"/>
      </w:tblGrid>
      <w:tr>
        <w:trPr>
          <w:tblHeader w:val="0"/>
          <w:cantSplit w:val="0"/>
          <w:trHeight w:val="0" w:hRule="auto"/>
        </w:trPr>
        <w:tc>
          <w:tcPr>
            <w:tcW w:w="9350" w:type="dxa"/>
            <w:shd w:val="solid" w:color="ECFDF5" tmshd="1677721856, 0, 16121324"/>
            <w:tcMar>
              <w:top w:w="150" w:type="dxa"/>
              <w:left w:w="200" w:type="dxa"/>
              <w:bottom w:w="150" w:type="dxa"/>
              <w:right w:w="200" w:type="dxa"/>
            </w:tcMar>
            <w:tcBorders>
              <w:top w:val="single" w:sz="6" w:space="0" w:color="0F766E" tmln="15, 20, 20, 0, 0"/>
              <w:left w:val="single" w:sz="6" w:space="0" w:color="0F766E" tmln="15, 20, 20, 0, 0"/>
              <w:bottom w:val="single" w:sz="6" w:space="0" w:color="0F766E" tmln="15, 20, 20, 0, 0"/>
              <w:right w:val="single" w:sz="6" w:space="0" w:color="0F766E" tmln="15, 20, 20, 0, 0"/>
              <w:tl2br w:val="nil" w:sz="0" w:space="0" w:color="000000" tmln="20, 20, 20, 0, 0"/>
              <w:tr2bl w:val="nil" w:sz="0" w:space="0" w:color="000000" tmln="20, 20, 20, 0, 0"/>
            </w:tcBorders>
            <w:tmTcPr id="1788753616" protected="0"/>
          </w:tcPr>
          <w:p>
            <w:pPr>
              <w:spacing w:after="80"/>
            </w:pPr>
            <w:r>
              <w:rPr>
                <w:b/>
                <w:bCs/>
                <w:color w:val="0f766e"/>
                <w:sz w:val="21"/>
                <w:szCs w:val="21"/>
              </w:rPr>
              <w:t>Pitch</w:t>
            </w:r>
            <w:r/>
          </w:p>
          <w:p>
            <w:pPr/>
            <w:r>
              <w:rPr>
                <w:sz w:val="21"/>
                <w:szCs w:val="21"/>
              </w:rPr>
              <w:t>“We built a sovereign AI workbench that dynamically selects specialized open-weight models, retrieves organization-specific knowledge through a linked-notes knowledge graph, executes tools in isolated environments, verifies its own outputs against evidence, and maintains an auditable record of every AI action — entirely on-premise.”</w:t>
            </w:r>
            <w:r/>
          </w:p>
        </w:tc>
      </w:tr>
    </w:tbl>
    <w:p>
      <w:pPr>
        <w:pStyle w:val="para4"/>
        <w:spacing w:before="200" w:after="100"/>
      </w:pPr>
      <w:r>
        <w:t>What makes this a 10, not a 7</w:t>
      </w:r>
    </w:p>
    <w:p>
      <w:pPr>
        <w:spacing w:after="160"/>
      </w:pPr>
      <w:r>
        <w:rPr>
          <w:sz w:val="22"/>
          <w:szCs w:val="22"/>
        </w:rPr>
        <w:t>Six things separate a strong architecture from a complete one, and this document is built around closing all six gaps: a defined evaluation methodology, honest hardware/resource sizing, designed failure modes (not just the happy path), a real data-governance and compliance story, an integration plan with systems plants already run, and a cost/deployability argument. Sections 8–13 exist specifically to answer these.</w:t>
      </w:r>
      <w:r/>
    </w:p>
    <w:p>
      <w:pPr>
        <w:pStyle w:val="para2"/>
        <w:spacing w:before="400" w:after="200"/>
      </w:pPr>
      <w:r>
        <w:t>2. Problem Statement Recap — PS #26117</w:t>
      </w:r>
    </w:p>
    <w:p>
      <w:pPr>
        <w:spacing w:after="160"/>
      </w:pPr>
      <w:r>
        <w:rPr>
          <w:sz w:val="22"/>
          <w:szCs w:val="22"/>
        </w:rPr>
        <w:t>“Sovereign On-Premise Agentic AI Workbench using Open-Weight Multimodal LLMs for Confidential Industrial Work.” Four requirements are embedded in that sentence, and the architecture is organized to answer each one explicitly:</w:t>
      </w:r>
      <w:r/>
    </w:p>
    <w:tbl>
      <w:tblPr>
        <w:name w:val="Table3"/>
        <w:tabOrder w:val="0"/>
        <w:jc w:val="left"/>
        <w:tblInd w:w="0" w:type="dxa"/>
        <w:tblW w:w="9350" w:type="dxa"/>
      </w:tblPr>
      <w:tblGrid>
        <w:gridCol w:w="3200"/>
        <w:gridCol w:w="6150"/>
      </w:tblGrid>
      <w:tr>
        <w:trPr>
          <w:tblHeader/>
          <w:cantSplit w:val="0"/>
          <w:trHeight w:val="0" w:hRule="auto"/>
        </w:trPr>
        <w:tc>
          <w:tcPr>
            <w:tcW w:w="32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Requirement</w:t>
            </w:r>
            <w:r/>
          </w:p>
        </w:tc>
        <w:tc>
          <w:tcPr>
            <w:tcW w:w="61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How VELIKY answers it</w:t>
            </w:r>
            <w:r/>
          </w:p>
        </w:tc>
      </w:tr>
      <w:tr>
        <w:trPr>
          <w:tblHeader w:val="0"/>
          <w:cantSplit/>
          <w:trHeight w:val="0" w:hRule="auto"/>
        </w:trPr>
        <w:tc>
          <w:tcPr>
            <w:tcW w:w="32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Sovereign / on-premise</w:t>
            </w:r>
            <w:r/>
          </w:p>
        </w:tc>
        <w:tc>
          <w:tcPr>
            <w:tcW w:w="61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No external AI API calls, no cloud document upload; Section 11 details what “sovereign” means beyond a disconnected Ethernet cable.</w:t>
            </w:r>
            <w:r/>
          </w:p>
        </w:tc>
      </w:tr>
      <w:tr>
        <w:trPr>
          <w:tblHeader w:val="0"/>
          <w:cantSplit/>
          <w:trHeight w:val="0" w:hRule="auto"/>
        </w:trPr>
        <w:tc>
          <w:tcPr>
            <w:tcW w:w="32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Open-weight models</w:t>
            </w:r>
            <w:r/>
          </w:p>
        </w:tc>
        <w:tc>
          <w:tcPr>
            <w:tcW w:w="61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Local model registry (Qwen / Llama / Gemma / a coder model) behind a capability-and-resource-aware router — Section 5.2 and Section 9.</w:t>
            </w:r>
            <w:r/>
          </w:p>
        </w:tc>
      </w:tr>
      <w:tr>
        <w:trPr>
          <w:tblHeader w:val="0"/>
          <w:cantSplit/>
          <w:trHeight w:val="0" w:hRule="auto"/>
        </w:trPr>
        <w:tc>
          <w:tcPr>
            <w:tcW w:w="32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Multimodal</w:t>
            </w:r>
            <w:r/>
          </w:p>
        </w:tc>
        <w:tc>
          <w:tcPr>
            <w:tcW w:w="61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Vision model handles drawings, P&amp;IDs, photographs, scanned documents alongside text and spreadsheets — Section 5.3.</w:t>
            </w:r>
            <w:r/>
          </w:p>
        </w:tc>
      </w:tr>
      <w:tr>
        <w:trPr>
          <w:tblHeader w:val="0"/>
          <w:cantSplit/>
          <w:trHeight w:val="0" w:hRule="auto"/>
        </w:trPr>
        <w:tc>
          <w:tcPr>
            <w:tcW w:w="32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Agentic</w:t>
            </w:r>
            <w:r/>
          </w:p>
        </w:tc>
        <w:tc>
          <w:tcPr>
            <w:tcW w:w="61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Planning, tool use, execution, and verification loop — not single-shot Q&amp;A — Sections 5.4–5.6.</w:t>
            </w:r>
            <w:r/>
          </w:p>
        </w:tc>
      </w:tr>
      <w:tr>
        <w:trPr>
          <w:tblHeader w:val="0"/>
          <w:cantSplit/>
          <w:trHeight w:val="0" w:hRule="auto"/>
        </w:trPr>
        <w:tc>
          <w:tcPr>
            <w:tcW w:w="32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Confidential industrial work</w:t>
            </w:r>
            <w:r/>
          </w:p>
        </w:tc>
        <w:tc>
          <w:tcPr>
            <w:tcW w:w="61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RBAC + document-level and graph-level permissions, audit trail, evidence-first answers — Sections 5.5, 6.2, 11.</w:t>
            </w:r>
            <w:r/>
          </w:p>
        </w:tc>
      </w:tr>
    </w:tbl>
    <w:p>
      <w:pPr>
        <w:pStyle w:val="para2"/>
        <w:spacing w:before="400" w:after="200"/>
      </w:pPr>
      <w:r>
        <w:t>3. System Philosophy</w:t>
      </w:r>
    </w:p>
    <w:p>
      <w:pPr>
        <w:spacing w:after="160"/>
      </w:pPr>
      <w:r>
        <w:rPr>
          <w:sz w:val="22"/>
          <w:szCs w:val="22"/>
        </w:rPr>
        <w:t>VELIKY's design follows the same discipline as its companion project EDITH (Section 15): the model proposes, it never unilaterally authorizes, and it never unilaterally declares success.</w:t>
      </w:r>
      <w:r/>
    </w:p>
    <w:p>
      <w:pPr>
        <w:pStyle w:val="para4"/>
        <w:spacing w:before="200" w:after="100"/>
      </w:pPr>
      <w:r>
        <w:t>Guiding principles</w:t>
      </w:r>
    </w:p>
    <w:p>
      <w:pPr>
        <w:pStyle w:val="para9"/>
        <w:numPr>
          <w:ilvl w:val="0"/>
          <w:numId w:val="5"/>
        </w:numPr>
        <w:ind w:left="0" w:firstLine="0"/>
        <w:spacing w:after="80"/>
      </w:pPr>
      <w:r>
        <w:t>Goal first — the user states an outcome (“analyze P-204”), not a sequence of tool calls.</w:t>
      </w:r>
    </w:p>
    <w:p>
      <w:pPr>
        <w:pStyle w:val="para9"/>
        <w:numPr>
          <w:ilvl w:val="0"/>
          <w:numId w:val="5"/>
        </w:numPr>
        <w:ind w:left="0" w:firstLine="0"/>
        <w:spacing w:after="80"/>
      </w:pPr>
      <w:r>
        <w:t>Evidence before conclusion — every claim is traceable to a specific document, page, or sensor reading.</w:t>
      </w:r>
    </w:p>
    <w:p>
      <w:pPr>
        <w:pStyle w:val="para9"/>
        <w:numPr>
          <w:ilvl w:val="0"/>
          <w:numId w:val="5"/>
        </w:numPr>
        <w:ind w:left="0" w:firstLine="0"/>
        <w:spacing w:after="80"/>
      </w:pPr>
      <w:r>
        <w:t>Tools instead of hallucinated actions — the model requests; the backend authorizes and executes.</w:t>
      </w:r>
    </w:p>
    <w:p>
      <w:pPr>
        <w:pStyle w:val="para9"/>
        <w:numPr>
          <w:ilvl w:val="0"/>
          <w:numId w:val="5"/>
        </w:numPr>
        <w:ind w:left="0" w:firstLine="0"/>
        <w:spacing w:after="80"/>
      </w:pPr>
      <w:r>
        <w:t>Verification is mandatory — independent, non-model checks confirm an action's real-world effect before it is reported as done.</w:t>
      </w:r>
    </w:p>
    <w:p>
      <w:pPr>
        <w:pStyle w:val="para9"/>
        <w:numPr>
          <w:ilvl w:val="0"/>
          <w:numId w:val="5"/>
        </w:numPr>
        <w:ind w:left="0" w:firstLine="0"/>
        <w:spacing w:after="80"/>
      </w:pPr>
      <w:r>
        <w:t>Human control scales with risk — low-risk actions auto-execute, consequential ones require approval, destructive ones are blocked outright.</w:t>
      </w:r>
    </w:p>
    <w:p>
      <w:pPr>
        <w:pStyle w:val="para9"/>
        <w:numPr>
          <w:ilvl w:val="0"/>
          <w:numId w:val="5"/>
        </w:numPr>
        <w:ind w:left="0" w:firstLine="0"/>
        <w:spacing w:after="80"/>
      </w:pPr>
      <w:r>
        <w:t>Memory is controlled and permissioned — not a flat archive anyone can query into.</w:t>
      </w:r>
    </w:p>
    <w:p>
      <w:pPr>
        <w:pStyle w:val="para9"/>
        <w:numPr>
          <w:ilvl w:val="0"/>
          <w:numId w:val="5"/>
        </w:numPr>
        <w:ind w:left="0" w:firstLine="0"/>
        <w:spacing w:after="80"/>
      </w:pPr>
      <w:r>
        <w:t>Fail visibly — a failed tool call is reported as a failure with its cause, never silently retried into an unexplained gap.</w:t>
      </w:r>
    </w:p>
    <w:p>
      <w:pPr>
        <w:pStyle w:val="para2"/>
        <w:spacing w:before="400" w:after="200"/>
      </w:pPr>
      <w:r>
        <w:t>4. High-Level Architecture</w:t>
      </w:r>
    </w:p>
    <w:p>
      <w:pPr>
        <w:spacing w:before="120" w:after="200"/>
        <w:pBdr>
          <w:top w:val="single" w:sz="2" w:space="3" w:color="334155" tmln="5, 20, 20, 0, 60"/>
          <w:left w:val="single" w:sz="2" w:space="3" w:color="334155" tmln="5, 20, 20, 0, 60"/>
          <w:bottom w:val="single" w:sz="2" w:space="3" w:color="334155" tmln="5, 20, 20, 0, 60"/>
          <w:right w:val="single" w:sz="2" w:space="3" w:color="334155" tmln="5, 20, 20, 0, 60"/>
          <w:between w:val="nil" w:sz="0" w:space="0" w:color="000000" tmln="20, 20, 20, 0, 0"/>
        </w:pBdr>
        <w:shd w:val="solid" w:color="0F1115" tmshd="1677721856, 0, 1380623"/>
      </w:pPr>
      <w:r>
        <w:rPr>
          <w:rFonts w:ascii="Consolas" w:hAnsi="Consolas" w:eastAsia="Consolas" w:cs="Consolas"/>
          <w:color w:val="5eead4"/>
          <w:sz w:val="18"/>
          <w:szCs w:val="18"/>
        </w:rPr>
        <w:t xml:space="preserve">                          USER / MISSION CONTROL UI</w:t>
        <w:br w:type="textWrapping"/>
        <w:t xml:space="preserve">                                    |</w:t>
        <w:br w:type="textWrapping"/>
        <w:t xml:space="preserve">                       IDENTITY, AUTH &amp; RBAC LAYER</w:t>
        <w:br w:type="textWrapping"/>
        <w:t xml:space="preserve">                                    |</w:t>
        <w:br w:type="textWrapping"/>
        <w:t xml:space="preserve">                    AI GATEWAY  (auth + policy + routing)</w:t>
        <w:br w:type="textWrapping"/>
        <w:t xml:space="preserve">                                    |</w:t>
        <w:br w:type="textWrapping"/>
        <w:t xml:space="preserve">                            TASK PLANNER</w:t>
        <w:br w:type="textWrapping"/>
        <w:t xml:space="preserve">                                    |</w:t>
        <w:br w:type="textWrapping"/>
        <w:t xml:space="preserve">                          AGENT ORCHESTRATOR</w:t>
        <w:br w:type="textWrapping"/>
        <w:t xml:space="preserve">                 ___________________|___________________</w:t>
        <w:br w:type="textWrapping"/>
        <w:t xml:space="preserve">                |                   |                   |</w:t>
        <w:br w:type="textWrapping"/>
        <w:t xml:space="preserve">          MODEL ROUTER      KNOWLEDGE ENGINE       TOOL ENGINE</w:t>
        <w:br w:type="textWrapping"/>
        <w:t xml:space="preserve">          (reasoning /      (vault + graph +       (python sandbox,</w:t>
        <w:br w:type="textWrapping"/>
        <w:t xml:space="preserve">           vision / coding   vector DB + RAG)        doc reader, OCR,</w:t>
        <w:br w:type="textWrapping"/>
        <w:t xml:space="preserve">           / embedding)                               spreadsheet engine)</w:t>
        <w:br w:type="textWrapping"/>
        <w:t xml:space="preserve">                |___________________|___________________|</w:t>
        <w:br w:type="textWrapping"/>
        <w:t xml:space="preserve">                                    |</w:t>
        <w:br w:type="textWrapping"/>
        <w:t xml:space="preserve">                          VERIFICATION ENGINE</w:t>
        <w:br w:type="textWrapping"/>
        <w:t xml:space="preserve">             (evidence checker, calculation checker,</w:t>
        <w:br w:type="textWrapping"/>
        <w:t xml:space="preserve">              contradiction detector, policy checker)</w:t>
        <w:br w:type="textWrapping"/>
        <w:t xml:space="preserve">                                    |</w:t>
        <w:br w:type="textWrapping"/>
        <w:t xml:space="preserve">                          HUMAN APPROVAL GATE</w:t>
        <w:br w:type="textWrapping"/>
        <w:t xml:space="preserve">                                    |</w:t>
        <w:br w:type="textWrapping"/>
        <w:t xml:space="preserve">                              FINAL OUTPUT</w:t>
        <w:br w:type="textWrapping"/>
        <w:t xml:space="preserve">                (answer + evidence + confidence + audit entry)</w:t>
        <w:br w:type="textWrapping"/>
        <w:br w:type="textWrapping"/>
        <w:t xml:space="preserve">                     EVERYTHING RUNS ON-PREMISE</w:t>
      </w:r>
      <w:r/>
    </w:p>
    <w:p>
      <w:pPr>
        <w:spacing w:after="160"/>
      </w:pPr>
      <w:r>
        <w:rPr>
          <w:sz w:val="22"/>
          <w:szCs w:val="22"/>
        </w:rPr>
        <w:t>Every box in this diagram is covered in detail in Section 5. The two decision points — Policy Engine (inside the Gateway/Orchestrator) and Verification Engine — are deliberately drawn as gates, not processing steps: this is where VELIKY departs from a conventional tool-using chatbot.</w:t>
      </w:r>
      <w:r/>
    </w:p>
    <w:p>
      <w:pPr>
        <w:pStyle w:val="para2"/>
        <w:spacing w:before="400" w:after="200"/>
      </w:pPr>
      <w:r>
        <w:t>5. Core Layers</w:t>
      </w:r>
    </w:p>
    <w:p>
      <w:pPr>
        <w:pStyle w:val="para3"/>
        <w:spacing w:before="300" w:after="150"/>
      </w:pPr>
      <w:r>
        <w:t>5.1 Interaction Layer — Mission Control UI</w:t>
      </w:r>
    </w:p>
    <w:p>
      <w:pPr>
        <w:spacing w:after="160"/>
      </w:pPr>
      <w:r>
        <w:rPr>
          <w:sz w:val="22"/>
          <w:szCs w:val="22"/>
        </w:rPr>
        <w:t>Three-panel layout: Workspace (documents, projects, agents, models, tasks, audit log) on the left; the live Agent conversation and execution trace in the center; Evidence and Context (sources, model used, tools invoked, confidence) on the right. This is a deliberate departure from a single chat window — the system's internal state is always visible, not hidden behind a single reply.</w:t>
      </w:r>
      <w:r/>
    </w:p>
    <w:p>
      <w:pPr>
        <w:pStyle w:val="para4"/>
        <w:spacing w:before="200" w:after="100"/>
      </w:pPr>
      <w:r>
        <w:t>5.1.1 The AI Canvas</w:t>
      </w:r>
    </w:p>
    <w:p>
      <w:pPr>
        <w:spacing w:after="160"/>
      </w:pPr>
      <w:r>
        <w:rPr>
          <w:sz w:val="22"/>
          <w:szCs w:val="22"/>
        </w:rPr>
        <w:t>Selecting an entity (e.g. Pump P-204) opens a dynamic exploration canvas rather than a static profile page: a node for the equipment expands into branches for maintenance history, related documents, components, past failures, measurements, and applicable SOPs — each branch itself expandable. This is the same underlying graph as the Knowledge Vault (Section 6), rendered as an interactive visual exploration surface rather than a search box; a user can wander the organization's knowledge the way they'd browse a mind map, not just query it.</w:t>
      </w:r>
      <w:r/>
    </w:p>
    <w:p>
      <w:pPr>
        <w:pStyle w:val="para3"/>
        <w:spacing w:before="300" w:after="150"/>
      </w:pPr>
      <w:r>
        <w:t>5.2 Intelligence Layer — Model Router</w:t>
      </w:r>
    </w:p>
    <w:p>
      <w:pPr>
        <w:spacing w:after="160"/>
      </w:pPr>
      <w:r>
        <w:rPr>
          <w:sz w:val="22"/>
          <w:szCs w:val="22"/>
        </w:rPr>
        <w:t>VELIKY never hardwires “User → Model X → Answer.” A task classifier inspects the request, matches it against a Model Capability Registry, and checks current resource availability before selecting a model.</w:t>
      </w:r>
      <w:r/>
    </w:p>
    <w:tbl>
      <w:tblPr>
        <w:name w:val="Table4"/>
        <w:tabOrder w:val="0"/>
        <w:jc w:val="left"/>
        <w:tblInd w:w="0" w:type="dxa"/>
        <w:tblW w:w="9350" w:type="dxa"/>
      </w:tblPr>
      <w:tblGrid>
        <w:gridCol w:w="4400"/>
        <w:gridCol w:w="4950"/>
      </w:tblGrid>
      <w:tr>
        <w:trPr>
          <w:tblHeader/>
          <w:cantSplit w:val="0"/>
          <w:trHeight w:val="0" w:hRule="auto"/>
        </w:trPr>
        <w:tc>
          <w:tcPr>
            <w:tcW w:w="44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Task type</w:t>
            </w:r>
            <w:r/>
          </w:p>
        </w:tc>
        <w:tc>
          <w:tcPr>
            <w:tcW w:w="49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Routed to</w:t>
            </w:r>
            <w:r/>
          </w:p>
        </w:tc>
      </w:tr>
      <w:tr>
        <w:trPr>
          <w:tblHeader w:val="0"/>
          <w:cantSplit/>
          <w:trHeight w:val="0" w:hRule="auto"/>
        </w:trPr>
        <w:tc>
          <w:tcPr>
            <w:tcW w:w="44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Reading/understanding a drawing or photo</w:t>
            </w:r>
            <w:r/>
          </w:p>
        </w:tc>
        <w:tc>
          <w:tcPr>
            <w:tcW w:w="49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Vision model</w:t>
            </w:r>
            <w:r/>
          </w:p>
        </w:tc>
      </w:tr>
      <w:tr>
        <w:trPr>
          <w:tblHeader w:val="0"/>
          <w:cantSplit/>
          <w:trHeight w:val="0" w:hRule="auto"/>
        </w:trPr>
        <w:tc>
          <w:tcPr>
            <w:tcW w:w="44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Finding information across documents</w:t>
            </w:r>
            <w:r/>
          </w:p>
        </w:tc>
        <w:tc>
          <w:tcPr>
            <w:tcW w:w="49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Embedding model + vector search + reasoning model</w:t>
            </w:r>
            <w:r/>
          </w:p>
        </w:tc>
      </w:tr>
      <w:tr>
        <w:trPr>
          <w:tblHeader w:val="0"/>
          <w:cantSplit/>
          <w:trHeight w:val="0" w:hRule="auto"/>
        </w:trPr>
        <w:tc>
          <w:tcPr>
            <w:tcW w:w="44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Numerical calculation</w:t>
            </w:r>
            <w:r/>
          </w:p>
        </w:tc>
        <w:tc>
          <w:tcPr>
            <w:tcW w:w="49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Code execution tool (never the LLM doing arithmetic in its head)</w:t>
            </w:r>
            <w:r/>
          </w:p>
        </w:tc>
      </w:tr>
      <w:tr>
        <w:trPr>
          <w:tblHeader w:val="0"/>
          <w:cantSplit/>
          <w:trHeight w:val="0" w:hRule="auto"/>
        </w:trPr>
        <w:tc>
          <w:tcPr>
            <w:tcW w:w="44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Writing/analyzing code or scripts</w:t>
            </w:r>
            <w:r/>
          </w:p>
        </w:tc>
        <w:tc>
          <w:tcPr>
            <w:tcW w:w="49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Coding model</w:t>
            </w:r>
            <w:r/>
          </w:p>
        </w:tc>
      </w:tr>
    </w:tbl>
    <w:p>
      <w:pPr>
        <w:spacing w:after="160"/>
      </w:pPr>
      <w:r>
        <w:rPr>
          <w:sz w:val="22"/>
          <w:szCs w:val="22"/>
        </w:rPr>
        <w:t>Full resource-aware sizing (VRAM budgets, fallback behavior) is specified in Section 9 — this is one of the sections that turns the router from a nice diagram into a real, defensible design.</w:t>
      </w:r>
      <w:r/>
    </w:p>
    <w:p>
      <w:pPr>
        <w:pStyle w:val="para3"/>
        <w:spacing w:before="300" w:after="150"/>
      </w:pPr>
      <w:r>
        <w:t>5.3 Memory &amp; Knowledge Layer</w:t>
      </w:r>
    </w:p>
    <w:p>
      <w:pPr>
        <w:spacing w:after="160"/>
      </w:pPr>
      <w:r>
        <w:rPr>
          <w:sz w:val="22"/>
          <w:szCs w:val="22"/>
        </w:rPr>
        <w:t>Structured operational state (users, permissions, tasks, executions, audit entries) lives in a relational database. Document knowledge lives in the Knowledge Vault — a linked-notes model detailed fully in Section 6, since this is one of VELIKY's core differentiators, not a minor implementation detail.</w:t>
      </w:r>
      <w:r/>
    </w:p>
    <w:p>
      <w:pPr>
        <w:pStyle w:val="para3"/>
        <w:spacing w:before="300" w:after="150"/>
      </w:pPr>
      <w:r>
        <w:t>5.4 Tool System</w:t>
      </w:r>
    </w:p>
    <w:p>
      <w:pPr>
        <w:spacing w:after="160"/>
      </w:pPr>
      <w:r>
        <w:rPr>
          <w:sz w:val="22"/>
          <w:szCs w:val="22"/>
        </w:rPr>
        <w:t>A registry of callable tools, each declared with a name, description, input/output schema, and risk tier. The model requests a tool call by name and arguments; it never invokes the underlying implementation directly — the backend validates the request against the schema first.</w:t>
      </w:r>
      <w:r/>
    </w:p>
    <w:p>
      <w:pPr>
        <w:spacing w:before="120" w:after="200"/>
        <w:pBdr>
          <w:top w:val="single" w:sz="2" w:space="3" w:color="334155" tmln="5, 20, 20, 0, 60"/>
          <w:left w:val="single" w:sz="2" w:space="3" w:color="334155" tmln="5, 20, 20, 0, 60"/>
          <w:bottom w:val="single" w:sz="2" w:space="3" w:color="334155" tmln="5, 20, 20, 0, 60"/>
          <w:right w:val="single" w:sz="2" w:space="3" w:color="334155" tmln="5, 20, 20, 0, 60"/>
          <w:between w:val="nil" w:sz="0" w:space="0" w:color="000000" tmln="20, 20, 20, 0, 0"/>
        </w:pBdr>
        <w:shd w:val="solid" w:color="0F1115" tmshd="1677721856, 0, 1380623"/>
      </w:pPr>
      <w:r>
        <w:rPr>
          <w:rFonts w:ascii="Consolas" w:hAnsi="Consolas" w:eastAsia="Consolas" w:cs="Consolas"/>
          <w:color w:val="5eead4"/>
          <w:sz w:val="18"/>
          <w:szCs w:val="18"/>
        </w:rPr>
        <w:t>search_documents()      read_document()        analyze_image()</w:t>
        <w:br w:type="textWrapping"/>
        <w:t>analyze_spreadsheet()   generate_code()         run_code()  [sandboxed]</w:t>
        <w:br w:type="textWrapping"/>
        <w:t>read_note() / write_note()  [vault]             create_link()</w:t>
        <w:br w:type="textWrapping"/>
        <w:t>search_vault()          get_backlinks()         query_sensor_history()</w:t>
      </w:r>
      <w:r/>
    </w:p>
    <w:p>
      <w:pPr>
        <w:pStyle w:val="para3"/>
        <w:spacing w:before="300" w:after="150"/>
      </w:pPr>
      <w:r>
        <w:t>5.5 Policy Engine &amp; RBAC</w:t>
      </w:r>
    </w:p>
    <w:p>
      <w:pPr>
        <w:spacing w:after="160"/>
      </w:pPr>
      <w:r>
        <w:rPr>
          <w:sz w:val="22"/>
          <w:szCs w:val="22"/>
        </w:rPr>
        <w:t>Deterministic backend logic — never the model itself — classifies every proposed action into one of three tiers:</w:t>
      </w:r>
      <w:r/>
    </w:p>
    <w:tbl>
      <w:tblPr>
        <w:name w:val="Table5"/>
        <w:tabOrder w:val="0"/>
        <w:jc w:val="left"/>
        <w:tblInd w:w="0" w:type="dxa"/>
        <w:tblW w:w="9350" w:type="dxa"/>
      </w:tblPr>
      <w:tblGrid>
        <w:gridCol w:w="2200"/>
        <w:gridCol w:w="4300"/>
        <w:gridCol w:w="2850"/>
      </w:tblGrid>
      <w:tr>
        <w:trPr>
          <w:tblHeader/>
          <w:cantSplit w:val="0"/>
          <w:trHeight w:val="0" w:hRule="auto"/>
        </w:trPr>
        <w:tc>
          <w:tcPr>
            <w:tcW w:w="22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Tier</w:t>
            </w:r>
            <w:r/>
          </w:p>
        </w:tc>
        <w:tc>
          <w:tcPr>
            <w:tcW w:w="43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Examples</w:t>
            </w:r>
            <w:r/>
          </w:p>
        </w:tc>
        <w:tc>
          <w:tcPr>
            <w:tcW w:w="28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Behavior</w:t>
            </w:r>
            <w:r/>
          </w:p>
        </w:tc>
      </w:tr>
      <w:tr>
        <w:trPr>
          <w:tblHeader w:val="0"/>
          <w:cantSplit/>
          <w:trHeight w:val="0" w:hRule="auto"/>
        </w:trPr>
        <w:tc>
          <w:tcPr>
            <w:tcW w:w="22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Auto-approve</w:t>
            </w:r>
            <w:r/>
          </w:p>
        </w:tc>
        <w:tc>
          <w:tcPr>
            <w:tcW w:w="43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Read a document, search the vault, run a read-only calculation</w:t>
            </w:r>
            <w:r/>
          </w:p>
        </w:tc>
        <w:tc>
          <w:tcPr>
            <w:tcW w:w="28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Executes immediately</w:t>
            </w:r>
            <w:r/>
          </w:p>
        </w:tc>
      </w:tr>
      <w:tr>
        <w:trPr>
          <w:tblHeader w:val="0"/>
          <w:cantSplit/>
          <w:trHeight w:val="0" w:hRule="auto"/>
        </w:trPr>
        <w:tc>
          <w:tcPr>
            <w:tcW w:w="22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Requires approval</w:t>
            </w:r>
            <w:r/>
          </w:p>
        </w:tc>
        <w:tc>
          <w:tcPr>
            <w:tcW w:w="43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Write/modify a vault note, create a calendar event, move a file</w:t>
            </w:r>
            <w:r/>
          </w:p>
        </w:tc>
        <w:tc>
          <w:tcPr>
            <w:tcW w:w="28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Queued; human sees a diff and clicks Approve/Deny</w:t>
            </w:r>
            <w:r/>
          </w:p>
        </w:tc>
      </w:tr>
      <w:tr>
        <w:trPr>
          <w:tblHeader w:val="0"/>
          <w:cantSplit/>
          <w:trHeight w:val="0" w:hRule="auto"/>
        </w:trPr>
        <w:tc>
          <w:tcPr>
            <w:tcW w:w="22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Blocked</w:t>
            </w:r>
            <w:r/>
          </w:p>
        </w:tc>
        <w:tc>
          <w:tcPr>
            <w:tcW w:w="43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Delete evidence, run unrestricted shell commands, export the raw database</w:t>
            </w:r>
            <w:r/>
          </w:p>
        </w:tc>
        <w:tc>
          <w:tcPr>
            <w:tcW w:w="28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Never executed, regardless of who asks</w:t>
            </w:r>
            <w:r/>
          </w:p>
        </w:tc>
      </w:tr>
    </w:tbl>
    <w:p>
      <w:pPr>
        <w:spacing w:after="160"/>
      </w:pPr>
      <w:r>
        <w:rPr>
          <w:sz w:val="22"/>
          <w:szCs w:val="22"/>
        </w:rPr>
        <w:t>RBAC governs document- and note-level access underneath this: retrieval is filtered by role before the model ever sees a chunk, so the system cannot leak a document a user isn't authorized to view (Section 5.15 in the earlier concept doc, formalized in Section 6.2 here).</w:t>
      </w:r>
      <w:r/>
    </w:p>
    <w:p>
      <w:pPr>
        <w:pStyle w:val="para3"/>
        <w:spacing w:before="300" w:after="150"/>
      </w:pPr>
      <w:r>
        <w:t>5.6 Execution &amp; Verification Engine</w:t>
      </w:r>
    </w:p>
    <w:p>
      <w:pPr>
        <w:spacing w:after="160"/>
      </w:pPr>
      <w:r>
        <w:rPr>
          <w:sz w:val="22"/>
          <w:szCs w:val="22"/>
        </w:rPr>
        <w:t>Every tool call moves through an explicit lifecycle — proposed, validated, (approved), executing, verifying, and only then success or failed. On failure the orchestrator chooses retry or replan; it is never surfaced as a silent gap.</w:t>
      </w:r>
      <w:r/>
    </w:p>
    <w:p>
      <w:pPr>
        <w:spacing w:before="120" w:after="200"/>
        <w:pBdr>
          <w:top w:val="single" w:sz="2" w:space="3" w:color="334155" tmln="5, 20, 20, 0, 60"/>
          <w:left w:val="single" w:sz="2" w:space="3" w:color="334155" tmln="5, 20, 20, 0, 60"/>
          <w:bottom w:val="single" w:sz="2" w:space="3" w:color="334155" tmln="5, 20, 20, 0, 60"/>
          <w:right w:val="single" w:sz="2" w:space="3" w:color="334155" tmln="5, 20, 20, 0, 60"/>
          <w:between w:val="nil" w:sz="0" w:space="0" w:color="000000" tmln="20, 20, 20, 0, 0"/>
        </w:pBdr>
        <w:shd w:val="solid" w:color="0F1115" tmshd="1677721856, 0, 1380623"/>
      </w:pPr>
      <w:r>
        <w:rPr>
          <w:rFonts w:ascii="Consolas" w:hAnsi="Consolas" w:eastAsia="Consolas" w:cs="Consolas"/>
          <w:color w:val="5eead4"/>
          <w:sz w:val="18"/>
          <w:szCs w:val="18"/>
        </w:rPr>
        <w:t>Task -&gt; Tool -&gt; Result -&gt; Verifier -&gt; Pass -&gt; Next task</w:t>
        <w:br w:type="textWrapping"/>
        <w:t xml:space="preserve">                              \-&gt; Fail -&gt; Failure analysis -&gt; Retry / Replan</w:t>
      </w:r>
      <w:r/>
    </w:p>
    <w:p>
      <w:pPr>
        <w:spacing w:after="160"/>
      </w:pPr>
      <w:r>
        <w:rPr>
          <w:sz w:val="22"/>
          <w:szCs w:val="22"/>
        </w:rPr>
        <w:t>The verifier itself runs four independent checks: an evidence checker (does the cited source actually say this), a calculation checker (re-derive numbers with code, don't trust the model's arithmetic), a contradiction detector (do two sources disagree, and if so, surface the conflict instead of silently picking one), and a policy checker (does this output violate a permission boundary).</w:t>
      </w:r>
      <w:r/>
    </w:p>
    <w:p>
      <w:pPr>
        <w:pStyle w:val="para3"/>
        <w:spacing w:before="300" w:after="150"/>
      </w:pPr>
      <w:r>
        <w:t>5.7 Audit Trail</w:t>
      </w:r>
    </w:p>
    <w:p>
      <w:pPr>
        <w:spacing w:after="160"/>
      </w:pPr>
      <w:r>
        <w:rPr>
          <w:sz w:val="22"/>
          <w:szCs w:val="22"/>
        </w:rPr>
        <w:t>Every agent action is logged as a structured record — who asked, what model ran, which documents/notes were accessed, which tools were used, execution time, and verification result — not just a chat transcript. This is what makes the system's behavior reconstructable after the fact, which matters enormously for an industrial/confidential-work context.</w:t>
      </w:r>
      <w:r/>
    </w:p>
    <w:p>
      <w:pPr>
        <w:pStyle w:val="para2"/>
        <w:spacing w:before="400" w:after="200"/>
      </w:pPr>
      <w:r>
        <w:t>6. The Knowledge Vault &amp; Graph Model</w:t>
      </w:r>
    </w:p>
    <w:p>
      <w:pPr>
        <w:spacing w:after="160"/>
      </w:pPr>
      <w:r>
        <w:rPr>
          <w:sz w:val="22"/>
          <w:szCs w:val="22"/>
        </w:rPr>
        <w:t>This is VELIKY's structural core, not a bolt-on feature. Every document, entity, and AI-generated artifact is stored as a markdown note inside an on-premise vault, using an Obsidian-style linked-notes model. The vault is the knowledge system — vector search and the knowledge graph both sit on top of the same files rather than being a separate, disconnected index.</w:t>
      </w:r>
      <w:r/>
    </w:p>
    <w:p>
      <w:pPr>
        <w:spacing w:before="120" w:after="200"/>
        <w:pBdr>
          <w:top w:val="single" w:sz="2" w:space="3" w:color="334155" tmln="5, 20, 20, 0, 60"/>
          <w:left w:val="single" w:sz="2" w:space="3" w:color="334155" tmln="5, 20, 20, 0, 60"/>
          <w:bottom w:val="single" w:sz="2" w:space="3" w:color="334155" tmln="5, 20, 20, 0, 60"/>
          <w:right w:val="single" w:sz="2" w:space="3" w:color="334155" tmln="5, 20, 20, 0, 60"/>
          <w:between w:val="nil" w:sz="0" w:space="0" w:color="000000" tmln="20, 20, 20, 0, 0"/>
        </w:pBdr>
        <w:shd w:val="solid" w:color="0F1115" tmshd="1677721856, 0, 1380623"/>
      </w:pPr>
      <w:r>
        <w:rPr>
          <w:rFonts w:ascii="Consolas" w:hAnsi="Consolas" w:eastAsia="Consolas" w:cs="Consolas"/>
          <w:color w:val="5eead4"/>
          <w:sz w:val="18"/>
          <w:szCs w:val="18"/>
        </w:rPr>
        <w:t>/veliky-vault/</w:t>
        <w:br w:type="textWrapping"/>
        <w:t xml:space="preserve">  Equipment/</w:t>
        <w:br w:type="textWrapping"/>
        <w:t xml:space="preserve">    Pump-P204.md          &lt;- [[Compressor-C104]], [[SOP-Pump-Maintenance]]</w:t>
        <w:br w:type="textWrapping"/>
        <w:t xml:space="preserve">    Compressor-C104.md</w:t>
        <w:br w:type="textWrapping"/>
        <w:t xml:space="preserve">  SOPs/</w:t>
        <w:br w:type="textWrapping"/>
        <w:t xml:space="preserve">    SOP-Pump-Maintenance.md</w:t>
        <w:br w:type="textWrapping"/>
        <w:t xml:space="preserve">  Reports/</w:t>
        <w:br w:type="textWrapping"/>
        <w:t xml:space="preserve">    Inspection-Report-62.md</w:t>
        <w:br w:type="textWrapping"/>
        <w:t xml:space="preserve">    Maintenance-Report-184.md</w:t>
        <w:br w:type="textWrapping"/>
        <w:t xml:space="preserve">  People/</w:t>
        <w:br w:type="textWrapping"/>
        <w:t xml:space="preserve">    Employee-Rakesh.md      &lt;- solved -&gt; [[Ticket-4471]]</w:t>
        <w:br w:type="textWrapping"/>
        <w:t xml:space="preserve">    Manager-Sharma.md       &lt;- oversees -&gt; [[Employee-Rakesh]]</w:t>
        <w:br w:type="textWrapping"/>
        <w:t xml:space="preserve">  Agent-Generated/</w:t>
        <w:br w:type="textWrapping"/>
        <w:t xml:space="preserve">    P204-Vibration-Analysis-2026-09-03.md</w:t>
      </w:r>
      <w:r/>
    </w:p>
    <w:p>
      <w:pPr>
        <w:pStyle w:val="para4"/>
        <w:spacing w:before="200" w:after="100"/>
      </w:pPr>
      <w:r>
        <w:t>6.1 Why the vault model, specifically</w:t>
      </w:r>
    </w:p>
    <w:p>
      <w:pPr>
        <w:pStyle w:val="para9"/>
        <w:numPr>
          <w:ilvl w:val="0"/>
          <w:numId w:val="5"/>
        </w:numPr>
        <w:ind w:left="0" w:firstLine="0"/>
        <w:spacing w:after="80"/>
      </w:pPr>
      <w:r>
        <w:t>The knowledge graph comes for free — [[wikilinks]] and backlinks ARE the entity graph; no separate graph database to build and keep in sync.</w:t>
      </w:r>
    </w:p>
    <w:p>
      <w:pPr>
        <w:pStyle w:val="para9"/>
        <w:numPr>
          <w:ilvl w:val="0"/>
          <w:numId w:val="5"/>
        </w:numPr>
        <w:ind w:left="0" w:firstLine="0"/>
        <w:spacing w:after="80"/>
      </w:pPr>
      <w:r>
        <w:t>Hybrid retrieval is a natural consequence: vector search over note embeddings (semantic) plus graph traversal from linked notes (structural), merged into one context.</w:t>
      </w:r>
    </w:p>
    <w:p>
      <w:pPr>
        <w:pStyle w:val="para9"/>
        <w:numPr>
          <w:ilvl w:val="0"/>
          <w:numId w:val="5"/>
        </w:numPr>
        <w:ind w:left="0" w:firstLine="0"/>
        <w:spacing w:after="80"/>
      </w:pPr>
      <w:r>
        <w:t>Human-in-the-loop editing becomes literal, not abstract — an agent's proposed edit is a real diff to a real file, gated by the policy engine, approved by a human, applied to disk.</w:t>
      </w:r>
    </w:p>
    <w:p>
      <w:pPr>
        <w:pStyle w:val="para9"/>
        <w:numPr>
          <w:ilvl w:val="0"/>
          <w:numId w:val="5"/>
        </w:numPr>
        <w:ind w:left="0" w:firstLine="0"/>
        <w:spacing w:after="80"/>
      </w:pPr>
      <w:r>
        <w:t>If the vault is also a git repository, every AI edit is a commit — the audit trail (Section 5.7) is then partially free, not hand-built.</w:t>
      </w:r>
    </w:p>
    <w:p>
      <w:pPr>
        <w:pStyle w:val="para4"/>
        <w:spacing w:before="200" w:after="100"/>
      </w:pPr>
      <w:r>
        <w:t>6.2 Org-hierarchy graph with permission rollups</w:t>
      </w:r>
    </w:p>
    <w:p>
      <w:pPr>
        <w:spacing w:after="160"/>
      </w:pPr>
      <w:r>
        <w:rPr>
          <w:sz w:val="22"/>
          <w:szCs w:val="22"/>
        </w:rPr>
        <w:t>The same primitive extends to accountability, not just equipment. A solved ticket links to the employee who solved it, who links to their manager, who links upward to a GM and eventually the CEO. Walking the graph upward from any ticket produces the full accountability chain without a separate reporting module.</w:t>
      </w:r>
      <w:r/>
    </w:p>
    <w:p>
      <w:pPr>
        <w:spacing w:after="160"/>
      </w:pPr>
      <w:r>
        <w:rPr>
          <w:sz w:val="22"/>
          <w:szCs w:val="22"/>
        </w:rPr>
        <w:t>This must not be a flat visibility ladder — that would make VELIKY a surveillance tool rather than an org-intelligence tool, and it directly undermines the sovereignty/trust pitch. The graph gets coarser, not just more restricted, the higher you go:</w:t>
      </w:r>
      <w:r/>
    </w:p>
    <w:tbl>
      <w:tblPr>
        <w:name w:val="Table6"/>
        <w:tabOrder w:val="0"/>
        <w:jc w:val="left"/>
        <w:tblInd w:w="0" w:type="dxa"/>
        <w:tblW w:w="9350" w:type="dxa"/>
      </w:tblPr>
      <w:tblGrid>
        <w:gridCol w:w="2000"/>
        <w:gridCol w:w="7350"/>
      </w:tblGrid>
      <w:tr>
        <w:trPr>
          <w:tblHeader/>
          <w:cantSplit w:val="0"/>
          <w:trHeight w:val="0" w:hRule="auto"/>
        </w:trPr>
        <w:tc>
          <w:tcPr>
            <w:tcW w:w="20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Role</w:t>
            </w:r>
            <w:r/>
          </w:p>
        </w:tc>
        <w:tc>
          <w:tcPr>
            <w:tcW w:w="73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What they see</w:t>
            </w:r>
            <w:r/>
          </w:p>
        </w:tc>
      </w:tr>
      <w:tr>
        <w:trPr>
          <w:tblHeader w:val="0"/>
          <w:cantSplit/>
          <w:trHeight w:val="0" w:hRule="auto"/>
        </w:trPr>
        <w:tc>
          <w:tcPr>
            <w:tcW w:w="20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Employee</w:t>
            </w:r>
            <w:r/>
          </w:p>
        </w:tc>
        <w:tc>
          <w:tcPr>
            <w:tcW w:w="73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Their own ticket subgraph, in full.</w:t>
            </w:r>
            <w:r/>
          </w:p>
        </w:tc>
      </w:tr>
      <w:tr>
        <w:trPr>
          <w:tblHeader w:val="0"/>
          <w:cantSplit/>
          <w:trHeight w:val="0" w:hRule="auto"/>
        </w:trPr>
        <w:tc>
          <w:tcPr>
            <w:tcW w:w="20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Manager</w:t>
            </w:r>
            <w:r/>
          </w:p>
        </w:tc>
        <w:tc>
          <w:tcPr>
            <w:tcW w:w="73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Direct reports' subgraphs in full; aggregated stats (not raw tickets) two levels down.</w:t>
            </w:r>
            <w:r/>
          </w:p>
        </w:tc>
      </w:tr>
      <w:tr>
        <w:trPr>
          <w:tblHeader w:val="0"/>
          <w:cantSplit/>
          <w:trHeight w:val="0" w:hRule="auto"/>
        </w:trPr>
        <w:tc>
          <w:tcPr>
            <w:tcW w:w="20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GM / CEO</w:t>
            </w:r>
            <w:r/>
          </w:p>
        </w:tc>
        <w:tc>
          <w:tcPr>
            <w:tcW w:w="73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Rolled-up clusters only — resolution rates, recurring failure patterns, workload heat by department. Drilling into an individual's raw ticket is an explicit, logged, approval-gated action, using the same Approve/Deny pattern as any other high-risk tool call.</w:t>
            </w:r>
            <w:r/>
          </w:p>
        </w:tc>
      </w:tr>
    </w:tbl>
    <w:p>
      <w:pPr>
        <w:pStyle w:val="para4"/>
        <w:spacing w:before="200" w:after="100"/>
      </w:pPr>
      <w:r>
        <w:t>6.3 Provenance-colored graph</w:t>
      </w:r>
    </w:p>
    <w:p>
      <w:pPr>
        <w:spacing w:after="160"/>
      </w:pPr>
      <w:r>
        <w:rPr>
          <w:sz w:val="22"/>
          <w:szCs w:val="22"/>
        </w:rPr>
        <w:t>Every node and edge carries a trust tag — verified-by-tool (confirmed by an independent check), AI-inferred (the model's reasoning, unverified), or human-asserted (stated by a person, not independently checked). Rendered visually, this makes the evidence-first principle something judges and users can literally see on screen, not something buried in a text disclaimer.</w:t>
      </w:r>
      <w:r/>
    </w:p>
    <w:p>
      <w:pPr>
        <w:pStyle w:val="para4"/>
        <w:spacing w:before="200" w:after="100"/>
      </w:pPr>
      <w:r>
        <w:t>6.4 Time-scrubbable graph</w:t>
      </w:r>
    </w:p>
    <w:p>
      <w:pPr>
        <w:spacing w:after="160"/>
      </w:pPr>
      <w:r>
        <w:rPr>
          <w:sz w:val="22"/>
          <w:szCs w:val="22"/>
        </w:rPr>
        <w:t>Every node and edge is timestamped, enabling a slider that replays how the equipment/incident graph looked at any point in the past. Watching a failure cluster visibly grow around a piece of equipment over months is a far more memorable demonstration than a static snapshot, and it costs little once timestamps exist regardless.</w:t>
      </w:r>
      <w:r/>
    </w:p>
    <w:p>
      <w:pPr>
        <w:pStyle w:val="para2"/>
        <w:spacing w:before="400" w:after="200"/>
      </w:pPr>
      <w:r>
        <w:t>7. Differentiators — the “No One Else Thought of This” Layer</w:t>
      </w:r>
    </w:p>
    <w:p>
      <w:pPr>
        <w:spacing w:after="160"/>
      </w:pPr>
      <w:r>
        <w:rPr>
          <w:sz w:val="22"/>
          <w:szCs w:val="22"/>
        </w:rPr>
        <w:t>These seven ideas are what separate VELIKY from every other “local RAG chatbot” submission. They are ranked by build cost against demo impact; Section 14 states which are committed for the demo versus roadmap-only.</w:t>
      </w:r>
      <w:r/>
    </w:p>
    <w:p>
      <w:pPr>
        <w:pStyle w:val="para4"/>
        <w:spacing w:before="200" w:after="100"/>
      </w:pPr>
      <w:r>
        <w:t>7.0 Tacit knowledge capture — the strongest single differentiator</w:t>
      </w:r>
    </w:p>
    <w:p>
      <w:pPr>
        <w:spacing w:after="160"/>
      </w:pPr>
      <w:r>
        <w:rPr>
          <w:sz w:val="22"/>
          <w:szCs w:val="22"/>
        </w:rPr>
        <w:t>When an employee closes a hard ticket, the agent auto-drafts a short “how this was actually solved” note and asks for a one-click confirm/edit — not a form, just approve-or-tweak. Over months this builds an institutional-memory graph of how this specific plant's engineers actually solve problems, not generic SOP text. This is the one idea that isn't “AI reads documents better” — it's “this organization stops losing what its best people know when they retire or leave.” That is a boardroom-level pain point, not a tech-demo one, and it's the line the pitch should be built around.</w:t>
      </w:r>
      <w:r/>
    </w:p>
    <w:p>
      <w:pPr>
        <w:pStyle w:val="para4"/>
        <w:spacing w:before="200" w:after="100"/>
      </w:pPr>
      <w:r>
        <w:t>7.1 Self-extending tools</w:t>
      </w:r>
    </w:p>
    <w:p>
      <w:pPr>
        <w:spacing w:after="160"/>
      </w:pPr>
      <w:r>
        <w:rPr>
          <w:sz w:val="22"/>
          <w:szCs w:val="22"/>
        </w:rPr>
        <w:t>When the agent hits a task with no matching tool, it drafts a small function, tests it in the sandbox against test cases, and — only if it passes — proposes it as a new permanent tool. New code is inherently high-risk, so this always requires human approval before the tool is registered. Once approved, it is available to every future run. This reuses the sandbox, policy engine, and tool registry that already exist; the only new piece is the propose-and-register loop.</w:t>
      </w:r>
      <w:r/>
    </w:p>
    <w:p>
      <w:pPr>
        <w:pStyle w:val="para4"/>
        <w:spacing w:before="200" w:after="100"/>
      </w:pPr>
      <w:r>
        <w:t>7.2 Autonomous shift handover</w:t>
      </w:r>
    </w:p>
    <w:p>
      <w:pPr>
        <w:spacing w:after="160"/>
      </w:pPr>
      <w:r>
        <w:rPr>
          <w:sz w:val="22"/>
          <w:szCs w:val="22"/>
        </w:rPr>
        <w:t>Industrial plants run continuous shifts, and handover is traditionally a person manually writing notes for the next one — information routinely gets lost. The agent generates the handover briefing itself, pulled directly from the audit log and the ticket/equipment graph: what happened, what's unresolved, what's flagged, what to focus on next. This is nearly free given the audit trail that already exists, and it's a pain point anyone with industrial operations experience will immediately recognize.</w:t>
      </w:r>
      <w:r/>
    </w:p>
    <w:p>
      <w:pPr>
        <w:pStyle w:val="para4"/>
        <w:spacing w:before="200" w:after="100"/>
      </w:pPr>
      <w:r>
        <w:t>7.3 Learning from human overrides</w:t>
      </w:r>
    </w:p>
    <w:p>
      <w:pPr>
        <w:spacing w:after="160"/>
      </w:pPr>
      <w:r>
        <w:rPr>
          <w:sz w:val="22"/>
          <w:szCs w:val="22"/>
        </w:rPr>
        <w:t>When a senior engineer overrides an AI recommendation, the system asks one short question (“why?”) and stores the correction as a labeled case linked to the relevant equipment/ticket graph node. Future similar cases retrieve this correction as evidence, weighted above generic documents. This is not on-prem fine-tuning — that's too heavy for the timeline — it's a growing case-memory of human corrections inside the same retrieval pipeline, which directly answers “how does this improve over time” without claiming model training that isn't there.</w:t>
      </w:r>
      <w:r/>
    </w:p>
    <w:p>
      <w:pPr>
        <w:pStyle w:val="para4"/>
        <w:spacing w:before="200" w:after="100"/>
      </w:pPr>
      <w:r>
        <w:t>7.4 Proactive, sensor-triggered investigation</w:t>
      </w:r>
    </w:p>
    <w:p>
      <w:pPr>
        <w:spacing w:after="160"/>
      </w:pPr>
      <w:r>
        <w:rPr>
          <w:sz w:val="22"/>
          <w:szCs w:val="22"/>
        </w:rPr>
        <w:t>Everything else waits for a person to ask. This layer lets the agent notice an anomaly first. A synthetic sensor stream (Section 7.4.1) feeds a deterministic threshold/rate-of-change watcher — not the LLM — and a trip auto-generates an internal goal (“Investigate P-204 vibration anomaly”) that runs through the exact same orchestrator, evidence-gathering, and verification pipeline as a typed question. The novel claim is not the alerting (threshold monitoring is old, well-understood technology) — it's that the alarm launches a full evidence-backed investigation instead of just a red light.</w:t>
      </w:r>
      <w:r/>
    </w:p>
    <w:p>
      <w:pPr>
        <w:pStyle w:val="para4"/>
        <w:spacing w:before="200" w:after="100"/>
      </w:pPr>
      <w:r>
        <w:t>7.4.1 How the sensor layer is actually built (no live plant access required)</w:t>
      </w:r>
    </w:p>
    <w:p>
      <w:pPr>
        <w:pStyle w:val="para9"/>
        <w:numPr>
          <w:ilvl w:val="0"/>
          <w:numId w:val="5"/>
        </w:numPr>
        <w:ind w:left="0" w:firstLine="0"/>
        <w:spacing w:after="80"/>
      </w:pPr>
      <w:r>
        <w:t>A simulator process publishes realistic readings (baseline + noise, with one equipment's line given a slow deliberate drift on a timer) into a small sensor_readings table or pub/sub channel.</w:t>
      </w:r>
    </w:p>
    <w:p>
      <w:pPr>
        <w:pStyle w:val="para9"/>
        <w:numPr>
          <w:ilvl w:val="0"/>
          <w:numId w:val="5"/>
        </w:numPr>
        <w:ind w:left="0" w:firstLine="0"/>
        <w:spacing w:after="80"/>
      </w:pPr>
      <w:r>
        <w:t>A watcher checks simple, explainable rules: absolute threshold from the SOP, and percentage change over a rolling window — deterministic code, not the LLM, does the noticing.</w:t>
      </w:r>
    </w:p>
    <w:p>
      <w:pPr>
        <w:pStyle w:val="para9"/>
        <w:numPr>
          <w:ilvl w:val="0"/>
          <w:numId w:val="5"/>
        </w:numPr>
        <w:ind w:left="0" w:firstLine="0"/>
        <w:spacing w:after="80"/>
      </w:pPr>
      <w:r>
        <w:t>A rule trip is converted into an auto-generated goal fed into the existing orchestrator — no second AI pipeline is built for “proactive mode.”</w:t>
      </w:r>
    </w:p>
    <w:p>
      <w:pPr>
        <w:pStyle w:val="para9"/>
        <w:numPr>
          <w:ilvl w:val="0"/>
          <w:numId w:val="5"/>
        </w:numPr>
        <w:ind w:left="0" w:firstLine="0"/>
        <w:spacing w:after="80"/>
      </w:pPr>
      <w:r>
        <w:t>Demo choreography: dashboard shows live normal readings, one line visibly climbs, an unprompted alert card appears with a full evidence-backed report — before anyone touches the keyboard.</w:t>
      </w:r>
    </w:p>
    <w:p>
      <w:pPr>
        <w:pStyle w:val="para4"/>
        <w:spacing w:before="200" w:after="100"/>
      </w:pPr>
      <w:r>
        <w:t>7.5 Skill-graph-based ticket routing</w:t>
      </w:r>
    </w:p>
    <w:p>
      <w:pPr>
        <w:spacing w:after="160"/>
      </w:pPr>
      <w:r>
        <w:rPr>
          <w:sz w:val="22"/>
          <w:szCs w:val="22"/>
        </w:rPr>
        <w:t>Because solved tickets are linked to the employee who solved them (Section 6.2), the system can infer competency without anyone filling out a skills matrix: e.g. an engineer who has resolved several vibration-related pump tickets in the last quarter is the highest-confidence assignee for a new, similar ticket. A new ticket arrives and the graph suggests the right person before a manager has even looked at it — a natural consequence of a graph you are already building for other reasons, not a new subsystem.</w:t>
      </w:r>
      <w:r/>
    </w:p>
    <w:p>
      <w:pPr>
        <w:pStyle w:val="para4"/>
        <w:spacing w:before="200" w:after="100"/>
      </w:pPr>
      <w:r>
        <w:t>7.6 Risk propagation through the graph</w:t>
      </w:r>
    </w:p>
    <w:p>
      <w:pPr>
        <w:spacing w:after="160"/>
      </w:pPr>
      <w:r>
        <w:rPr>
          <w:sz w:val="22"/>
          <w:szCs w:val="22"/>
        </w:rPr>
        <w:t>Rather than analyzing one piece of equipment in isolation, the agent traverses the graph's structural edges: if P-204 shows abnormal vibration and is connected_to Compressor C-104, and the two have a correlated failure history, the system proactively flags “consider inspecting C-104 too” instead of waiting for a second, separate ticket. This turns the graph from a lookup structure into a predictive one — most teams will use their graph only for retrieval; using it structurally, to propagate risk between linked entities, is the less obvious move.</w:t>
      </w:r>
      <w:r/>
    </w:p>
    <w:p>
      <w:pPr>
        <w:pStyle w:val="para2"/>
        <w:spacing w:before="400" w:after="200"/>
      </w:pPr>
      <w:r>
        <w:t>8. Evaluation Methodology</w:t>
      </w:r>
    </w:p>
    <w:p>
      <w:pPr>
        <w:spacing w:after="160"/>
      </w:pPr>
      <w:r>
        <w:rPr>
          <w:sz w:val="22"/>
          <w:szCs w:val="22"/>
        </w:rPr>
        <w:t>An architecture is not a research or engineering contribution until there's a way to show it could be wrong. This section exists because it was the single biggest gap between a strong architecture and a complete one — borrowed and adapted from EDITH's own evaluation design (Section 15), which already specifies this rigorously for the personal-agent version of the same pattern.</w:t>
      </w:r>
      <w:r/>
    </w:p>
    <w:p>
      <w:pPr>
        <w:pStyle w:val="para4"/>
        <w:spacing w:before="200" w:after="100"/>
      </w:pPr>
      <w:r>
        <w:t>8.1 What is being tested</w:t>
      </w:r>
    </w:p>
    <w:p>
      <w:pPr>
        <w:spacing w:after="160"/>
      </w:pPr>
      <w:r>
        <w:rPr>
          <w:sz w:val="22"/>
          <w:szCs w:val="22"/>
        </w:rPr>
        <w:t>Does policy-gated execution, hybrid vault/graph memory, and mandatory verification measurably improve multi-step industrial investigation tasks, relative to the same underlying model used as a plain conversational assistant?</w:t>
      </w:r>
      <w:r/>
    </w:p>
    <w:p>
      <w:pPr>
        <w:pStyle w:val="para4"/>
        <w:spacing w:before="200" w:after="100"/>
      </w:pPr>
      <w:r>
        <w:t>8.2 Systems compared</w:t>
      </w:r>
    </w:p>
    <w:p>
      <w:pPr>
        <w:pStyle w:val="para9"/>
        <w:numPr>
          <w:ilvl w:val="0"/>
          <w:numId w:val="5"/>
        </w:numPr>
        <w:ind w:left="0" w:firstLine="0"/>
        <w:spacing w:after="80"/>
      </w:pPr>
      <w:r>
        <w:t>System A (baseline) — the underlying open-weight model called directly, given the same documents as raw context, no vault, no policy engine, no verification step.</w:t>
      </w:r>
    </w:p>
    <w:p>
      <w:pPr>
        <w:pStyle w:val="para9"/>
        <w:numPr>
          <w:ilvl w:val="0"/>
          <w:numId w:val="5"/>
        </w:numPr>
        <w:ind w:left="0" w:firstLine="0"/>
        <w:spacing w:after="80"/>
      </w:pPr>
      <w:r>
        <w:t>System B (VELIKY) — the same model behind the full orchestrator, vault/graph memory, policy engine, tool use, and verification loop.</w:t>
      </w:r>
    </w:p>
    <w:p>
      <w:pPr>
        <w:spacing w:after="160"/>
      </w:pPr>
      <w:r>
        <w:rPr>
          <w:sz w:val="22"/>
          <w:szCs w:val="22"/>
        </w:rPr>
        <w:t>Holding the model constant across both systems is the control that isolates the architecture's contribution from raw model quality — skipping this is the most common mistake in an informal comparison.</w:t>
      </w:r>
      <w:r/>
    </w:p>
    <w:p>
      <w:pPr>
        <w:pStyle w:val="para4"/>
        <w:spacing w:before="200" w:after="100"/>
      </w:pPr>
      <w:r>
        <w:t>8.3 Benchmark design</w:t>
      </w:r>
    </w:p>
    <w:p>
      <w:pPr>
        <w:spacing w:after="160"/>
      </w:pPr>
      <w:r>
        <w:rPr>
          <w:sz w:val="22"/>
          <w:szCs w:val="22"/>
        </w:rPr>
        <w:t>A fixed set of 15–20 tasks drawn from the demo domain (pump/equipment investigation, evidence lookup, calculation-backed conclusions), graded into three tiers: single-step lookup, multi-step with no dependencies, multi-step with explicit dependencies. Each task has a predefined, checkable success criterion written before any run — e.g. “correctly cites the SOP threshold, correctly recomputes the percentage change, and does not omit the conflicting reading in Report B” — not a subjective judgment made after seeing the output.</w:t>
      </w:r>
      <w:r/>
    </w:p>
    <w:p>
      <w:pPr>
        <w:pStyle w:val="para4"/>
        <w:spacing w:before="200" w:after="100"/>
      </w:pPr>
      <w:r>
        <w:t>8.4 Metrics</w:t>
      </w:r>
    </w:p>
    <w:tbl>
      <w:tblPr>
        <w:name w:val="Table7"/>
        <w:tabOrder w:val="0"/>
        <w:jc w:val="left"/>
        <w:tblInd w:w="0" w:type="dxa"/>
        <w:tblW w:w="9350" w:type="dxa"/>
      </w:tblPr>
      <w:tblGrid>
        <w:gridCol w:w="3000"/>
        <w:gridCol w:w="6350"/>
      </w:tblGrid>
      <w:tr>
        <w:trPr>
          <w:tblHeader/>
          <w:cantSplit w:val="0"/>
          <w:trHeight w:val="0" w:hRule="auto"/>
        </w:trPr>
        <w:tc>
          <w:tcPr>
            <w:tcW w:w="30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Metric</w:t>
            </w:r>
            <w:r/>
          </w:p>
        </w:tc>
        <w:tc>
          <w:tcPr>
            <w:tcW w:w="63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Definition</w:t>
            </w:r>
            <w:r/>
          </w:p>
        </w:tc>
      </w:tr>
      <w:tr>
        <w:trPr>
          <w:tblHeader w:val="0"/>
          <w:cantSplit/>
          <w:trHeight w:val="0" w:hRule="auto"/>
        </w:trPr>
        <w:tc>
          <w:tcPr>
            <w:tcW w:w="30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Task success rate</w:t>
            </w:r>
            <w:r/>
          </w:p>
        </w:tc>
        <w:tc>
          <w:tcPr>
            <w:tcW w:w="63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Pass/fail against the pre-written success criterion.</w:t>
            </w:r>
            <w:r/>
          </w:p>
        </w:tc>
      </w:tr>
      <w:tr>
        <w:trPr>
          <w:tblHeader w:val="0"/>
          <w:cantSplit/>
          <w:trHeight w:val="0" w:hRule="auto"/>
        </w:trPr>
        <w:tc>
          <w:tcPr>
            <w:tcW w:w="30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False-success rate</w:t>
            </w:r>
            <w:r/>
          </w:p>
        </w:tc>
        <w:tc>
          <w:tcPr>
            <w:tcW w:w="63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System reports success but manual inspection shows the goal wasn't actually met — this is the metric that most directly proves the verification engine is doing real work.</w:t>
            </w:r>
            <w:r/>
          </w:p>
        </w:tc>
      </w:tr>
      <w:tr>
        <w:trPr>
          <w:tblHeader w:val="0"/>
          <w:cantSplit/>
          <w:trHeight w:val="0" w:hRule="auto"/>
        </w:trPr>
        <w:tc>
          <w:tcPr>
            <w:tcW w:w="30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Steps/tool calls to completion</w:t>
            </w:r>
            <w:r/>
          </w:p>
        </w:tc>
        <w:tc>
          <w:tcPr>
            <w:tcW w:w="63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Count of planner-tool-execution cycles used.</w:t>
            </w:r>
            <w:r/>
          </w:p>
        </w:tc>
      </w:tr>
      <w:tr>
        <w:trPr>
          <w:tblHeader w:val="0"/>
          <w:cantSplit/>
          <w:trHeight w:val="0" w:hRule="auto"/>
        </w:trPr>
        <w:tc>
          <w:tcPr>
            <w:tcW w:w="30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Human interventions required</w:t>
            </w:r>
            <w:r/>
          </w:p>
        </w:tc>
        <w:tc>
          <w:tcPr>
            <w:tcW w:w="63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Times a person had to correct, approve outside the expected flow, or restart.</w:t>
            </w:r>
            <w:r/>
          </w:p>
        </w:tc>
      </w:tr>
      <w:tr>
        <w:trPr>
          <w:tblHeader w:val="0"/>
          <w:cantSplit/>
          <w:trHeight w:val="0" w:hRule="auto"/>
        </w:trPr>
        <w:tc>
          <w:tcPr>
            <w:tcW w:w="30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Wall-clock time to completion</w:t>
            </w:r>
            <w:r/>
          </w:p>
        </w:tc>
        <w:tc>
          <w:tcPr>
            <w:tcW w:w="63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End-to-end latency from goal submission to final verified result.</w:t>
            </w:r>
            <w:r/>
          </w:p>
        </w:tc>
      </w:tr>
    </w:tbl>
    <w:p>
      <w:pPr>
        <w:pStyle w:val="para4"/>
        <w:spacing w:before="200" w:after="100"/>
      </w:pPr>
      <w:r>
        <w:t>8.5 Procedure and honesty about scale</w:t>
      </w:r>
    </w:p>
    <w:p>
      <w:pPr>
        <w:spacing w:after="160"/>
      </w:pPr>
      <w:r>
        <w:rPr>
          <w:sz w:val="22"/>
          <w:szCs w:val="22"/>
        </w:rPr>
        <w:t>Each task is run 3–5 times per system to account for LLM stochasticity, reported as a mean and range rather than a single point estimate. This should be presented as a small-sample comparative study — conclusions scoped to “observed difference on this task set,” not generalized claims of statistical significance. Two cheap secondary comparisons reuse the same run logs: verification on vs. off (does it reduce false-success rate), and replanning vs. static plan (deliberately withhold a required file mid-task and compare recovery).</w:t>
      </w:r>
      <w:r/>
    </w:p>
    <w:p>
      <w:pPr>
        <w:pStyle w:val="para2"/>
        <w:spacing w:before="400" w:after="200"/>
      </w:pPr>
      <w:r>
        <w:t>9. Resource &amp; Hardware Sizing</w:t>
      </w:r>
    </w:p>
    <w:p>
      <w:pPr>
        <w:spacing w:after="160"/>
      </w:pPr>
      <w:r>
        <w:rPr>
          <w:sz w:val="22"/>
          <w:szCs w:val="22"/>
        </w:rPr>
        <w:t>A resource-aware router is only a real design once it names numbers. This section turns Section 5.2 from a diagram into a plan the team can actually build against.</w:t>
      </w:r>
      <w:r/>
    </w:p>
    <w:tbl>
      <w:tblPr>
        <w:name w:val="Table8"/>
        <w:tabOrder w:val="0"/>
        <w:jc w:val="left"/>
        <w:tblInd w:w="0" w:type="dxa"/>
        <w:tblW w:w="9350" w:type="dxa"/>
      </w:tblPr>
      <w:tblGrid>
        <w:gridCol w:w="2400"/>
        <w:gridCol w:w="3200"/>
        <w:gridCol w:w="1900"/>
        <w:gridCol w:w="1850"/>
      </w:tblGrid>
      <w:tr>
        <w:trPr>
          <w:tblHeader/>
          <w:cantSplit w:val="0"/>
          <w:trHeight w:val="0" w:hRule="auto"/>
        </w:trPr>
        <w:tc>
          <w:tcPr>
            <w:tcW w:w="24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Model role</w:t>
            </w:r>
            <w:r/>
          </w:p>
        </w:tc>
        <w:tc>
          <w:tcPr>
            <w:tcW w:w="32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Example model class</w:t>
            </w:r>
            <w:r/>
          </w:p>
        </w:tc>
        <w:tc>
          <w:tcPr>
            <w:tcW w:w="19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Approx. VRAM</w:t>
            </w:r>
            <w:r/>
          </w:p>
        </w:tc>
        <w:tc>
          <w:tcPr>
            <w:tcW w:w="18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Fallback if unavailable</w:t>
            </w:r>
            <w:r/>
          </w:p>
        </w:tc>
      </w:tr>
      <w:tr>
        <w:trPr>
          <w:tblHeader w:val="0"/>
          <w:cantSplit/>
          <w:trHeight w:val="0" w:hRule="auto"/>
        </w:trPr>
        <w:tc>
          <w:tcPr>
            <w:tcW w:w="24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Reasoning (general)</w:t>
            </w:r>
            <w:r/>
          </w:p>
        </w:tc>
        <w:tc>
          <w:tcPr>
            <w:tcW w:w="32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7B–14B instruction-tuned open-weight model</w:t>
            </w:r>
            <w:r/>
          </w:p>
        </w:tc>
        <w:tc>
          <w:tcPr>
            <w:tcW w:w="19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~10–16 GB</w:t>
            </w:r>
            <w:r/>
          </w:p>
        </w:tc>
        <w:tc>
          <w:tcPr>
            <w:tcW w:w="18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Smaller reasoning model, reduced context window</w:t>
            </w:r>
            <w:r/>
          </w:p>
        </w:tc>
      </w:tr>
      <w:tr>
        <w:trPr>
          <w:tblHeader w:val="0"/>
          <w:cantSplit/>
          <w:trHeight w:val="0" w:hRule="auto"/>
        </w:trPr>
        <w:tc>
          <w:tcPr>
            <w:tcW w:w="24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Vision / multimodal</w:t>
            </w:r>
            <w:r/>
          </w:p>
        </w:tc>
        <w:tc>
          <w:tcPr>
            <w:tcW w:w="32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7B-class vision-language model</w:t>
            </w:r>
            <w:r/>
          </w:p>
        </w:tc>
        <w:tc>
          <w:tcPr>
            <w:tcW w:w="19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~10–14 GB</w:t>
            </w:r>
            <w:r/>
          </w:p>
        </w:tc>
        <w:tc>
          <w:tcPr>
            <w:tcW w:w="18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OCR + text-only reasoning model as degraded path</w:t>
            </w:r>
            <w:r/>
          </w:p>
        </w:tc>
      </w:tr>
      <w:tr>
        <w:trPr>
          <w:tblHeader w:val="0"/>
          <w:cantSplit/>
          <w:trHeight w:val="0" w:hRule="auto"/>
        </w:trPr>
        <w:tc>
          <w:tcPr>
            <w:tcW w:w="24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Coding</w:t>
            </w:r>
            <w:r/>
          </w:p>
        </w:tc>
        <w:tc>
          <w:tcPr>
            <w:tcW w:w="32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6–8B code-specialized model</w:t>
            </w:r>
            <w:r/>
          </w:p>
        </w:tc>
        <w:tc>
          <w:tcPr>
            <w:tcW w:w="19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~8–10 GB</w:t>
            </w:r>
            <w:r/>
          </w:p>
        </w:tc>
        <w:tc>
          <w:tcPr>
            <w:tcW w:w="18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General reasoning model with lower coding confidence flagged</w:t>
            </w:r>
            <w:r/>
          </w:p>
        </w:tc>
      </w:tr>
      <w:tr>
        <w:trPr>
          <w:tblHeader w:val="0"/>
          <w:cantSplit/>
          <w:trHeight w:val="0" w:hRule="auto"/>
        </w:trPr>
        <w:tc>
          <w:tcPr>
            <w:tcW w:w="24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Embedding</w:t>
            </w:r>
            <w:r/>
          </w:p>
        </w:tc>
        <w:tc>
          <w:tcPr>
            <w:tcW w:w="32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Small dedicated embedding model</w:t>
            </w:r>
            <w:r/>
          </w:p>
        </w:tc>
        <w:tc>
          <w:tcPr>
            <w:tcW w:w="19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~1–2 GB</w:t>
            </w:r>
            <w:r/>
          </w:p>
        </w:tc>
        <w:tc>
          <w:tcPr>
            <w:tcW w:w="18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Always resident — too cheap to swap out</w:t>
            </w:r>
            <w:r/>
          </w:p>
        </w:tc>
      </w:tr>
    </w:tbl>
    <w:p>
      <w:pPr>
        <w:spacing w:after="160"/>
      </w:pPr>
      <w:r>
        <w:rPr>
          <w:sz w:val="22"/>
          <w:szCs w:val="22"/>
        </w:rPr>
        <w:t>The router checks current GPU utilization before selecting a model, not just task type: task requirement + hardware availability + latency budget → best available model. State explicitly, on a demo machine, which single GPU tier the team is targeting (e.g. one 16 GB or 24 GB card) so the router's fallback logic has a concrete, honest floor rather than an assumption of unlimited hardware.</w:t>
      </w:r>
      <w:r/>
    </w:p>
    <w:p>
      <w:pPr>
        <w:pStyle w:val="para2"/>
        <w:spacing w:before="400" w:after="200"/>
      </w:pPr>
      <w:r>
        <w:t>10. Failure Modes &amp; Resilience</w:t>
      </w:r>
    </w:p>
    <w:p>
      <w:pPr>
        <w:spacing w:after="160"/>
      </w:pPr>
      <w:r>
        <w:rPr>
          <w:sz w:val="22"/>
          <w:szCs w:val="22"/>
        </w:rPr>
        <w:t>Verification catches wrong answers. It does not automatically catch system-level failures — these need to be designed for explicitly, not discovered live during judging.</w:t>
      </w:r>
      <w:r/>
    </w:p>
    <w:tbl>
      <w:tblPr>
        <w:name w:val="Table9"/>
        <w:tabOrder w:val="0"/>
        <w:jc w:val="left"/>
        <w:tblInd w:w="0" w:type="dxa"/>
        <w:tblW w:w="9350" w:type="dxa"/>
      </w:tblPr>
      <w:tblGrid>
        <w:gridCol w:w="3300"/>
        <w:gridCol w:w="6050"/>
      </w:tblGrid>
      <w:tr>
        <w:trPr>
          <w:tblHeader/>
          <w:cantSplit w:val="0"/>
          <w:trHeight w:val="0" w:hRule="auto"/>
        </w:trPr>
        <w:tc>
          <w:tcPr>
            <w:tcW w:w="33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Failure</w:t>
            </w:r>
            <w:r/>
          </w:p>
        </w:tc>
        <w:tc>
          <w:tcPr>
            <w:tcW w:w="60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Designed response</w:t>
            </w:r>
            <w:r/>
          </w:p>
        </w:tc>
      </w:tr>
      <w:tr>
        <w:trPr>
          <w:tblHeader w:val="0"/>
          <w:cantSplit/>
          <w:trHeight w:val="0" w:hRule="auto"/>
        </w:trPr>
        <w:tc>
          <w:tcPr>
            <w:tcW w:w="33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Vector DB / vault index unavailable or corrupted</w:t>
            </w:r>
            <w:r/>
          </w:p>
        </w:tc>
        <w:tc>
          <w:tcPr>
            <w:tcW w:w="60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Orchestrator reports degraded mode explicitly (“retrieval unavailable, answering from direct document read only”) rather than silently returning empty results as if nothing was found.</w:t>
            </w:r>
            <w:r/>
          </w:p>
        </w:tc>
      </w:tr>
      <w:tr>
        <w:trPr>
          <w:tblHeader w:val="0"/>
          <w:cantSplit/>
          <w:trHeight w:val="0" w:hRule="auto"/>
        </w:trPr>
        <w:tc>
          <w:tcPr>
            <w:tcW w:w="33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Tool call times out mid-plan</w:t>
            </w:r>
            <w:r/>
          </w:p>
        </w:tc>
        <w:tc>
          <w:tcPr>
            <w:tcW w:w="60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Task marked FAILED (not left in EXECUTING limbo); orchestrator chooses retry or replan per Section 5.6, and the timeout itself is logged in the audit trail.</w:t>
            </w:r>
            <w:r/>
          </w:p>
        </w:tc>
      </w:tr>
      <w:tr>
        <w:trPr>
          <w:tblHeader w:val="0"/>
          <w:cantSplit/>
          <w:trHeight w:val="0" w:hRule="auto"/>
        </w:trPr>
        <w:tc>
          <w:tcPr>
            <w:tcW w:w="33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Concurrent vault edits (two engineers, same note)</w:t>
            </w:r>
            <w:r/>
          </w:p>
        </w:tc>
        <w:tc>
          <w:tcPr>
            <w:tcW w:w="60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Last-write-wins is not acceptable for evidence integrity — conflicting writes are flagged for human merge, not silently overwritten, since the vault is also the audit source of truth.</w:t>
            </w:r>
            <w:r/>
          </w:p>
        </w:tc>
      </w:tr>
      <w:tr>
        <w:trPr>
          <w:tblHeader w:val="0"/>
          <w:cantSplit/>
          <w:trHeight w:val="0" w:hRule="auto"/>
        </w:trPr>
        <w:tc>
          <w:tcPr>
            <w:tcW w:w="33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Model requests a tool that doesn't exist in the registry</w:t>
            </w:r>
            <w:r/>
          </w:p>
        </w:tc>
        <w:tc>
          <w:tcPr>
            <w:tcW w:w="60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Rejected at the schema-validation step before execution, returned to the model as a structured error so it can replan — never passed through to a shell or file operation.</w:t>
            </w:r>
            <w:r/>
          </w:p>
        </w:tc>
      </w:tr>
      <w:tr>
        <w:trPr>
          <w:tblHeader w:val="0"/>
          <w:cantSplit/>
          <w:trHeight w:val="0" w:hRule="auto"/>
        </w:trPr>
        <w:tc>
          <w:tcPr>
            <w:tcW w:w="33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Model hallucinates a citation</w:t>
            </w:r>
            <w:r/>
          </w:p>
        </w:tc>
        <w:tc>
          <w:tcPr>
            <w:tcW w:w="60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Caught by the evidence checker (Section 5.6): a claim with no matching source text is flagged, not silently included in the final answer.</w:t>
            </w:r>
            <w:r/>
          </w:p>
        </w:tc>
      </w:tr>
    </w:tbl>
    <w:p>
      <w:pPr>
        <w:pStyle w:val="para2"/>
        <w:spacing w:before="400" w:after="200"/>
      </w:pPr>
      <w:r>
        <w:t>11. Security, Data Governance &amp; Compliance</w:t>
      </w:r>
    </w:p>
    <w:p>
      <w:pPr>
        <w:spacing w:after="160"/>
      </w:pPr>
      <w:r>
        <w:rPr>
          <w:sz w:val="22"/>
          <w:szCs w:val="22"/>
        </w:rPr>
        <w:t>“100% secure” and “sovereign” are meaningless unless they're specific. This section states what those words actually mean for VELIKY, since this is exactly the kind of question an industry-experienced judge will ask directly.</w:t>
      </w:r>
      <w:r/>
    </w:p>
    <w:p>
      <w:pPr>
        <w:pStyle w:val="para9"/>
        <w:numPr>
          <w:ilvl w:val="0"/>
          <w:numId w:val="5"/>
        </w:numPr>
        <w:ind w:left="0" w:firstLine="0"/>
        <w:spacing w:after="80"/>
      </w:pPr>
      <w:r>
        <w:t>No external AI API calls, no cloud document upload, no external inference — demonstrated live by disconnecting the network during the demo, not just claimed on a slide.</w:t>
      </w:r>
    </w:p>
    <w:p>
      <w:pPr>
        <w:pStyle w:val="para9"/>
        <w:numPr>
          <w:ilvl w:val="0"/>
          <w:numId w:val="5"/>
        </w:numPr>
        <w:ind w:left="0" w:firstLine="0"/>
        <w:spacing w:after="80"/>
      </w:pPr>
      <w:r>
        <w:t>Encryption at rest for the vault and the relational store, not just network-layer security — the confidentiality promise has to hold even if a laptop/disk is physically taken.</w:t>
      </w:r>
    </w:p>
    <w:p>
      <w:pPr>
        <w:pStyle w:val="para9"/>
        <w:numPr>
          <w:ilvl w:val="0"/>
          <w:numId w:val="5"/>
        </w:numPr>
        <w:ind w:left="0" w:firstLine="0"/>
        <w:spacing w:after="80"/>
      </w:pPr>
      <w:r>
        <w:t>Data retention policy stated explicitly: how long documents, embeddings, audit logs, and agent-generated notes are kept, and who can purge them (this doubles as an answer to “what happens to the data if we stop using VELIKY”).</w:t>
      </w:r>
    </w:p>
    <w:p>
      <w:pPr>
        <w:pStyle w:val="para9"/>
        <w:numPr>
          <w:ilvl w:val="0"/>
          <w:numId w:val="5"/>
        </w:numPr>
        <w:ind w:left="0" w:firstLine="0"/>
        <w:spacing w:after="80"/>
      </w:pPr>
      <w:r>
        <w:t>The org-hierarchy graph (Section 6.2) is itself a compliance-sensitive index — a searchable record of who-did-what needs the same retention and access rules as any HR system, not an exemption because it's “just an AI feature.”</w:t>
      </w:r>
    </w:p>
    <w:p>
      <w:pPr>
        <w:pStyle w:val="para9"/>
        <w:numPr>
          <w:ilvl w:val="0"/>
          <w:numId w:val="5"/>
        </w:numPr>
        <w:ind w:left="0" w:firstLine="0"/>
        <w:spacing w:after="80"/>
      </w:pPr>
      <w:r>
        <w:t>RBAC and document-level permissions are enforced at the retrieval layer (Section 5.5), not only in the UI — the model must never see a chunk of a document the requesting user isn't authorized to view, regardless of what the UI would have shown.</w:t>
      </w:r>
    </w:p>
    <w:p>
      <w:pPr>
        <w:pStyle w:val="para2"/>
        <w:spacing w:before="400" w:after="200"/>
      </w:pPr>
      <w:r>
        <w:t>12. Integration with Existing Plant Systems</w:t>
      </w:r>
    </w:p>
    <w:p>
      <w:pPr>
        <w:spacing w:after="160"/>
      </w:pPr>
      <w:r>
        <w:rPr>
          <w:sz w:val="22"/>
          <w:szCs w:val="22"/>
        </w:rPr>
        <w:t>Real industrial sites already run historians (e.g. process data historians), SCADA, and CMMS/ERP systems. VELIKY's story must be that it sits alongside this stack and reads from it — not that it replaces it — or it reads as unaware of what a real plant already has deployed.</w:t>
      </w:r>
      <w:r/>
    </w:p>
    <w:tbl>
      <w:tblPr>
        <w:name w:val="Table10"/>
        <w:tabOrder w:val="0"/>
        <w:jc w:val="left"/>
        <w:tblInd w:w="0" w:type="dxa"/>
        <w:tblW w:w="9350" w:type="dxa"/>
      </w:tblPr>
      <w:tblGrid>
        <w:gridCol w:w="2600"/>
        <w:gridCol w:w="6750"/>
      </w:tblGrid>
      <w:tr>
        <w:trPr>
          <w:tblHeader/>
          <w:cantSplit w:val="0"/>
          <w:trHeight w:val="0" w:hRule="auto"/>
        </w:trPr>
        <w:tc>
          <w:tcPr>
            <w:tcW w:w="26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Existing system</w:t>
            </w:r>
            <w:r/>
          </w:p>
        </w:tc>
        <w:tc>
          <w:tcPr>
            <w:tcW w:w="67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How VELIKY relates to it</w:t>
            </w:r>
            <w:r/>
          </w:p>
        </w:tc>
      </w:tr>
      <w:tr>
        <w:trPr>
          <w:tblHeader w:val="0"/>
          <w:cantSplit/>
          <w:trHeight w:val="0" w:hRule="auto"/>
        </w:trPr>
        <w:tc>
          <w:tcPr>
            <w:tcW w:w="26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SCADA / process historian</w:t>
            </w:r>
            <w:r/>
          </w:p>
        </w:tc>
        <w:tc>
          <w:tcPr>
            <w:tcW w:w="67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Section 7.4's sensor layer is designed as an adapter pattern: a simulator for the demo, swappable for a real historian query/API in a production deployment — the watcher and orchestrator logic don't change.</w:t>
            </w:r>
            <w:r/>
          </w:p>
        </w:tc>
      </w:tr>
      <w:tr>
        <w:trPr>
          <w:tblHeader w:val="0"/>
          <w:cantSplit/>
          <w:trHeight w:val="0" w:hRule="auto"/>
        </w:trPr>
        <w:tc>
          <w:tcPr>
            <w:tcW w:w="26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CMMS / maintenance system</w:t>
            </w:r>
            <w:r/>
          </w:p>
        </w:tc>
        <w:tc>
          <w:tcPr>
            <w:tcW w:w="67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Maintenance records are ingested into the vault (Section 6) as linked notes rather than duplicated — VELIKY becomes a reasoning layer over existing maintenance data, not a second system of record.</w:t>
            </w:r>
            <w:r/>
          </w:p>
        </w:tc>
      </w:tr>
      <w:tr>
        <w:trPr>
          <w:tblHeader w:val="0"/>
          <w:cantSplit/>
          <w:trHeight w:val="0" w:hRule="auto"/>
        </w:trPr>
        <w:tc>
          <w:tcPr>
            <w:tcW w:w="26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ERP</w:t>
            </w:r>
            <w:r/>
          </w:p>
        </w:tc>
        <w:tc>
          <w:tcPr>
            <w:tcW w:w="67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Read-only integration for context (e.g. equipment metadata, work orders) via the tool layer (Section 5.4); VELIKY does not attempt to become the ERP.</w:t>
            </w:r>
            <w:r/>
          </w:p>
        </w:tc>
      </w:tr>
      <w:tr>
        <w:trPr>
          <w:tblHeader w:val="0"/>
          <w:cantSplit/>
          <w:trHeight w:val="0" w:hRule="auto"/>
        </w:trPr>
        <w:tc>
          <w:tcPr>
            <w:tcW w:w="26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Existing document repositories (SharePoint, file shares)</w:t>
            </w:r>
            <w:r/>
          </w:p>
        </w:tc>
        <w:tc>
          <w:tcPr>
            <w:tcW w:w="67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Ingestion pipeline treats these as a source directory to sync into the vault, so adoption doesn't require abandoning where documents already live.</w:t>
            </w:r>
            <w:r/>
          </w:p>
        </w:tc>
      </w:tr>
    </w:tbl>
    <w:p>
      <w:pPr>
        <w:pStyle w:val="para2"/>
        <w:spacing w:before="400" w:after="200"/>
      </w:pPr>
      <w:r>
        <w:t>13. Cost &amp; Deployment Feasibility</w:t>
      </w:r>
    </w:p>
    <w:p>
      <w:pPr>
        <w:spacing w:after="160"/>
      </w:pPr>
      <w:r>
        <w:rPr>
          <w:sz w:val="22"/>
          <w:szCs w:val="22"/>
        </w:rPr>
        <w:t>Multi-model local inference requires real GPU hardware, and a judge with industry experience will reasonably ask whether this is affordable at the scale a real plant would deploy it. Address this directly rather than leaving it implicit:</w:t>
      </w:r>
      <w:r/>
    </w:p>
    <w:p>
      <w:pPr>
        <w:pStyle w:val="para9"/>
        <w:numPr>
          <w:ilvl w:val="0"/>
          <w:numId w:val="5"/>
        </w:numPr>
        <w:ind w:left="0" w:firstLine="0"/>
        <w:spacing w:after="80"/>
      </w:pPr>
      <w:r>
        <w:t>State the target hardware tier explicitly (Section 9) and its approximate one-time cost, rather than implying unlimited compute.</w:t>
      </w:r>
    </w:p>
    <w:p>
      <w:pPr>
        <w:pStyle w:val="para9"/>
        <w:numPr>
          <w:ilvl w:val="0"/>
          <w:numId w:val="5"/>
        </w:numPr>
        <w:ind w:left="0" w:firstLine="0"/>
        <w:spacing w:after="80"/>
      </w:pPr>
      <w:r>
        <w:t>Note that the model router's fallback path (Section 9) is itself a cost-control mechanism — the system degrades to smaller/cheaper models under load rather than requiring peak-capacity hardware provisioned for the worst case at all times.</w:t>
      </w:r>
    </w:p>
    <w:p>
      <w:pPr>
        <w:pStyle w:val="para9"/>
        <w:numPr>
          <w:ilvl w:val="0"/>
          <w:numId w:val="5"/>
        </w:numPr>
        <w:ind w:left="0" w:firstLine="0"/>
        <w:spacing w:after="80"/>
      </w:pPr>
      <w:r>
        <w:t>Position the pitch honestly: this is a mid-size industrial deployment (a plant, a division), not a claim that it's cheap enough for every possible customer — overclaiming affordability invites a harder follow-up question than a scoped, honest answer.</w:t>
      </w:r>
    </w:p>
    <w:p>
      <w:pPr>
        <w:pStyle w:val="para2"/>
        <w:spacing w:before="400" w:after="200"/>
      </w:pPr>
      <w:r>
        <w:t>14. Build Roadmap</w:t>
      </w:r>
    </w:p>
    <w:p>
      <w:pPr>
        <w:spacing w:after="160"/>
      </w:pPr>
      <w:r>
        <w:rPr>
          <w:sz w:val="22"/>
          <w:szCs w:val="22"/>
        </w:rPr>
        <w:t>Design-complete is not the same as built. This roadmap is the actual sequencing the team should follow, in order — nothing later in the list is worth starting before the item above it works end to end.</w:t>
      </w:r>
      <w:r/>
    </w:p>
    <w:tbl>
      <w:tblPr>
        <w:name w:val="Table11"/>
        <w:tabOrder w:val="0"/>
        <w:jc w:val="left"/>
        <w:tblInd w:w="0" w:type="dxa"/>
        <w:tblW w:w="9350" w:type="dxa"/>
      </w:tblPr>
      <w:tblGrid>
        <w:gridCol w:w="2600"/>
        <w:gridCol w:w="6750"/>
      </w:tblGrid>
      <w:tr>
        <w:trPr>
          <w:tblHeader/>
          <w:cantSplit w:val="0"/>
          <w:trHeight w:val="0" w:hRule="auto"/>
        </w:trPr>
        <w:tc>
          <w:tcPr>
            <w:tcW w:w="26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Phase</w:t>
            </w:r>
            <w:r/>
          </w:p>
        </w:tc>
        <w:tc>
          <w:tcPr>
            <w:tcW w:w="67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Deliverable</w:t>
            </w:r>
            <w:r/>
          </w:p>
        </w:tc>
      </w:tr>
      <w:tr>
        <w:trPr>
          <w:tblHeader w:val="0"/>
          <w:cantSplit/>
          <w:trHeight w:val="0" w:hRule="auto"/>
        </w:trPr>
        <w:tc>
          <w:tcPr>
            <w:tcW w:w="26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Phase 1 — MVP core loop</w:t>
            </w:r>
            <w:r/>
          </w:p>
        </w:tc>
        <w:tc>
          <w:tcPr>
            <w:tcW w:w="67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One local open-weight model running; document ingestion (PDF/Excel/image → parsed → chunked → embedded); vector DB wired up; a basic chat UI returning grounded answers with sources. Nothing else in this document is demoable until this exists.</w:t>
            </w:r>
            <w:r/>
          </w:p>
        </w:tc>
      </w:tr>
      <w:tr>
        <w:trPr>
          <w:tblHeader w:val="0"/>
          <w:cantSplit/>
          <w:trHeight w:val="0" w:hRule="auto"/>
        </w:trPr>
        <w:tc>
          <w:tcPr>
            <w:tcW w:w="26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Phase 2 — Control layer</w:t>
            </w:r>
            <w:r/>
          </w:p>
        </w:tc>
        <w:tc>
          <w:tcPr>
            <w:tcW w:w="67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Model router (rule-based is fine to start); tool sandbox (Python execution at minimum); 2-tier policy engine (auto-approve / requires approval); a verification step on outputs.</w:t>
            </w:r>
            <w:r/>
          </w:p>
        </w:tc>
      </w:tr>
      <w:tr>
        <w:trPr>
          <w:tblHeader w:val="0"/>
          <w:cantSplit/>
          <w:trHeight w:val="0" w:hRule="auto"/>
        </w:trPr>
        <w:tc>
          <w:tcPr>
            <w:tcW w:w="26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Phase 3 — Vault &amp; graph</w:t>
            </w:r>
            <w:r/>
          </w:p>
        </w:tc>
        <w:tc>
          <w:tcPr>
            <w:tcW w:w="67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Section 6's vault ingestion and linked-notes structure; basic graph view; RBAC-filtered retrieval.</w:t>
            </w:r>
            <w:r/>
          </w:p>
        </w:tc>
      </w:tr>
      <w:tr>
        <w:trPr>
          <w:tblHeader w:val="0"/>
          <w:cantSplit/>
          <w:trHeight w:val="0" w:hRule="auto"/>
        </w:trPr>
        <w:tc>
          <w:tcPr>
            <w:tcW w:w="26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Phase 4 — One differentiator, fully working</w:t>
            </w:r>
            <w:r/>
          </w:p>
        </w:tc>
        <w:tc>
          <w:tcPr>
            <w:tcW w:w="67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Recommended: 7.4 (proactive sensor-triggered investigation) — most demoable, reuses the full pipeline built in Phases 1–3.</w:t>
            </w:r>
            <w:r/>
          </w:p>
        </w:tc>
      </w:tr>
      <w:tr>
        <w:trPr>
          <w:tblHeader w:val="0"/>
          <w:cantSplit/>
          <w:trHeight w:val="0" w:hRule="auto"/>
        </w:trPr>
        <w:tc>
          <w:tcPr>
            <w:tcW w:w="26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Phase 5 — Polish &amp; second differentiator</w:t>
            </w:r>
            <w:r/>
          </w:p>
        </w:tc>
        <w:tc>
          <w:tcPr>
            <w:tcW w:w="67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Audit log UI; 7.1 (self-extending tools) if time allows; provenance-colored graph (6.3) for visual proof of evidence-first design.</w:t>
            </w:r>
            <w:r/>
          </w:p>
        </w:tc>
      </w:tr>
      <w:tr>
        <w:trPr>
          <w:tblHeader w:val="0"/>
          <w:cantSplit/>
          <w:trHeight w:val="0" w:hRule="auto"/>
        </w:trPr>
        <w:tc>
          <w:tcPr>
            <w:tcW w:w="26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Roadmap-only (do not build for the hackathon)</w:t>
            </w:r>
            <w:r/>
          </w:p>
        </w:tc>
        <w:tc>
          <w:tcPr>
            <w:tcW w:w="67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Full DAG task planning, resource-aware model routing under real load, contradiction detection, org-hierarchy permission rollups end-to-end (6.2 as a slide, not a live feature), 7.0 (tacit knowledge capture), 7.2 (shift handover), 7.3 (learning from overrides), 7.5 (skill-graph routing), 7.6 (risk propagation), 6.4 (time-scrubbable graph).</w:t>
            </w:r>
            <w:r/>
          </w:p>
        </w:tc>
      </w:tr>
    </w:tbl>
    <w:tbl>
      <w:tblPr>
        <w:name w:val="Table12"/>
        <w:tabOrder w:val="0"/>
        <w:jc w:val="left"/>
        <w:tblInd w:w="0" w:type="dxa"/>
        <w:tblW w:w="9350" w:type="dxa"/>
      </w:tblPr>
      <w:tblGrid>
        <w:gridCol w:w="9350"/>
      </w:tblGrid>
      <w:tr>
        <w:trPr>
          <w:tblHeader w:val="0"/>
          <w:cantSplit w:val="0"/>
          <w:trHeight w:val="0" w:hRule="auto"/>
        </w:trPr>
        <w:tc>
          <w:tcPr>
            <w:tcW w:w="9350" w:type="dxa"/>
            <w:shd w:val="solid" w:color="ECFDF5" tmshd="1677721856, 0, 16121324"/>
            <w:tcMar>
              <w:top w:w="150" w:type="dxa"/>
              <w:left w:w="200" w:type="dxa"/>
              <w:bottom w:w="150" w:type="dxa"/>
              <w:right w:w="200" w:type="dxa"/>
            </w:tcMar>
            <w:tcBorders>
              <w:top w:val="single" w:sz="6" w:space="0" w:color="0F766E" tmln="15, 20, 20, 0, 0"/>
              <w:left w:val="single" w:sz="6" w:space="0" w:color="0F766E" tmln="15, 20, 20, 0, 0"/>
              <w:bottom w:val="single" w:sz="6" w:space="0" w:color="0F766E" tmln="15, 20, 20, 0, 0"/>
              <w:right w:val="single" w:sz="6" w:space="0" w:color="0F766E" tmln="15, 20, 20, 0, 0"/>
              <w:tl2br w:val="nil" w:sz="0" w:space="0" w:color="000000" tmln="20, 20, 20, 0, 0"/>
              <w:tr2bl w:val="nil" w:sz="0" w:space="0" w:color="000000" tmln="20, 20, 20, 0, 0"/>
            </w:tcBorders>
            <w:tmTcPr id="1788753616" protected="0"/>
          </w:tcPr>
          <w:p>
            <w:pPr>
              <w:spacing w:after="80"/>
            </w:pPr>
            <w:r>
              <w:rPr>
                <w:b/>
                <w:bCs/>
                <w:color w:val="0f766e"/>
                <w:sz w:val="21"/>
                <w:szCs w:val="21"/>
              </w:rPr>
              <w:t>The honest checkpoint</w:t>
            </w:r>
            <w:r/>
          </w:p>
          <w:p>
            <w:pPr/>
            <w:r>
              <w:rPr>
                <w:sz w:val="21"/>
                <w:szCs w:val="21"/>
              </w:rPr>
              <w:t>Every idea in this document is architecture and strategy until code exists. The team should treat Phase 1 as the actual finish line for “we have something,” and everything after it as building on a real, working foundation — not a parallel design exercise. A working Phase 1 + Phase 4 differentiator beats a fully designed but non-functional Phase 5.</w:t>
            </w:r>
            <w:r/>
          </w:p>
        </w:tc>
      </w:tr>
    </w:tbl>
    <w:p>
      <w:pPr>
        <w:pStyle w:val="para2"/>
        <w:spacing w:before="400" w:after="200"/>
      </w:pPr>
      <w:r>
        <w:t>15. Relationship to EDITH</w:t>
      </w:r>
    </w:p>
    <w:p>
      <w:pPr>
        <w:spacing w:after="160"/>
      </w:pPr>
      <w:r>
        <w:rPr>
          <w:sz w:val="22"/>
          <w:szCs w:val="22"/>
        </w:rPr>
        <w:t>EDITH (“A Goal-Driven Personal AI Operating System with Memory, Tool Use, and Verifiable Task Execution”) is a separate final-year project, but it shares VELIKY's exact core loop: orchestrator → planner → policy-gated tool call → independent verification → memory update. EDITH operates at the scale of one person's goals; VELIKY operates at the scale of an organization's confidential work.</w:t>
      </w:r>
      <w:r/>
    </w:p>
    <w:tbl>
      <w:tblPr>
        <w:name w:val="Table13"/>
        <w:tabOrder w:val="0"/>
        <w:jc w:val="left"/>
        <w:tblInd w:w="0" w:type="dxa"/>
        <w:tblW w:w="9350" w:type="dxa"/>
      </w:tblPr>
      <w:tblGrid>
        <w:gridCol w:w="1600"/>
        <w:gridCol w:w="3800"/>
        <w:gridCol w:w="3950"/>
      </w:tblGrid>
      <w:tr>
        <w:trPr>
          <w:tblHeader/>
          <w:cantSplit w:val="0"/>
          <w:trHeight w:val="0" w:hRule="auto"/>
        </w:trPr>
        <w:tc>
          <w:tcPr>
            <w:tcW w:w="16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p>
        </w:tc>
        <w:tc>
          <w:tcPr>
            <w:tcW w:w="38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EDITH</w:t>
            </w:r>
            <w:r/>
          </w:p>
        </w:tc>
        <w:tc>
          <w:tcPr>
            <w:tcW w:w="39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VELIKY</w:t>
            </w:r>
            <w:r/>
          </w:p>
        </w:tc>
      </w:tr>
      <w:tr>
        <w:trPr>
          <w:tblHeader w:val="0"/>
          <w:cantSplit/>
          <w:trHeight w:val="0" w:hRule="auto"/>
        </w:trPr>
        <w:tc>
          <w:tcPr>
            <w:tcW w:w="16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Scope</w:t>
            </w:r>
            <w:r/>
          </w:p>
        </w:tc>
        <w:tc>
          <w:tcPr>
            <w:tcW w:w="38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Single user, personal goals</w:t>
            </w:r>
            <w:r/>
          </w:p>
        </w:tc>
        <w:tc>
          <w:tcPr>
            <w:tcW w:w="39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Whole organization, confidential industrial work</w:t>
            </w:r>
            <w:r/>
          </w:p>
        </w:tc>
      </w:tr>
      <w:tr>
        <w:trPr>
          <w:tblHeader w:val="0"/>
          <w:cantSplit/>
          <w:trHeight w:val="0" w:hRule="auto"/>
        </w:trPr>
        <w:tc>
          <w:tcPr>
            <w:tcW w:w="16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Memory</w:t>
            </w:r>
            <w:r/>
          </w:p>
        </w:tc>
        <w:tc>
          <w:tcPr>
            <w:tcW w:w="38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PostgreSQL (structured) + vector store</w:t>
            </w:r>
            <w:r/>
          </w:p>
        </w:tc>
        <w:tc>
          <w:tcPr>
            <w:tcW w:w="39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Vault (linked notes) + vector DB + knowledge graph, permission-scoped</w:t>
            </w:r>
            <w:r/>
          </w:p>
        </w:tc>
      </w:tr>
      <w:tr>
        <w:trPr>
          <w:tblHeader w:val="0"/>
          <w:cantSplit/>
          <w:trHeight w:val="0" w:hRule="auto"/>
        </w:trPr>
        <w:tc>
          <w:tcPr>
            <w:tcW w:w="16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Access control</w:t>
            </w:r>
            <w:r/>
          </w:p>
        </w:tc>
        <w:tc>
          <w:tcPr>
            <w:tcW w:w="38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Simple policy engine (auto / approve / block)</w:t>
            </w:r>
            <w:r/>
          </w:p>
        </w:tc>
        <w:tc>
          <w:tcPr>
            <w:tcW w:w="39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Same pattern + full RBAC and document/graph-level permissions</w:t>
            </w:r>
            <w:r/>
          </w:p>
        </w:tc>
      </w:tr>
      <w:tr>
        <w:trPr>
          <w:tblHeader w:val="0"/>
          <w:cantSplit/>
          <w:trHeight w:val="0" w:hRule="auto"/>
        </w:trPr>
        <w:tc>
          <w:tcPr>
            <w:tcW w:w="16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Model strategy</w:t>
            </w:r>
            <w:r/>
          </w:p>
        </w:tc>
        <w:tc>
          <w:tcPr>
            <w:tcW w:w="38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One provider behind an LLMProvider abstraction</w:t>
            </w:r>
            <w:r/>
          </w:p>
        </w:tc>
        <w:tc>
          <w:tcPr>
            <w:tcW w:w="39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Multi-model router selecting per task and resource availability</w:t>
            </w:r>
            <w:r/>
          </w:p>
        </w:tc>
      </w:tr>
      <w:tr>
        <w:trPr>
          <w:tblHeader w:val="0"/>
          <w:cantSplit/>
          <w:trHeight w:val="0" w:hRule="auto"/>
        </w:trPr>
        <w:tc>
          <w:tcPr>
            <w:tcW w:w="16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Evaluation</w:t>
            </w:r>
            <w:r/>
          </w:p>
        </w:tc>
        <w:tc>
          <w:tcPr>
            <w:tcW w:w="38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System A/B benchmark vs. conversation-only baseline (already fully specified)</w:t>
            </w:r>
            <w:r/>
          </w:p>
        </w:tc>
        <w:tc>
          <w:tcPr>
            <w:tcW w:w="39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Section 8 adapts the same protocol</w:t>
            </w:r>
            <w:r/>
          </w:p>
        </w:tc>
      </w:tr>
    </w:tbl>
    <w:p>
      <w:pPr>
        <w:spacing w:after="160"/>
      </w:pPr>
      <w:r>
        <w:rPr>
          <w:sz w:val="22"/>
          <w:szCs w:val="22"/>
        </w:rPr>
        <w:t>Practically: EDITH is the smaller, already fully-specified version of the same architecture. Anything proven out while building EDITH's policy engine, verification loop, or task graph directly informs — and can often be directly reused for — the corresponding VELIKY component.</w:t>
      </w:r>
      <w:r/>
    </w:p>
    <w:p>
      <w:pPr>
        <w:pStyle w:val="para2"/>
        <w:spacing w:before="400" w:after="200"/>
      </w:pPr>
      <w:r>
        <w:t>16. Appendix — Full Reference Diagram</w:t>
      </w:r>
    </w:p>
    <w:p>
      <w:pPr>
        <w:spacing w:before="120" w:after="200"/>
        <w:pBdr>
          <w:top w:val="single" w:sz="2" w:space="3" w:color="334155" tmln="5, 20, 20, 0, 60"/>
          <w:left w:val="single" w:sz="2" w:space="3" w:color="334155" tmln="5, 20, 20, 0, 60"/>
          <w:bottom w:val="single" w:sz="2" w:space="3" w:color="334155" tmln="5, 20, 20, 0, 60"/>
          <w:right w:val="single" w:sz="2" w:space="3" w:color="334155" tmln="5, 20, 20, 0, 60"/>
          <w:between w:val="nil" w:sz="0" w:space="0" w:color="000000" tmln="20, 20, 20, 0, 0"/>
        </w:pBdr>
        <w:shd w:val="solid" w:color="0F1115" tmshd="1677721856, 0, 1380623"/>
      </w:pPr>
      <w:r>
        <w:rPr>
          <w:rFonts w:ascii="Consolas" w:hAnsi="Consolas" w:eastAsia="Consolas" w:cs="Consolas"/>
          <w:color w:val="5eead4"/>
          <w:sz w:val="18"/>
          <w:szCs w:val="18"/>
        </w:rPr>
        <w:t xml:space="preserve">                       USER / MISSION CONTROL UI</w:t>
        <w:br w:type="textWrapping"/>
        <w:t xml:space="preserve">                                 |</w:t>
        <w:br w:type="textWrapping"/>
        <w:t xml:space="preserve">                        IDENTITY / RBAC</w:t>
        <w:br w:type="textWrapping"/>
        <w:t xml:space="preserve">                                 |</w:t>
        <w:br w:type="textWrapping"/>
        <w:t xml:space="preserve">                  AI GATEWAY (auth + policy + routing)</w:t>
        <w:br w:type="textWrapping"/>
        <w:t xml:space="preserve">                                 |</w:t>
        <w:br w:type="textWrapping"/>
        <w:t xml:space="preserve">                          TASK PLANNER</w:t>
        <w:br w:type="textWrapping"/>
        <w:t xml:space="preserve">                                 |</w:t>
        <w:br w:type="textWrapping"/>
        <w:t xml:space="preserve">                       AGENT ORCHESTRATOR</w:t>
        <w:br w:type="textWrapping"/>
        <w:t xml:space="preserve">        ___________________________|___________________________</w:t>
        <w:br w:type="textWrapping"/>
        <w:t xml:space="preserve">       |                     |                     |            |</w:t>
        <w:br w:type="textWrapping"/>
        <w:t xml:space="preserve">  MODEL ROUTER        KNOWLEDGE VAULT         TOOL ENGINE   SENSOR WATCHER</w:t>
        <w:br w:type="textWrapping"/>
        <w:t xml:space="preserve">  Reasoning/Vision/    + GRAPH + VECTOR DB     Python sandbox (Sec. 7.4)</w:t>
        <w:br w:type="textWrapping"/>
        <w:t xml:space="preserve">  Coding/Embedding     (Sec. 6)                Doc reader</w:t>
        <w:br w:type="textWrapping"/>
        <w:t xml:space="preserve">  (Sec. 9 sizing)                              OCR / Spreadsheet</w:t>
        <w:br w:type="textWrapping"/>
        <w:t xml:space="preserve">       |_____________________|_____________________|____________|</w:t>
        <w:br w:type="textWrapping"/>
        <w:t xml:space="preserve">                                 |</w:t>
        <w:br w:type="textWrapping"/>
        <w:t xml:space="preserve">                       VERIFICATION ENGINE</w:t>
        <w:br w:type="textWrapping"/>
        <w:t xml:space="preserve">        Evidence check | Calculation check | Contradiction check</w:t>
        <w:br w:type="textWrapping"/>
        <w:t xml:space="preserve">                                 |</w:t>
        <w:br w:type="textWrapping"/>
        <w:t xml:space="preserve">                       HUMAN APPROVAL GATE</w:t>
        <w:br w:type="textWrapping"/>
        <w:t xml:space="preserve">                                 |</w:t>
        <w:br w:type="textWrapping"/>
        <w:t xml:space="preserve">                            AUDIT TRAIL</w:t>
        <w:br w:type="textWrapping"/>
        <w:t xml:space="preserve">                                 |</w:t>
        <w:br w:type="textWrapping"/>
        <w:t xml:space="preserve">                            FINAL OUTPUT</w:t>
        <w:br w:type="textWrapping"/>
        <w:t xml:space="preserve">              Answer + Evidence + Confidence + Sources</w:t>
        <w:br w:type="textWrapping"/>
        <w:br w:type="textWrapping"/>
        <w:t xml:space="preserve">     Failure handling: Section 10   |   Security/governance: Section 11</w:t>
        <w:br w:type="textWrapping"/>
        <w:t xml:space="preserve">     Integration: Section 12        |   Cost: Section 13</w:t>
      </w:r>
      <w:r/>
    </w:p>
    <w:p>
      <w:pPr>
        <w:spacing w:after="200"/>
      </w:pPr>
      <w:r/>
    </w:p>
    <w:p>
      <w:pPr>
        <w:spacing w:after="160"/>
      </w:pPr>
      <w:r>
        <w:rPr>
          <w:i/>
          <w:iCs/>
          <w:color w:val="6b7280"/>
        </w:rPr>
        <w:t>End of document. Owner: keep this updated as decisions change — it should always match what the team is actually building, not what was true at the last hackathon planning session.</w:t>
      </w:r>
      <w:r/>
    </w:p>
    <w:p>
      <w:pPr>
        <w:pStyle w:val="para2"/>
        <w:spacing w:before="400" w:after="200"/>
      </w:pPr>
      <w:r>
        <w:br w:type="page"/>
      </w:r>
      <w:r>
        <w:t>17. Demonstration Scripts</w:t>
      </w:r>
    </w:p>
    <w:p>
      <w:pPr>
        <w:spacing w:after="160"/>
      </w:pPr>
      <w:r>
        <w:rPr>
          <w:sz w:val="22"/>
          <w:szCs w:val="22"/>
        </w:rPr>
        <w:t>Two separate demo scripts, for two different points. Run both if time allows — the first proves the system reasons well when asked; the second proves it notices things on its own.</w:t>
      </w:r>
      <w:r/>
    </w:p>
    <w:p>
      <w:pPr>
        <w:pStyle w:val="para3"/>
        <w:spacing w:before="300" w:after="150"/>
      </w:pPr>
      <w:r>
        <w:t>17.1 Script A — General Investigation Demo (on command)</w:t>
      </w:r>
    </w:p>
    <w:p>
      <w:pPr>
        <w:spacing w:after="160"/>
      </w:pPr>
      <w:r>
        <w:rPr>
          <w:sz w:val="22"/>
          <w:szCs w:val="22"/>
        </w:rPr>
        <w:t>Purpose: show the full reasoning-and-verification pipeline narrating itself in real time, not just returning a final answer.</w:t>
      </w:r>
      <w:r/>
    </w:p>
    <w:p>
      <w:pPr>
        <w:pStyle w:val="para9"/>
        <w:numPr>
          <w:ilvl w:val="0"/>
          <w:numId w:val="5"/>
        </w:numPr>
        <w:ind w:left="0" w:firstLine="0"/>
        <w:spacing w:after="80"/>
      </w:pPr>
      <w:r>
        <w:t>Upload a document set live: an inspection report, a maintenance spreadsheet, an equipment drawing/photo, and the applicable SOP.</w:t>
      </w:r>
    </w:p>
    <w:p>
      <w:pPr>
        <w:pStyle w:val="para9"/>
        <w:numPr>
          <w:ilvl w:val="0"/>
          <w:numId w:val="5"/>
        </w:numPr>
        <w:ind w:left="0" w:firstLine="0"/>
        <w:spacing w:after="80"/>
      </w:pPr>
      <w:r>
        <w:t>Ask: “Analyze Pump P-204 and determine whether its current vibration condition requires attention. Use the maintenance history, inspection report, drawing, and applicable SOP. Calculate the change from the previous recorded measurement and prepare an evidence-backed report.”</w:t>
      </w:r>
    </w:p>
    <w:p>
      <w:pPr>
        <w:pStyle w:val="para9"/>
        <w:numPr>
          <w:ilvl w:val="0"/>
          <w:numId w:val="5"/>
        </w:numPr>
        <w:ind w:left="0" w:firstLine="0"/>
        <w:spacing w:after="80"/>
      </w:pPr>
      <w:r>
        <w:t>Let the UI narrate each stage live: task understanding → model selection (which model was routed to which sub-task, and why) → plan created → documents retrieved → calculation run in the sandbox, not guessed → evidence panel populated with exact source pages → verdict with a confidence score.</w:t>
      </w:r>
    </w:p>
    <w:p>
      <w:pPr>
        <w:pStyle w:val="para9"/>
        <w:numPr>
          <w:ilvl w:val="0"/>
          <w:numId w:val="5"/>
        </w:numPr>
        <w:ind w:left="0" w:firstLine="0"/>
        <w:spacing w:after="80"/>
      </w:pPr>
      <w:r>
        <w:t>Open the AI Canvas (Section 5.1.1) on P-204 afterward to show the same investigation reflected as a graph, not just a chat reply.</w:t>
      </w:r>
    </w:p>
    <w:p>
      <w:pPr>
        <w:pStyle w:val="para9"/>
        <w:numPr>
          <w:ilvl w:val="0"/>
          <w:numId w:val="5"/>
        </w:numPr>
        <w:ind w:left="0" w:firstLine="0"/>
        <w:spacing w:after="80"/>
      </w:pPr>
      <w:r>
        <w:t>Close with the sovereignty proof: disconnect the network live, ask a follow-up question (“Show me where you got that information” / “Calculate the change yourself” / “Why did you choose this model?”), and show it still answers, fully on-premise.</w:t>
      </w:r>
    </w:p>
    <w:p>
      <w:pPr>
        <w:pStyle w:val="para3"/>
        <w:spacing w:before="300" w:after="150"/>
      </w:pPr>
      <w:r>
        <w:t>17.2 Script B — Proactive, Sensor-Triggered Demo (unprompted)</w:t>
      </w:r>
    </w:p>
    <w:p>
      <w:pPr>
        <w:spacing w:after="160"/>
      </w:pPr>
      <w:r>
        <w:rPr>
          <w:sz w:val="22"/>
          <w:szCs w:val="22"/>
        </w:rPr>
        <w:t>Purpose: show the system noticing a problem before anyone asks — the differentiator detailed fully in Section 7.4 and 7.4.1. Run this after Script A, on a separate piece of equipment, so judges see both entry points into the same underlying pipeline.</w:t>
      </w:r>
      <w:r/>
    </w:p>
    <w:p>
      <w:pPr>
        <w:pStyle w:val="para9"/>
        <w:numPr>
          <w:ilvl w:val="0"/>
          <w:numId w:val="5"/>
        </w:numPr>
        <w:ind w:left="0" w:firstLine="0"/>
        <w:spacing w:after="80"/>
      </w:pPr>
      <w:r>
        <w:t>Dashboard is already open, showing live (simulated) sensor readings for 3–4 pieces of equipment, all nominal.</w:t>
      </w:r>
    </w:p>
    <w:p>
      <w:pPr>
        <w:pStyle w:val="para9"/>
        <w:numPr>
          <w:ilvl w:val="0"/>
          <w:numId w:val="5"/>
        </w:numPr>
        <w:ind w:left="0" w:firstLine="0"/>
        <w:spacing w:after="80"/>
      </w:pPr>
      <w:r>
        <w:t>Let it run for a short interval so judges see it's live, not a static screenshot.</w:t>
      </w:r>
    </w:p>
    <w:p>
      <w:pPr>
        <w:pStyle w:val="para9"/>
        <w:numPr>
          <w:ilvl w:val="0"/>
          <w:numId w:val="5"/>
        </w:numPr>
        <w:ind w:left="0" w:firstLine="0"/>
        <w:spacing w:after="80"/>
      </w:pPr>
      <w:r>
        <w:t>The pre-configured equipment's reading visibly drifts upward on screen.</w:t>
      </w:r>
    </w:p>
    <w:p>
      <w:pPr>
        <w:pStyle w:val="para9"/>
        <w:numPr>
          <w:ilvl w:val="0"/>
          <w:numId w:val="5"/>
        </w:numPr>
        <w:ind w:left="0" w:firstLine="0"/>
        <w:spacing w:after="80"/>
      </w:pPr>
      <w:r>
        <w:t>An alert card appears on the dashboard, unprompted — no one has typed anything — stating an investigation has started automatically.</w:t>
      </w:r>
    </w:p>
    <w:p>
      <w:pPr>
        <w:pStyle w:val="para9"/>
        <w:numPr>
          <w:ilvl w:val="0"/>
          <w:numId w:val="5"/>
        </w:numPr>
        <w:ind w:left="0" w:firstLine="0"/>
        <w:spacing w:after="80"/>
      </w:pPr>
      <w:r>
        <w:t>The same evidence-gathering and verification pipeline from Script A runs and produces a full report, this time self-triggered.</w:t>
      </w:r>
    </w:p>
    <w:p>
      <w:pPr>
        <w:pStyle w:val="para9"/>
        <w:numPr>
          <w:ilvl w:val="0"/>
          <w:numId w:val="5"/>
        </w:numPr>
        <w:ind w:left="0" w:firstLine="0"/>
        <w:spacing w:after="80"/>
      </w:pPr>
      <w:r>
        <w:t>Closing line for the judges: “No one asked it to do this — it noticed on its own, and instead of just raising an alarm, it launched a full evidence-backed investigation.”</w:t>
      </w:r>
    </w:p>
    <w:sectPr>
      <w:footnotePr>
        <w:pos w:val="pageBottom"/>
        <w:numFmt w:val="decimal"/>
        <w:numStart w:val="1"/>
        <w:numRestart w:val="continuous"/>
      </w:footnotePr>
      <w:endnotePr>
        <w:pos w:val="docEnd"/>
        <w:numFmt w:val="lowerRoman"/>
        <w:numStart w:val="1"/>
        <w:numRestart w:val="continuous"/>
      </w:endnotePr>
      <w:headerReference w:type="default" r:id="rId8"/>
      <w:footerReference w:type="default" r:id="rId9"/>
      <w:type w:val="nextPage"/>
      <w:pgSz w:h="15840" w:w="12240"/>
      <w:pgMar w:left="1350" w:top="1200" w:right="1350" w:bottom="1200" w:header="708" w:footer="708"/>
      <w:paperSrc w:first="0" w:other="0" a="0" b="0"/>
      <w:pgNumType w:fmt="decimal"/>
      <w:tmGutter w:val="3"/>
      <w:mirrorMargins w:val="0"/>
      <w:tmSection w:h="-2">
        <w:tmHeader w:id="0" w:h="0" edge="708" text="0">
          <w:shd w:val="none"/>
        </w:tmHeader>
        <w:tmFooter w:id="0" w:h="0" edge="708"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Consolas">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spacing/>
      <w:jc w:val="center"/>
    </w:pPr>
    <w:r>
      <w:rPr>
        <w:color w:val="6b7280"/>
        <w:sz w:val="16"/>
        <w:szCs w:val="16"/>
      </w:rPr>
      <w:t xml:space="preserve">Page </w:t>
    </w:r>
    <w:r>
      <w:rPr>
        <w:color w:val="6b7280"/>
        <w:sz w:val="16"/>
        <w:szCs w:val="16"/>
      </w:rPr>
      <w:fldChar w:fldCharType="begin"/>
      <w:instrText xml:space="preserve"> PAGE </w:instrText>
      <w:fldChar w:fldCharType="separate"/>
      <w:t>3</w:t>
      <w:fldChar w:fldCharType="end"/>
    </w: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spacing/>
      <w:jc w:val="right"/>
    </w:pPr>
    <w:r>
      <w:rPr>
        <w:color w:val="6b7280"/>
        <w:sz w:val="16"/>
        <w:szCs w:val="16"/>
      </w:rPr>
      <w:t>VELIKY — Architecture Reference</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abstractNum w:abstractNumId="2">
    <w:multiLevelType w:val="hybridMultilevel"/>
    <w:name w:val="Numbered list 2"/>
    <w:lvl w:ilvl="0">
      <w:numFmt w:val="bullet"/>
      <w:suff w:val="tab"/>
      <w:lvlText w:val="•"/>
      <w:lvlJc w:val="left"/>
      <w:pPr>
        <w:ind w:left="140" w:hanging="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3">
    <w:multiLevelType w:val="hybridMultilevel"/>
    <w:name w:val="Numbered list 3"/>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abstractNum w:abstractNumId="4">
    <w:multiLevelType w:val="hybridMultilevel"/>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3073"/>
    <o:shapelayout v:ext="edit">
      <o:rules v:ext="edit"/>
    </o:shapelayout>
  </w:shapeDefaults>
  <w:tmPrefOne w:val="17"/>
  <w:tmPrefTwo w:val="1"/>
  <w:tmFmtPref w:val="55057515"/>
  <w:tmCommentsPr>
    <w:tmCommentsPlace w:val="0"/>
    <w:tmCommentsWidth w:val="3240"/>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2"/>
    <w:tmLastPosSelect w:val="0"/>
    <w:tmLastPosFrameIdx w:val="0"/>
    <w:tmLastPosCaret>
      <w:tmLastPosPgfIdx w:val="28"/>
      <w:tmLastPosIdx w:val="20"/>
    </w:tmLastPosCaret>
    <w:tmLastPosAnchor>
      <w:tmLastPosPgfIdx w:val="0"/>
      <w:tmLastPosIdx w:val="0"/>
    </w:tmLastPosAnchor>
    <w:tmLastPosTblRect w:left="0" w:top="0" w:right="0" w:bottom="0"/>
  </w:tmLastPos>
  <w:tmAppRevision w:date="1788753616" w:val="1234"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sic Roman" w:hAnsi="Basic Roman" w:eastAsia="Basic Roman" w:cs="Basic Roman"/>
        <w:sz w:val="20"/>
        <w:szCs w:val="20"/>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sz w:val="56"/>
      <w:szCs w:val="56"/>
    </w:rPr>
  </w:style>
  <w:style w:type="paragraph" w:styleId="para2">
    <w:name w:val="heading 1"/>
    <w:qFormat/>
    <w:rPr>
      <w:color w:val="2e74b5"/>
      <w:sz w:val="32"/>
      <w:szCs w:val="32"/>
    </w:rPr>
  </w:style>
  <w:style w:type="paragraph" w:styleId="para3">
    <w:name w:val="heading 2"/>
    <w:qFormat/>
    <w:rPr>
      <w:color w:val="2e74b5"/>
      <w:sz w:val="26"/>
      <w:szCs w:val="26"/>
    </w:rPr>
  </w:style>
  <w:style w:type="paragraph" w:styleId="para4">
    <w:name w:val="heading 3"/>
    <w:qFormat/>
    <w:rPr>
      <w:color w:val="1f4d78"/>
      <w:sz w:val="24"/>
      <w:szCs w:val="24"/>
    </w:rPr>
  </w:style>
  <w:style w:type="paragraph" w:styleId="para5">
    <w:name w:val="heading 4"/>
    <w:qFormat/>
    <w:rPr>
      <w:i/>
      <w:iCs/>
      <w:color w:val="2e74b5"/>
    </w:rPr>
  </w:style>
  <w:style w:type="paragraph" w:styleId="para6">
    <w:name w:val="heading 5"/>
    <w:qFormat/>
    <w:rPr>
      <w:color w:val="2e74b5"/>
    </w:rPr>
  </w:style>
  <w:style w:type="paragraph" w:styleId="para7">
    <w:name w:val="heading 6"/>
    <w:qFormat/>
    <w:rPr>
      <w:color w:val="1f4d78"/>
    </w:rPr>
  </w:style>
  <w:style w:type="paragraph" w:styleId="para8" w:customStyle="1">
    <w:name w:val="Strong"/>
    <w:qFormat/>
    <w:rPr>
      <w:b/>
      <w:bCs/>
    </w:rPr>
  </w:style>
  <w:style w:type="paragraph" w:styleId="para9">
    <w:name w:val="List Paragraph"/>
    <w:qFormat/>
  </w:style>
  <w:style w:type="paragraph" w:styleId="para10">
    <w:name w:val="Footnote Text"/>
    <w:qFormat/>
  </w:style>
  <w:style w:type="paragraph" w:styleId="para11">
    <w:name w:val="Endnote Text"/>
    <w:qFormat/>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Basic Roman" w:hAnsi="Basic Roman" w:eastAsia="Basic Roman" w:cs="Basic Roman"/>
        <w:sz w:val="20"/>
        <w:szCs w:val="20"/>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sz w:val="56"/>
      <w:szCs w:val="56"/>
    </w:rPr>
  </w:style>
  <w:style w:type="paragraph" w:styleId="para2">
    <w:name w:val="heading 1"/>
    <w:qFormat/>
    <w:rPr>
      <w:color w:val="2e74b5"/>
      <w:sz w:val="32"/>
      <w:szCs w:val="32"/>
    </w:rPr>
  </w:style>
  <w:style w:type="paragraph" w:styleId="para3">
    <w:name w:val="heading 2"/>
    <w:qFormat/>
    <w:rPr>
      <w:color w:val="2e74b5"/>
      <w:sz w:val="26"/>
      <w:szCs w:val="26"/>
    </w:rPr>
  </w:style>
  <w:style w:type="paragraph" w:styleId="para4">
    <w:name w:val="heading 3"/>
    <w:qFormat/>
    <w:rPr>
      <w:color w:val="1f4d78"/>
      <w:sz w:val="24"/>
      <w:szCs w:val="24"/>
    </w:rPr>
  </w:style>
  <w:style w:type="paragraph" w:styleId="para5">
    <w:name w:val="heading 4"/>
    <w:qFormat/>
    <w:rPr>
      <w:i/>
      <w:iCs/>
      <w:color w:val="2e74b5"/>
    </w:rPr>
  </w:style>
  <w:style w:type="paragraph" w:styleId="para6">
    <w:name w:val="heading 5"/>
    <w:qFormat/>
    <w:rPr>
      <w:color w:val="2e74b5"/>
    </w:rPr>
  </w:style>
  <w:style w:type="paragraph" w:styleId="para7">
    <w:name w:val="heading 6"/>
    <w:qFormat/>
    <w:rPr>
      <w:color w:val="1f4d78"/>
    </w:rPr>
  </w:style>
  <w:style w:type="paragraph" w:styleId="para8" w:customStyle="1">
    <w:name w:val="Strong"/>
    <w:qFormat/>
    <w:rPr>
      <w:b/>
      <w:bCs/>
    </w:rPr>
  </w:style>
  <w:style w:type="paragraph" w:styleId="para9">
    <w:name w:val="List Paragraph"/>
    <w:qFormat/>
  </w:style>
  <w:style w:type="paragraph" w:styleId="para10">
    <w:name w:val="Footnote Text"/>
    <w:qFormat/>
  </w:style>
  <w:style w:type="paragraph" w:styleId="para11">
    <w:name w:val="Endnote Text"/>
    <w:qFormat/>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Basic Roman"/>
        <a:ea typeface="Basic Roman"/>
        <a:cs typeface="Basic Roman"/>
      </a:majorFont>
      <a:minorFont>
        <a:latin typeface="Basic Roman"/>
        <a:ea typeface="Basic Roman"/>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
  <cp:revision>2</cp:revision>
  <dcterms:created xsi:type="dcterms:W3CDTF">2026-09-03T05:03:12Z</dcterms:created>
  <dcterms:modified xsi:type="dcterms:W3CDTF">2026-09-07T04:00:16Z</dcterms:modified>
</cp:coreProperties>
</file>