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20" w:before="0"/>
      </w:pPr>
      <w:r>
        <w:rPr>
          <w:b/>
          <w:bCs/>
          <w:color w:val="F79646"/>
          <w:sz w:val="30"/>
          <w:szCs w:val="30"/>
        </w:rPr>
        <w:t xml:space="preserve">II. ÉLABORATION DES MODÈLES CONCEPTUELS</w:t>
      </w:r>
    </w:p>
    <w:p>
      <w:pPr>
        <w:spacing w:after="160" w:line="300"/>
        <w:jc w:val="both"/>
      </w:pPr>
      <w:r>
        <w:t xml:space="preserve">Il constitue une étape importante dans le processus d'analyse et de conception d'une base de données. Il permet d'identifier les différentes entités du système, leurs propriétés ainsi que les associations et les cardinalités qui les relient.</w:t>
      </w:r>
    </w:p>
    <w:p>
      <w:pPr>
        <w:spacing w:after="160" w:line="300"/>
        <w:jc w:val="both"/>
      </w:pPr>
      <w:r>
        <w:t xml:space="preserve">Voici la liste directe des entités des 12 entités de notre plateforme classées par domaine :</w:t>
      </w:r>
    </w:p>
    <w:p>
      <w:pPr>
        <w:pStyle w:val="Heading2"/>
        <w:spacing w:after="120" w:before="260"/>
      </w:pPr>
      <w:r>
        <w:rPr>
          <w:b/>
          <w:bCs/>
          <w:color w:val="F79646"/>
          <w:sz w:val="24"/>
          <w:szCs w:val="24"/>
        </w:rPr>
        <w:t xml:space="preserve">Organisation administrative</w:t>
      </w:r>
    </w:p>
    <w:p>
      <w:pPr>
        <w:pStyle w:val="ListParagraph"/>
        <w:numPr>
          <w:ilvl w:val="0"/>
          <w:numId w:val="2"/>
        </w:numPr>
        <w:spacing w:after="60"/>
      </w:pPr>
      <w:r>
        <w:rPr>
          <w:b/>
          <w:bCs/>
        </w:rPr>
        <w:t xml:space="preserve">STRUCTURE</w:t>
      </w:r>
    </w:p>
    <w:p>
      <w:pPr>
        <w:pStyle w:val="ListParagraph"/>
        <w:numPr>
          <w:ilvl w:val="0"/>
          <w:numId w:val="2"/>
        </w:numPr>
        <w:spacing w:after="60"/>
      </w:pPr>
      <w:r>
        <w:rPr>
          <w:b/>
          <w:bCs/>
        </w:rPr>
        <w:t xml:space="preserve">FONCTION</w:t>
      </w:r>
    </w:p>
    <w:p>
      <w:pPr>
        <w:pStyle w:val="Heading2"/>
        <w:spacing w:after="120" w:before="260"/>
      </w:pPr>
      <w:r>
        <w:rPr>
          <w:b/>
          <w:bCs/>
          <w:color w:val="F79646"/>
          <w:sz w:val="24"/>
          <w:szCs w:val="24"/>
        </w:rPr>
        <w:t xml:space="preserve">Gestion des agents et sécurité (RBAC)</w:t>
      </w:r>
    </w:p>
    <w:p>
      <w:pPr>
        <w:pStyle w:val="ListParagraph"/>
        <w:numPr>
          <w:ilvl w:val="0"/>
          <w:numId w:val="2"/>
        </w:numPr>
        <w:spacing w:after="60"/>
      </w:pPr>
      <w:r>
        <w:rPr>
          <w:b/>
          <w:bCs/>
        </w:rPr>
        <w:t xml:space="preserve">AGENT</w:t>
      </w:r>
    </w:p>
    <w:p>
      <w:pPr>
        <w:pStyle w:val="ListParagraph"/>
        <w:numPr>
          <w:ilvl w:val="0"/>
          <w:numId w:val="2"/>
        </w:numPr>
        <w:spacing w:after="60"/>
      </w:pPr>
      <w:r>
        <w:rPr>
          <w:b/>
          <w:bCs/>
        </w:rPr>
        <w:t xml:space="preserve">UTILISATEUR</w:t>
      </w:r>
    </w:p>
    <w:p>
      <w:pPr>
        <w:pStyle w:val="ListParagraph"/>
        <w:numPr>
          <w:ilvl w:val="0"/>
          <w:numId w:val="2"/>
        </w:numPr>
        <w:spacing w:after="60"/>
      </w:pPr>
      <w:r>
        <w:rPr>
          <w:b/>
          <w:bCs/>
        </w:rPr>
        <w:t xml:space="preserve">ROLE</w:t>
      </w:r>
    </w:p>
    <w:p>
      <w:pPr>
        <w:pStyle w:val="ListParagraph"/>
        <w:numPr>
          <w:ilvl w:val="0"/>
          <w:numId w:val="2"/>
        </w:numPr>
        <w:spacing w:after="60"/>
      </w:pPr>
      <w:r>
        <w:rPr>
          <w:b/>
          <w:bCs/>
        </w:rPr>
        <w:t xml:space="preserve">PRIVILEGE</w:t>
      </w:r>
    </w:p>
    <w:p>
      <w:pPr>
        <w:pStyle w:val="Heading2"/>
        <w:spacing w:after="120" w:before="260"/>
      </w:pPr>
      <w:r>
        <w:rPr>
          <w:b/>
          <w:bCs/>
          <w:color w:val="F79646"/>
          <w:sz w:val="24"/>
          <w:szCs w:val="24"/>
        </w:rPr>
        <w:t xml:space="preserve">Demandes d'absence</w:t>
      </w:r>
    </w:p>
    <w:p>
      <w:pPr>
        <w:pStyle w:val="ListParagraph"/>
        <w:numPr>
          <w:ilvl w:val="0"/>
          <w:numId w:val="2"/>
        </w:numPr>
        <w:spacing w:after="60"/>
      </w:pPr>
      <w:r>
        <w:rPr>
          <w:b/>
          <w:bCs/>
        </w:rPr>
        <w:t xml:space="preserve">DEMANDE_PERMISSION</w:t>
      </w:r>
    </w:p>
    <w:p>
      <w:pPr>
        <w:pStyle w:val="ListParagraph"/>
        <w:numPr>
          <w:ilvl w:val="0"/>
          <w:numId w:val="2"/>
        </w:numPr>
        <w:spacing w:after="60"/>
      </w:pPr>
      <w:r>
        <w:rPr>
          <w:b/>
          <w:bCs/>
        </w:rPr>
        <w:t xml:space="preserve">TYPE_PERMISSION</w:t>
      </w:r>
    </w:p>
    <w:p>
      <w:pPr>
        <w:pStyle w:val="Heading2"/>
        <w:spacing w:after="120" w:before="260"/>
      </w:pPr>
      <w:r>
        <w:rPr>
          <w:b/>
          <w:bCs/>
          <w:color w:val="F79646"/>
          <w:sz w:val="24"/>
          <w:szCs w:val="24"/>
        </w:rPr>
        <w:t xml:space="preserve">État civil</w:t>
      </w:r>
    </w:p>
    <w:p>
      <w:pPr>
        <w:pStyle w:val="ListParagraph"/>
        <w:numPr>
          <w:ilvl w:val="0"/>
          <w:numId w:val="2"/>
        </w:numPr>
        <w:spacing w:after="60"/>
      </w:pPr>
      <w:r>
        <w:rPr>
          <w:b/>
          <w:bCs/>
        </w:rPr>
        <w:t xml:space="preserve">DECLARATION_NAISSANCE</w:t>
      </w:r>
    </w:p>
    <w:p>
      <w:pPr>
        <w:pStyle w:val="ListParagraph"/>
        <w:numPr>
          <w:ilvl w:val="0"/>
          <w:numId w:val="2"/>
        </w:numPr>
        <w:spacing w:after="60"/>
      </w:pPr>
      <w:r>
        <w:rPr>
          <w:b/>
          <w:bCs/>
        </w:rPr>
        <w:t xml:space="preserve">DECLARATION_DECES</w:t>
      </w:r>
    </w:p>
    <w:p>
      <w:pPr>
        <w:pStyle w:val="Heading2"/>
        <w:spacing w:after="120" w:before="260"/>
      </w:pPr>
      <w:r>
        <w:rPr>
          <w:b/>
          <w:bCs/>
          <w:color w:val="F79646"/>
          <w:sz w:val="24"/>
          <w:szCs w:val="24"/>
        </w:rPr>
        <w:t xml:space="preserve">Communication administrative</w:t>
      </w:r>
    </w:p>
    <w:p>
      <w:pPr>
        <w:pStyle w:val="ListParagraph"/>
        <w:numPr>
          <w:ilvl w:val="0"/>
          <w:numId w:val="2"/>
        </w:numPr>
        <w:spacing w:after="60"/>
      </w:pPr>
      <w:r>
        <w:rPr>
          <w:b/>
          <w:bCs/>
        </w:rPr>
        <w:t xml:space="preserve">NOTE_SERVICE</w:t>
      </w:r>
    </w:p>
    <w:p>
      <w:pPr>
        <w:pStyle w:val="Heading2"/>
        <w:spacing w:after="120" w:before="260"/>
      </w:pPr>
      <w:r>
        <w:rPr>
          <w:b/>
          <w:bCs/>
          <w:color w:val="F79646"/>
          <w:sz w:val="24"/>
          <w:szCs w:val="24"/>
        </w:rPr>
        <w:t xml:space="preserve">Documents et justificatifs</w:t>
      </w:r>
    </w:p>
    <w:p>
      <w:pPr>
        <w:pStyle w:val="ListParagraph"/>
        <w:numPr>
          <w:ilvl w:val="0"/>
          <w:numId w:val="2"/>
        </w:numPr>
        <w:spacing w:after="60"/>
      </w:pPr>
      <w:r>
        <w:rPr>
          <w:b/>
          <w:bCs/>
        </w:rPr>
        <w:t xml:space="preserve">PIECE_JOINTE</w:t>
      </w:r>
    </w:p>
    <w:p>
      <w:pPr>
        <w:pStyle w:val="Heading2"/>
        <w:spacing w:after="120" w:before="260"/>
      </w:pPr>
      <w:r>
        <w:rPr>
          <w:b/>
          <w:bCs/>
          <w:color w:val="F79646"/>
          <w:sz w:val="24"/>
          <w:szCs w:val="24"/>
        </w:rPr>
        <w:t xml:space="preserve">1. Règles de gestion</w:t>
      </w:r>
    </w:p>
    <w:p>
      <w:pPr>
        <w:pStyle w:val="Heading3"/>
        <w:spacing w:after="100" w:before="200"/>
      </w:pPr>
      <w:r>
        <w:rPr>
          <w:b/>
          <w:bCs/>
          <w:color w:val="F79646"/>
          <w:sz w:val="22"/>
          <w:szCs w:val="22"/>
        </w:rPr>
        <w:t xml:space="preserve">1.1 Organisation Administrative &amp; Emplois</w:t>
      </w:r>
    </w:p>
    <w:p>
      <w:pPr>
        <w:pStyle w:val="ListParagraph"/>
        <w:numPr>
          <w:ilvl w:val="0"/>
          <w:numId w:val="2"/>
        </w:numPr>
        <w:spacing w:after="100" w:line="290"/>
        <w:jc w:val="both"/>
      </w:pPr>
      <w:r>
        <w:rPr>
          <w:b/>
          <w:bCs/>
        </w:rPr>
        <w:t xml:space="preserve">RG01 : </w:t>
      </w:r>
      <w:r>
        <w:t xml:space="preserve">Une structure administrative (Cabinet, Direction, Sous-Direction, Service) est identifiée par un code unique et un intitulé officiel.</w:t>
      </w:r>
    </w:p>
    <w:p>
      <w:pPr>
        <w:pStyle w:val="ListParagraph"/>
        <w:numPr>
          <w:ilvl w:val="0"/>
          <w:numId w:val="2"/>
        </w:numPr>
        <w:spacing w:after="100" w:line="290"/>
        <w:jc w:val="both"/>
      </w:pPr>
      <w:r>
        <w:rPr>
          <w:b/>
          <w:bCs/>
        </w:rPr>
        <w:t xml:space="preserve">RG02 : </w:t>
      </w:r>
      <w:r>
        <w:t xml:space="preserve">Une structure administrative regroupe un ou plusieurs agents fonctionnaires.</w:t>
      </w:r>
    </w:p>
    <w:p>
      <w:pPr>
        <w:pStyle w:val="ListParagraph"/>
        <w:numPr>
          <w:ilvl w:val="0"/>
          <w:numId w:val="2"/>
        </w:numPr>
        <w:spacing w:after="100" w:line="290"/>
        <w:jc w:val="both"/>
      </w:pPr>
      <w:r>
        <w:rPr>
          <w:b/>
          <w:bCs/>
        </w:rPr>
        <w:t xml:space="preserve">RG03 : </w:t>
      </w:r>
      <w:r>
        <w:t xml:space="preserve">Une fonction administrative correspond à un niveau hiérarchique défini (Niveau 1 : Agent / Secrétaire, Niveau 2 : Chef de Service, Niveau 3 : Sous-Directeur, Niveau 4 : Directeur Central, Niveau 5 : Directeur de Cabinet / DRH).</w:t>
      </w:r>
    </w:p>
    <w:p>
      <w:pPr>
        <w:pStyle w:val="ListParagraph"/>
        <w:numPr>
          <w:ilvl w:val="0"/>
          <w:numId w:val="2"/>
        </w:numPr>
        <w:spacing w:after="100" w:line="290"/>
        <w:jc w:val="both"/>
      </w:pPr>
      <w:r>
        <w:rPr>
          <w:b/>
          <w:bCs/>
        </w:rPr>
        <w:t xml:space="preserve">RG04 : </w:t>
      </w:r>
      <w:r>
        <w:t xml:space="preserve">Un agent occupe une et une seule fonction à un instant donné et est affecté à une et une seule structure administrative.</w:t>
      </w:r>
    </w:p>
    <w:p>
      <w:pPr>
        <w:pStyle w:val="Heading3"/>
        <w:spacing w:after="100" w:before="200"/>
      </w:pPr>
      <w:r>
        <w:rPr>
          <w:b/>
          <w:bCs/>
          <w:color w:val="F79646"/>
          <w:sz w:val="22"/>
          <w:szCs w:val="22"/>
        </w:rPr>
        <w:t xml:space="preserve">1.2 Gestion des agents et sécurité (RBAC)</w:t>
      </w:r>
    </w:p>
    <w:p>
      <w:pPr>
        <w:pStyle w:val="ListParagraph"/>
        <w:numPr>
          <w:ilvl w:val="0"/>
          <w:numId w:val="2"/>
        </w:numPr>
        <w:spacing w:after="100" w:line="290"/>
        <w:jc w:val="both"/>
      </w:pPr>
      <w:r>
        <w:rPr>
          <w:b/>
          <w:bCs/>
        </w:rPr>
        <w:t xml:space="preserve">RG05 : </w:t>
      </w:r>
      <w:r>
        <w:t xml:space="preserve">Un agent possède au plus un compte utilisateur, qui lui permet de se connecter à la plateforme avec son matricule.</w:t>
      </w:r>
    </w:p>
    <w:p>
      <w:pPr>
        <w:pStyle w:val="ListParagraph"/>
        <w:numPr>
          <w:ilvl w:val="0"/>
          <w:numId w:val="2"/>
        </w:numPr>
        <w:spacing w:after="100" w:line="290"/>
        <w:jc w:val="both"/>
      </w:pPr>
      <w:r>
        <w:rPr>
          <w:b/>
          <w:bCs/>
        </w:rPr>
        <w:t xml:space="preserve">RG06 : </w:t>
      </w:r>
      <w:r>
        <w:t xml:space="preserve">Un compte utilisateur est rattaché à un et un seul agent.</w:t>
      </w:r>
    </w:p>
    <w:p>
      <w:pPr>
        <w:pStyle w:val="ListParagraph"/>
        <w:numPr>
          <w:ilvl w:val="0"/>
          <w:numId w:val="2"/>
        </w:numPr>
        <w:spacing w:after="100" w:line="290"/>
        <w:jc w:val="both"/>
      </w:pPr>
      <w:r>
        <w:rPr>
          <w:b/>
          <w:bCs/>
        </w:rPr>
        <w:t xml:space="preserve">RG07 : </w:t>
      </w:r>
      <w:r>
        <w:t xml:space="preserve">Un compte utilisateur se voit attribuer un ou plusieurs rôles, qui définissent l'espace et les actions auxquels il a accès.</w:t>
      </w:r>
    </w:p>
    <w:p>
      <w:pPr>
        <w:pStyle w:val="ListParagraph"/>
        <w:numPr>
          <w:ilvl w:val="0"/>
          <w:numId w:val="2"/>
        </w:numPr>
        <w:spacing w:after="100" w:line="290"/>
        <w:jc w:val="both"/>
      </w:pPr>
      <w:r>
        <w:rPr>
          <w:b/>
          <w:bCs/>
        </w:rPr>
        <w:t xml:space="preserve">RG08 : </w:t>
      </w:r>
      <w:r>
        <w:t xml:space="preserve">Un rôle regroupe un ou plusieurs privilèges (droits élémentaires) ; un privilège peut être accordé par plusieurs rôles.</w:t>
      </w:r>
    </w:p>
    <w:p>
      <w:pPr>
        <w:pStyle w:val="ListParagraph"/>
        <w:numPr>
          <w:ilvl w:val="0"/>
          <w:numId w:val="2"/>
        </w:numPr>
        <w:spacing w:after="100" w:line="290"/>
        <w:jc w:val="both"/>
      </w:pPr>
      <w:r>
        <w:rPr>
          <w:b/>
          <w:bCs/>
        </w:rPr>
        <w:t xml:space="preserve">RG09 : </w:t>
      </w:r>
      <w:r>
        <w:t xml:space="preserve">Un compte suspendu par l'administrateur est immédiatement déconnecté et ne peut plus se reconnecter tant qu'il n'est pas réactivé.</w:t>
      </w:r>
    </w:p>
    <w:p>
      <w:pPr>
        <w:pStyle w:val="Heading3"/>
        <w:spacing w:after="100" w:before="200"/>
      </w:pPr>
      <w:r>
        <w:rPr>
          <w:b/>
          <w:bCs/>
          <w:color w:val="F79646"/>
          <w:sz w:val="22"/>
          <w:szCs w:val="22"/>
        </w:rPr>
        <w:t xml:space="preserve">1.3 Demandes d'absence (Permissions)</w:t>
      </w:r>
    </w:p>
    <w:p>
      <w:pPr>
        <w:pStyle w:val="ListParagraph"/>
        <w:numPr>
          <w:ilvl w:val="0"/>
          <w:numId w:val="2"/>
        </w:numPr>
        <w:spacing w:after="100" w:line="290"/>
        <w:jc w:val="both"/>
      </w:pPr>
      <w:r>
        <w:rPr>
          <w:b/>
          <w:bCs/>
        </w:rPr>
        <w:t xml:space="preserve">RG10 : </w:t>
      </w:r>
      <w:r>
        <w:t xml:space="preserve">Une demande de permission est déposée par un et un seul agent et concerne un et un seul type de permission.</w:t>
      </w:r>
    </w:p>
    <w:p>
      <w:pPr>
        <w:pStyle w:val="ListParagraph"/>
        <w:numPr>
          <w:ilvl w:val="0"/>
          <w:numId w:val="2"/>
        </w:numPr>
        <w:spacing w:after="100" w:line="290"/>
        <w:jc w:val="both"/>
      </w:pPr>
      <w:r>
        <w:rPr>
          <w:b/>
          <w:bCs/>
        </w:rPr>
        <w:t xml:space="preserve">RG11 : </w:t>
      </w:r>
      <w:r>
        <w:t xml:space="preserve">La durée d'une demande de permission (nombre de jours entre la date de début et la date de fin) détermine son circuit : une demande de deux jours ou moins est soumise au visa du responsable hiérarchique de l'agent avant la décision finale ; une demande de plus de deux jours est transmise directement à la décision finale.</w:t>
      </w:r>
    </w:p>
    <w:p>
      <w:pPr>
        <w:pStyle w:val="ListParagraph"/>
        <w:numPr>
          <w:ilvl w:val="0"/>
          <w:numId w:val="2"/>
        </w:numPr>
        <w:spacing w:after="100" w:line="290"/>
        <w:jc w:val="both"/>
      </w:pPr>
      <w:r>
        <w:rPr>
          <w:b/>
          <w:bCs/>
        </w:rPr>
        <w:t xml:space="preserve">RG12 : </w:t>
      </w:r>
      <w:r>
        <w:t xml:space="preserve">Une demande de permission est obligatoirement accompagnée d'une pièce justificative.</w:t>
      </w:r>
    </w:p>
    <w:p>
      <w:pPr>
        <w:pStyle w:val="ListParagraph"/>
        <w:numPr>
          <w:ilvl w:val="0"/>
          <w:numId w:val="2"/>
        </w:numPr>
        <w:spacing w:after="100" w:line="290"/>
        <w:jc w:val="both"/>
      </w:pPr>
      <w:r>
        <w:rPr>
          <w:b/>
          <w:bCs/>
        </w:rPr>
        <w:t xml:space="preserve">RG13 : </w:t>
      </w:r>
      <w:r>
        <w:t xml:space="preserve">Le visa d'une demande de permission est réservé au responsable (Sous-Directeur ou Directeur) de la structure à laquelle appartient l'agent demandeur.</w:t>
      </w:r>
    </w:p>
    <w:p>
      <w:pPr>
        <w:pStyle w:val="ListParagraph"/>
        <w:numPr>
          <w:ilvl w:val="0"/>
          <w:numId w:val="2"/>
        </w:numPr>
        <w:spacing w:after="100" w:line="290"/>
        <w:jc w:val="both"/>
      </w:pPr>
      <w:r>
        <w:rPr>
          <w:b/>
          <w:bCs/>
        </w:rPr>
        <w:t xml:space="preserve">RG14 : </w:t>
      </w:r>
      <w:r>
        <w:t xml:space="preserve">La décision finale sur une demande de permission — validation ou rejet motivé — est prise par le Directeur des Ressources Humaines (DRH).</w:t>
      </w:r>
    </w:p>
    <w:p>
      <w:pPr>
        <w:pStyle w:val="ListParagraph"/>
        <w:numPr>
          <w:ilvl w:val="0"/>
          <w:numId w:val="2"/>
        </w:numPr>
        <w:spacing w:after="100" w:line="290"/>
        <w:jc w:val="both"/>
      </w:pPr>
      <w:r>
        <w:rPr>
          <w:b/>
          <w:bCs/>
        </w:rPr>
        <w:t xml:space="preserve">RG15 : </w:t>
      </w:r>
      <w:r>
        <w:t xml:space="preserve">Un dossier retourné pour correction ne peut être modifié que par l'agent qui l'a déposé, puis suit à nouveau le circuit de vérification.</w:t>
      </w:r>
    </w:p>
    <w:p>
      <w:pPr>
        <w:pStyle w:val="Heading3"/>
        <w:spacing w:after="100" w:before="200"/>
      </w:pPr>
      <w:r>
        <w:rPr>
          <w:b/>
          <w:bCs/>
          <w:color w:val="F79646"/>
          <w:sz w:val="22"/>
          <w:szCs w:val="22"/>
        </w:rPr>
        <w:t xml:space="preserve">1.4 État civil (Déclarations de naissance et de décès)</w:t>
      </w:r>
    </w:p>
    <w:p>
      <w:pPr>
        <w:pStyle w:val="ListParagraph"/>
        <w:numPr>
          <w:ilvl w:val="0"/>
          <w:numId w:val="2"/>
        </w:numPr>
        <w:spacing w:after="100" w:line="290"/>
        <w:jc w:val="both"/>
      </w:pPr>
      <w:r>
        <w:rPr>
          <w:b/>
          <w:bCs/>
        </w:rPr>
        <w:t xml:space="preserve">RG16 : </w:t>
      </w:r>
      <w:r>
        <w:t xml:space="preserve">Une déclaration de naissance ou de décès est faite par un et un seul agent.</w:t>
      </w:r>
    </w:p>
    <w:p>
      <w:pPr>
        <w:pStyle w:val="ListParagraph"/>
        <w:numPr>
          <w:ilvl w:val="0"/>
          <w:numId w:val="2"/>
        </w:numPr>
        <w:spacing w:after="100" w:line="290"/>
        <w:jc w:val="both"/>
      </w:pPr>
      <w:r>
        <w:rPr>
          <w:b/>
          <w:bCs/>
        </w:rPr>
        <w:t xml:space="preserve">RG17 : </w:t>
      </w:r>
      <w:r>
        <w:t xml:space="preserve">Une déclaration de naissance doit être obligatoirement justifiée par un extrait d'acte de naissance ; une déclaration de décès, par un certificat de décès.</w:t>
      </w:r>
    </w:p>
    <w:p>
      <w:pPr>
        <w:pStyle w:val="ListParagraph"/>
        <w:numPr>
          <w:ilvl w:val="0"/>
          <w:numId w:val="2"/>
        </w:numPr>
        <w:spacing w:after="100" w:line="290"/>
        <w:jc w:val="both"/>
      </w:pPr>
      <w:r>
        <w:rPr>
          <w:b/>
          <w:bCs/>
        </w:rPr>
        <w:t xml:space="preserve">RG18 : </w:t>
      </w:r>
      <w:r>
        <w:t xml:space="preserve">Une déclaration de naissance ou de décès est validée ou rejetée, avec un motif obligatoire en cas de rejet, par le Directeur des Ressources Humaines (DRH).</w:t>
      </w:r>
    </w:p>
    <w:p>
      <w:pPr>
        <w:pStyle w:val="ListParagraph"/>
        <w:numPr>
          <w:ilvl w:val="0"/>
          <w:numId w:val="2"/>
        </w:numPr>
        <w:spacing w:after="100" w:line="290"/>
        <w:jc w:val="both"/>
      </w:pPr>
      <w:r>
        <w:rPr>
          <w:b/>
          <w:bCs/>
        </w:rPr>
        <w:t xml:space="preserve">RG19 : </w:t>
      </w:r>
      <w:r>
        <w:t xml:space="preserve">Une déclaration validée ou rejetée peut ensuite être archivée ; elle reste consultable par les personnes habilitées.</w:t>
      </w:r>
    </w:p>
    <w:p>
      <w:pPr>
        <w:pStyle w:val="Heading3"/>
        <w:spacing w:after="100" w:before="200"/>
      </w:pPr>
      <w:r>
        <w:rPr>
          <w:b/>
          <w:bCs/>
          <w:color w:val="F79646"/>
          <w:sz w:val="22"/>
          <w:szCs w:val="22"/>
        </w:rPr>
        <w:t xml:space="preserve">1.5 Communication administrative (Notes de service)</w:t>
      </w:r>
    </w:p>
    <w:p>
      <w:pPr>
        <w:pStyle w:val="ListParagraph"/>
        <w:numPr>
          <w:ilvl w:val="0"/>
          <w:numId w:val="2"/>
        </w:numPr>
        <w:spacing w:after="100" w:line="290"/>
        <w:jc w:val="both"/>
      </w:pPr>
      <w:r>
        <w:rPr>
          <w:b/>
          <w:bCs/>
        </w:rPr>
        <w:t xml:space="preserve">RG20 : </w:t>
      </w:r>
      <w:r>
        <w:t xml:space="preserve">Une note de service est émise par une autorité habilitée (DRH, Directeur de Cabinet, Directeur ou Sous-Directeur) et diffusée vers une ou plusieurs structures destinataires.</w:t>
      </w:r>
    </w:p>
    <w:p>
      <w:pPr>
        <w:pStyle w:val="ListParagraph"/>
        <w:numPr>
          <w:ilvl w:val="0"/>
          <w:numId w:val="2"/>
        </w:numPr>
        <w:spacing w:after="100" w:line="290"/>
        <w:jc w:val="both"/>
      </w:pPr>
      <w:r>
        <w:rPr>
          <w:b/>
          <w:bCs/>
        </w:rPr>
        <w:t xml:space="preserve">RG21 : </w:t>
      </w:r>
      <w:r>
        <w:t xml:space="preserve">Une structure peut être destinataire de zéro à plusieurs notes de service.</w:t>
      </w:r>
    </w:p>
    <w:p>
      <w:pPr>
        <w:pStyle w:val="ListParagraph"/>
        <w:numPr>
          <w:ilvl w:val="0"/>
          <w:numId w:val="2"/>
        </w:numPr>
        <w:spacing w:after="100" w:line="290"/>
        <w:jc w:val="both"/>
      </w:pPr>
      <w:r>
        <w:rPr>
          <w:b/>
          <w:bCs/>
        </w:rPr>
        <w:t xml:space="preserve">RG22 : </w:t>
      </w:r>
      <w:r>
        <w:t xml:space="preserve">La diffusion d'une note de service à ses destinataires donne lieu à une notification dans la plateforme et à l'envoi d'un email.</w:t>
      </w:r>
    </w:p>
    <w:p>
      <w:pPr>
        <w:pStyle w:val="Heading3"/>
        <w:spacing w:after="100" w:before="200"/>
      </w:pPr>
      <w:r>
        <w:rPr>
          <w:b/>
          <w:bCs/>
          <w:color w:val="F79646"/>
          <w:sz w:val="22"/>
          <w:szCs w:val="22"/>
        </w:rPr>
        <w:t xml:space="preserve">1.6 Documents et justificatifs</w:t>
      </w:r>
    </w:p>
    <w:p>
      <w:pPr>
        <w:pStyle w:val="ListParagraph"/>
        <w:numPr>
          <w:ilvl w:val="0"/>
          <w:numId w:val="2"/>
        </w:numPr>
        <w:spacing w:after="100" w:line="290"/>
        <w:jc w:val="both"/>
      </w:pPr>
      <w:r>
        <w:rPr>
          <w:b/>
          <w:bCs/>
        </w:rPr>
        <w:t xml:space="preserve">RG23 : </w:t>
      </w:r>
      <w:r>
        <w:t xml:space="preserve">Une pièce jointe est rattachée à un seul dossier : une demande de permission, une déclaration de naissance, une déclaration de décès ou une note de service.</w:t>
      </w:r>
    </w:p>
    <w:p>
      <w:pPr>
        <w:pStyle w:val="ListParagraph"/>
        <w:numPr>
          <w:ilvl w:val="0"/>
          <w:numId w:val="2"/>
        </w:numPr>
        <w:spacing w:after="100" w:line="290"/>
        <w:jc w:val="both"/>
      </w:pPr>
      <w:r>
        <w:rPr>
          <w:b/>
          <w:bCs/>
        </w:rPr>
        <w:t xml:space="preserve">RG24 : </w:t>
      </w:r>
      <w:r>
        <w:t xml:space="preserve">Une pièce jointe n'est consultable que par les personnes habilitées, selon la nature du dossier auquel elle est rattachée.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2026-09-27T16:23:15.162Z</dcterms:created>
  <dcterms:modified xsi:type="dcterms:W3CDTF">2026-09-27T16:23:15.163Z</dcterms:modified>
</cp:coreProperties>
</file>

<file path=docProps/custom.xml><?xml version="1.0" encoding="utf-8"?>
<Properties xmlns="http://schemas.openxmlformats.org/officeDocument/2006/custom-properties" xmlns:vt="http://schemas.openxmlformats.org/officeDocument/2006/docPropsVTypes"/>
</file>