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ind w:left="142" w:firstLine="0"/>
        <w:jc w:val="center"/>
        <w:rPr>
          <w:rFonts w:ascii="Tahoma" w:cs="Tahoma" w:eastAsia="Tahoma" w:hAnsi="Tahoma"/>
          <w:color w:val="3366ff"/>
          <w:sz w:val="16"/>
          <w:szCs w:val="16"/>
        </w:rPr>
      </w:pPr>
      <w:r w:rsidDel="00000000" w:rsidR="00000000" w:rsidRPr="00000000">
        <w:rPr>
          <w:rFonts w:ascii="Tahoma" w:cs="Tahoma" w:eastAsia="Tahoma" w:hAnsi="Tahoma"/>
          <w:b w:val="1"/>
          <w:color w:val="3366ff"/>
          <w:sz w:val="16"/>
          <w:szCs w:val="16"/>
          <w:rtl w:val="0"/>
        </w:rPr>
        <w:t xml:space="preserve">FASTING GUIDELINES </w:t>
      </w:r>
      <w:r w:rsidDel="00000000" w:rsidR="00000000" w:rsidRPr="00000000">
        <w:rPr>
          <w:rtl w:val="0"/>
        </w:rPr>
      </w:r>
    </w:p>
    <w:p w:rsidR="00000000" w:rsidDel="00000000" w:rsidP="00000000" w:rsidRDefault="00000000" w:rsidRPr="00000000" w14:paraId="00000002">
      <w:pPr>
        <w:spacing w:line="288" w:lineRule="auto"/>
        <w:ind w:left="142" w:firstLine="0"/>
        <w:jc w:val="center"/>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03">
      <w:pPr>
        <w:spacing w:line="288" w:lineRule="auto"/>
        <w:ind w:left="142" w:firstLine="0"/>
        <w:jc w:val="both"/>
        <w:rPr>
          <w:rFonts w:ascii="Tahoma" w:cs="Tahoma" w:eastAsia="Tahoma" w:hAnsi="Tahoma"/>
          <w:sz w:val="16"/>
          <w:szCs w:val="16"/>
          <w:u w:val="single"/>
        </w:rPr>
      </w:pPr>
      <w:r w:rsidDel="00000000" w:rsidR="00000000" w:rsidRPr="00000000">
        <w:rPr>
          <w:rFonts w:ascii="Tahoma" w:cs="Tahoma" w:eastAsia="Tahoma" w:hAnsi="Tahoma"/>
          <w:sz w:val="16"/>
          <w:szCs w:val="16"/>
          <w:rtl w:val="0"/>
        </w:rPr>
        <w:t xml:space="preserve">In general, fasting instructions for </w:t>
      </w:r>
      <w:r w:rsidDel="00000000" w:rsidR="00000000" w:rsidRPr="00000000">
        <w:rPr>
          <w:rFonts w:ascii="Tahoma" w:cs="Tahoma" w:eastAsia="Tahoma" w:hAnsi="Tahoma"/>
          <w:sz w:val="16"/>
          <w:szCs w:val="16"/>
          <w:u w:val="single"/>
          <w:rtl w:val="0"/>
        </w:rPr>
        <w:t xml:space="preserve">elective </w:t>
      </w:r>
      <w:r w:rsidDel="00000000" w:rsidR="00000000" w:rsidRPr="00000000">
        <w:rPr>
          <w:rFonts w:ascii="Tahoma" w:cs="Tahoma" w:eastAsia="Tahoma" w:hAnsi="Tahoma"/>
          <w:sz w:val="16"/>
          <w:szCs w:val="16"/>
          <w:rtl w:val="0"/>
        </w:rPr>
        <w:t xml:space="preserve">surgery</w:t>
      </w:r>
      <w:r w:rsidDel="00000000" w:rsidR="00000000" w:rsidRPr="00000000">
        <w:rPr>
          <w:rFonts w:ascii="Tahoma" w:cs="Tahoma" w:eastAsia="Tahoma" w:hAnsi="Tahoma"/>
          <w:sz w:val="16"/>
          <w:szCs w:val="16"/>
          <w:rtl w:val="0"/>
        </w:rPr>
        <w:t xml:space="preserve"> in healthy patients (regardless of age with the exception of non-human milk or formula milk):</w:t>
      </w:r>
      <w:r w:rsidDel="00000000" w:rsidR="00000000" w:rsidRPr="00000000">
        <w:rPr>
          <w:rtl w:val="0"/>
        </w:rPr>
      </w:r>
    </w:p>
    <w:p w:rsidR="00000000" w:rsidDel="00000000" w:rsidP="00000000" w:rsidRDefault="00000000" w:rsidRPr="00000000" w14:paraId="00000004">
      <w:pPr>
        <w:numPr>
          <w:ilvl w:val="0"/>
          <w:numId w:val="1"/>
        </w:numPr>
        <w:spacing w:line="288"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Clear fluids: completed 1 hour before </w:t>
      </w:r>
      <w:r w:rsidDel="00000000" w:rsidR="00000000" w:rsidRPr="00000000">
        <w:rPr>
          <w:rFonts w:ascii="Tahoma" w:cs="Tahoma" w:eastAsia="Tahoma" w:hAnsi="Tahoma"/>
          <w:sz w:val="16"/>
          <w:szCs w:val="16"/>
          <w:rtl w:val="0"/>
        </w:rPr>
        <w:t xml:space="preserve">anaesthesia</w:t>
      </w:r>
      <w:r w:rsidDel="00000000" w:rsidR="00000000" w:rsidRPr="00000000">
        <w:rPr>
          <w:rtl w:val="0"/>
        </w:rPr>
      </w:r>
    </w:p>
    <w:p w:rsidR="00000000" w:rsidDel="00000000" w:rsidP="00000000" w:rsidRDefault="00000000" w:rsidRPr="00000000" w14:paraId="00000005">
      <w:pPr>
        <w:numPr>
          <w:ilvl w:val="0"/>
          <w:numId w:val="1"/>
        </w:numPr>
        <w:spacing w:line="288"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Breast milk : completed 4 hours before </w:t>
      </w:r>
      <w:r w:rsidDel="00000000" w:rsidR="00000000" w:rsidRPr="00000000">
        <w:rPr>
          <w:rFonts w:ascii="Tahoma" w:cs="Tahoma" w:eastAsia="Tahoma" w:hAnsi="Tahoma"/>
          <w:sz w:val="16"/>
          <w:szCs w:val="16"/>
          <w:rtl w:val="0"/>
        </w:rPr>
        <w:t xml:space="preserve">anaesthesia</w:t>
      </w: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06">
      <w:pPr>
        <w:numPr>
          <w:ilvl w:val="0"/>
          <w:numId w:val="1"/>
        </w:numPr>
        <w:spacing w:line="288"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Non-human milk/Formula milk :</w:t>
      </w:r>
    </w:p>
    <w:p w:rsidR="00000000" w:rsidDel="00000000" w:rsidP="00000000" w:rsidRDefault="00000000" w:rsidRPr="00000000" w14:paraId="00000007">
      <w:pPr>
        <w:numPr>
          <w:ilvl w:val="1"/>
          <w:numId w:val="1"/>
        </w:numPr>
        <w:spacing w:line="288" w:lineRule="auto"/>
        <w:ind w:left="1656" w:hanging="360"/>
        <w:jc w:val="both"/>
        <w:rPr>
          <w:rFonts w:ascii="Tahoma" w:cs="Tahoma" w:eastAsia="Tahoma" w:hAnsi="Tahoma"/>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If ≤4 months of age, to be completed 4 hours before (not more than 150ml)</w:t>
          </w:r>
        </w:sdtContent>
      </w:sdt>
    </w:p>
    <w:p w:rsidR="00000000" w:rsidDel="00000000" w:rsidP="00000000" w:rsidRDefault="00000000" w:rsidRPr="00000000" w14:paraId="00000008">
      <w:pPr>
        <w:numPr>
          <w:ilvl w:val="1"/>
          <w:numId w:val="1"/>
        </w:numPr>
        <w:spacing w:line="288" w:lineRule="auto"/>
        <w:ind w:left="1656"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&gt;4 months of age to be completed 6 hours before </w:t>
      </w:r>
      <w:r w:rsidDel="00000000" w:rsidR="00000000" w:rsidRPr="00000000">
        <w:rPr>
          <w:rFonts w:ascii="Tahoma" w:cs="Tahoma" w:eastAsia="Tahoma" w:hAnsi="Tahoma"/>
          <w:sz w:val="16"/>
          <w:szCs w:val="16"/>
          <w:rtl w:val="0"/>
        </w:rPr>
        <w:t xml:space="preserve">anaesthesia</w:t>
      </w:r>
      <w:r w:rsidDel="00000000" w:rsidR="00000000" w:rsidRPr="00000000">
        <w:rPr>
          <w:rtl w:val="0"/>
        </w:rPr>
      </w:r>
    </w:p>
    <w:p w:rsidR="00000000" w:rsidDel="00000000" w:rsidP="00000000" w:rsidRDefault="00000000" w:rsidRPr="00000000" w14:paraId="00000009">
      <w:pPr>
        <w:numPr>
          <w:ilvl w:val="0"/>
          <w:numId w:val="1"/>
        </w:numPr>
        <w:spacing w:line="288" w:lineRule="auto"/>
        <w:ind w:left="426" w:hanging="28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Light meal: completed 6 hours before </w:t>
      </w:r>
      <w:r w:rsidDel="00000000" w:rsidR="00000000" w:rsidRPr="00000000">
        <w:rPr>
          <w:rFonts w:ascii="Tahoma" w:cs="Tahoma" w:eastAsia="Tahoma" w:hAnsi="Tahoma"/>
          <w:sz w:val="16"/>
          <w:szCs w:val="16"/>
          <w:rtl w:val="0"/>
        </w:rPr>
        <w:t xml:space="preserve">anaesthesia</w:t>
      </w:r>
      <w:r w:rsidDel="00000000" w:rsidR="00000000" w:rsidRPr="00000000">
        <w:rPr>
          <w:rtl w:val="0"/>
        </w:rPr>
      </w:r>
    </w:p>
    <w:p w:rsidR="00000000" w:rsidDel="00000000" w:rsidP="00000000" w:rsidRDefault="00000000" w:rsidRPr="00000000" w14:paraId="0000000A">
      <w:pPr>
        <w:spacing w:line="288" w:lineRule="auto"/>
        <w:ind w:left="426" w:hanging="425"/>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B">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*Clear fluids refer to glucose, water, valens carborie (10g sachet in 100ml water), </w:t>
      </w:r>
      <w:r w:rsidDel="00000000" w:rsidR="00000000" w:rsidRPr="00000000">
        <w:rPr>
          <w:rFonts w:ascii="Tahoma" w:cs="Tahoma" w:eastAsia="Tahoma" w:hAnsi="Tahoma"/>
          <w:color w:val="ff0000"/>
          <w:sz w:val="16"/>
          <w:szCs w:val="16"/>
          <w:rtl w:val="0"/>
        </w:rPr>
        <w:t xml:space="preserve">clear</w:t>
      </w:r>
      <w:r w:rsidDel="00000000" w:rsidR="00000000" w:rsidRPr="00000000">
        <w:rPr>
          <w:rFonts w:ascii="Tahoma" w:cs="Tahoma" w:eastAsia="Tahoma" w:hAnsi="Tahoma"/>
          <w:sz w:val="16"/>
          <w:szCs w:val="16"/>
          <w:rtl w:val="0"/>
        </w:rPr>
        <w:t xml:space="preserve"> fruit juice (non- particulate, e.g. apple juice, ribena, but </w:t>
      </w:r>
      <w:r w:rsidDel="00000000" w:rsidR="00000000" w:rsidRPr="00000000">
        <w:rPr>
          <w:rFonts w:ascii="Tahoma" w:cs="Tahoma" w:eastAsia="Tahoma" w:hAnsi="Tahoma"/>
          <w:b w:val="1"/>
          <w:sz w:val="16"/>
          <w:szCs w:val="16"/>
          <w:rtl w:val="0"/>
        </w:rPr>
        <w:t xml:space="preserve">NOT</w:t>
      </w:r>
      <w:r w:rsidDel="00000000" w:rsidR="00000000" w:rsidRPr="00000000">
        <w:rPr>
          <w:rFonts w:ascii="Tahoma" w:cs="Tahoma" w:eastAsia="Tahoma" w:hAnsi="Tahoma"/>
          <w:sz w:val="16"/>
          <w:szCs w:val="16"/>
          <w:rtl w:val="0"/>
        </w:rPr>
        <w:t xml:space="preserve"> orange juice with pulp).</w:t>
        <w:tab/>
      </w:r>
    </w:p>
    <w:p w:rsidR="00000000" w:rsidDel="00000000" w:rsidP="00000000" w:rsidRDefault="00000000" w:rsidRPr="00000000" w14:paraId="0000000C">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*Light breakfast means milk/milo with 2 pieces of biscuits or a piece of plain bread only (no spread/fillings). Please be specific: in our Asian context breakfast could mean a bowl of noodles or fried rice! A heavier meal may require a longer period of fasting</w:t>
      </w:r>
    </w:p>
    <w:p w:rsidR="00000000" w:rsidDel="00000000" w:rsidP="00000000" w:rsidRDefault="00000000" w:rsidRPr="00000000" w14:paraId="0000000D">
      <w:pPr>
        <w:spacing w:line="288" w:lineRule="auto"/>
        <w:ind w:left="284"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E">
      <w:pPr>
        <w:spacing w:line="288" w:lineRule="auto"/>
        <w:ind w:left="284"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Fasting guidelines may need to be more stringent in cases where there is gastro-esophageal reflux or other factors increasing the risk of pulmonary aspiration.</w:t>
      </w:r>
    </w:p>
    <w:p w:rsidR="00000000" w:rsidDel="00000000" w:rsidP="00000000" w:rsidRDefault="00000000" w:rsidRPr="00000000" w14:paraId="0000000F">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0">
      <w:pPr>
        <w:spacing w:line="288" w:lineRule="auto"/>
        <w:ind w:left="284" w:firstLine="0"/>
        <w:jc w:val="both"/>
        <w:rPr>
          <w:rFonts w:ascii="Tahoma" w:cs="Tahoma" w:eastAsia="Tahoma" w:hAnsi="Tahoma"/>
          <w:color w:val="000000"/>
          <w:sz w:val="16"/>
          <w:szCs w:val="16"/>
          <w:u w:val="single"/>
        </w:rPr>
      </w:pPr>
      <w:r w:rsidDel="00000000" w:rsidR="00000000" w:rsidRPr="00000000">
        <w:rPr>
          <w:rFonts w:ascii="Tahoma" w:cs="Tahoma" w:eastAsia="Tahoma" w:hAnsi="Tahoma"/>
          <w:color w:val="000000"/>
          <w:sz w:val="16"/>
          <w:szCs w:val="16"/>
          <w:u w:val="single"/>
          <w:rtl w:val="0"/>
        </w:rPr>
        <w:t xml:space="preserve">Emergency surgery</w:t>
      </w:r>
    </w:p>
    <w:p w:rsidR="00000000" w:rsidDel="00000000" w:rsidP="00000000" w:rsidRDefault="00000000" w:rsidRPr="00000000" w14:paraId="00000011">
      <w:pPr>
        <w:spacing w:line="288" w:lineRule="auto"/>
        <w:ind w:left="284"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When possible, depending on the urgency of the case, fasting guidelines should follow those for elective surgery. Be aware of the increased risk of delayed gastric emptying particularly in trauma cases.</w:t>
      </w:r>
    </w:p>
    <w:p w:rsidR="00000000" w:rsidDel="00000000" w:rsidP="00000000" w:rsidRDefault="00000000" w:rsidRPr="00000000" w14:paraId="00000012">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3">
      <w:pPr>
        <w:spacing w:line="288" w:lineRule="auto"/>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 </w:t>
      </w:r>
    </w:p>
    <w:p w:rsidR="00000000" w:rsidDel="00000000" w:rsidP="00000000" w:rsidRDefault="00000000" w:rsidRPr="00000000" w14:paraId="00000014">
      <w:pPr>
        <w:numPr>
          <w:ilvl w:val="0"/>
          <w:numId w:val="2"/>
        </w:numPr>
        <w:spacing w:line="288" w:lineRule="auto"/>
        <w:ind w:left="72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Black AE. Medical assessment of the </w:t>
      </w:r>
      <w:r w:rsidDel="00000000" w:rsidR="00000000" w:rsidRPr="00000000">
        <w:rPr>
          <w:rFonts w:ascii="Tahoma" w:cs="Tahoma" w:eastAsia="Tahoma" w:hAnsi="Tahoma"/>
          <w:i w:val="1"/>
          <w:sz w:val="16"/>
          <w:szCs w:val="16"/>
          <w:rtl w:val="0"/>
        </w:rPr>
        <w:t xml:space="preserve">paediatric</w:t>
      </w:r>
      <w:r w:rsidDel="00000000" w:rsidR="00000000" w:rsidRPr="00000000">
        <w:rPr>
          <w:rFonts w:ascii="Tahoma" w:cs="Tahoma" w:eastAsia="Tahoma" w:hAnsi="Tahoma"/>
          <w:i w:val="1"/>
          <w:sz w:val="16"/>
          <w:szCs w:val="16"/>
          <w:rtl w:val="0"/>
        </w:rPr>
        <w:t xml:space="preserve"> patient. British Journal of Anaesthesia 1999; 83(1):3-15.</w:t>
      </w:r>
    </w:p>
    <w:p w:rsidR="00000000" w:rsidDel="00000000" w:rsidP="00000000" w:rsidRDefault="00000000" w:rsidRPr="00000000" w14:paraId="00000015">
      <w:pPr>
        <w:numPr>
          <w:ilvl w:val="0"/>
          <w:numId w:val="2"/>
        </w:numPr>
        <w:spacing w:line="288" w:lineRule="auto"/>
        <w:ind w:left="72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Cook-Sather SD, Harris KA, Chiavacci R et al. A </w:t>
      </w:r>
      <w:r w:rsidDel="00000000" w:rsidR="00000000" w:rsidRPr="00000000">
        <w:rPr>
          <w:rFonts w:ascii="Tahoma" w:cs="Tahoma" w:eastAsia="Tahoma" w:hAnsi="Tahoma"/>
          <w:i w:val="1"/>
          <w:sz w:val="16"/>
          <w:szCs w:val="16"/>
          <w:rtl w:val="0"/>
        </w:rPr>
        <w:t xml:space="preserve">liberalised</w:t>
      </w:r>
      <w:r w:rsidDel="00000000" w:rsidR="00000000" w:rsidRPr="00000000">
        <w:rPr>
          <w:rFonts w:ascii="Tahoma" w:cs="Tahoma" w:eastAsia="Tahoma" w:hAnsi="Tahoma"/>
          <w:i w:val="1"/>
          <w:sz w:val="16"/>
          <w:szCs w:val="16"/>
          <w:rtl w:val="0"/>
        </w:rPr>
        <w:t xml:space="preserve"> fasting guideline for formula-fed infants does not increase average gastric fluid volume before elective surgery. Anesthesia and Analgesia 2003; 96: 965-969</w:t>
      </w:r>
    </w:p>
    <w:p w:rsidR="00000000" w:rsidDel="00000000" w:rsidP="00000000" w:rsidRDefault="00000000" w:rsidRPr="00000000" w14:paraId="00000016">
      <w:pPr>
        <w:numPr>
          <w:ilvl w:val="0"/>
          <w:numId w:val="2"/>
        </w:numPr>
        <w:spacing w:line="288" w:lineRule="auto"/>
        <w:ind w:left="72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McCann ME, Kain ZN. The Management of Preoperative Anxiety in Children: An Update. Anesth Analg 2001; 93: 98-105.</w:t>
      </w:r>
    </w:p>
    <w:p w:rsidR="00000000" w:rsidDel="00000000" w:rsidP="00000000" w:rsidRDefault="00000000" w:rsidRPr="00000000" w14:paraId="00000017">
      <w:pPr>
        <w:numPr>
          <w:ilvl w:val="0"/>
          <w:numId w:val="2"/>
        </w:numPr>
        <w:spacing w:line="288" w:lineRule="auto"/>
        <w:ind w:left="72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Practice Guidelines for Preoperative Fasting and the Use of Pharmacologic Agents to Reduce the Risk of Pulmonary Aspiration: Application to Healthy Patients Undergoing Elective Procedures. A Report by the American Society of Anesthesiologists Task Force on Preoperative Fasting. Anesthesiology 1999; 90: 896 – 905</w:t>
      </w:r>
    </w:p>
    <w:p w:rsidR="00000000" w:rsidDel="00000000" w:rsidP="00000000" w:rsidRDefault="00000000" w:rsidRPr="00000000" w14:paraId="00000018">
      <w:pPr>
        <w:numPr>
          <w:ilvl w:val="0"/>
          <w:numId w:val="2"/>
        </w:numPr>
        <w:spacing w:line="288" w:lineRule="auto"/>
        <w:ind w:left="72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Thomas M, Morrison C, Newton R, et al. Consensus statement on clear fluids fasting for elective pediatric general anesthesia. Paediatr Anaesth. 2018; 28:411–4</w:t>
      </w:r>
    </w:p>
    <w:sectPr>
      <w:headerReference r:id="rId7" w:type="default"/>
      <w:footerReference r:id="rId8" w:type="default"/>
      <w:footerReference r:id="rId9" w:type="even"/>
      <w:pgSz w:h="8640" w:w="5760" w:orient="portrait"/>
      <w:pgMar w:bottom="567" w:top="567"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mic Sans MS"/>
  <w:font w:name="Times New Roman"/>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 </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Anaesthesia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282A46"/>
    <w:rPr>
      <w:sz w:val="24"/>
      <w:lang w:eastAsia="en-US" w:val="en-US"/>
    </w:rPr>
  </w:style>
  <w:style w:type="paragraph" w:styleId="Heading1">
    <w:name w:val="heading 1"/>
    <w:basedOn w:val="Normal"/>
    <w:next w:val="Normal"/>
    <w:qFormat w:val="1"/>
    <w:rsid w:val="00282A46"/>
    <w:pPr>
      <w:keepNext w:val="1"/>
      <w:outlineLvl w:val="0"/>
    </w:pPr>
    <w:rPr>
      <w:noProof w:val="1"/>
      <w:sz w:val="28"/>
    </w:rPr>
  </w:style>
  <w:style w:type="paragraph" w:styleId="Heading2">
    <w:name w:val="heading 2"/>
    <w:basedOn w:val="Normal"/>
    <w:next w:val="Normal"/>
    <w:qFormat w:val="1"/>
    <w:rsid w:val="00282A46"/>
    <w:pPr>
      <w:keepNext w:val="1"/>
      <w:outlineLvl w:val="1"/>
    </w:pPr>
    <w:rPr>
      <w:b w:val="1"/>
      <w:caps w:val="1"/>
      <w:noProof w:val="1"/>
      <w:sz w:val="18"/>
    </w:rPr>
  </w:style>
  <w:style w:type="paragraph" w:styleId="Heading3">
    <w:name w:val="heading 3"/>
    <w:basedOn w:val="Normal"/>
    <w:next w:val="Normal"/>
    <w:qFormat w:val="1"/>
    <w:rsid w:val="00282A46"/>
    <w:pPr>
      <w:keepNext w:val="1"/>
      <w:outlineLvl w:val="2"/>
    </w:pPr>
    <w:rPr>
      <w:rFonts w:ascii="Arial" w:eastAsia="Arial Unicode MS" w:hAnsi="Arial"/>
      <w:b w:val="1"/>
      <w:color w:val="3366ff"/>
      <w:sz w:val="18"/>
    </w:rPr>
  </w:style>
  <w:style w:type="paragraph" w:styleId="Heading4">
    <w:name w:val="heading 4"/>
    <w:basedOn w:val="Normal"/>
    <w:next w:val="Normal"/>
    <w:qFormat w:val="1"/>
    <w:rsid w:val="00282A46"/>
    <w:pPr>
      <w:keepNext w:val="1"/>
      <w:outlineLvl w:val="3"/>
    </w:pPr>
    <w:rPr>
      <w:b w:val="1"/>
      <w:caps w:val="1"/>
      <w:noProof w:val="1"/>
      <w:sz w:val="20"/>
    </w:rPr>
  </w:style>
  <w:style w:type="paragraph" w:styleId="Heading5">
    <w:name w:val="heading 5"/>
    <w:basedOn w:val="Normal"/>
    <w:next w:val="Normal"/>
    <w:qFormat w:val="1"/>
    <w:rsid w:val="00282A46"/>
    <w:pPr>
      <w:keepNext w:val="1"/>
      <w:spacing w:line="288" w:lineRule="auto"/>
      <w:outlineLvl w:val="4"/>
    </w:pPr>
    <w:rPr>
      <w:rFonts w:ascii="Arial" w:eastAsia="Arial Unicode MS" w:hAnsi="Arial"/>
      <w:b w:val="1"/>
      <w:sz w:val="16"/>
    </w:rPr>
  </w:style>
  <w:style w:type="paragraph" w:styleId="Heading6">
    <w:name w:val="heading 6"/>
    <w:basedOn w:val="Normal"/>
    <w:next w:val="Normal"/>
    <w:qFormat w:val="1"/>
    <w:rsid w:val="00282A46"/>
    <w:pPr>
      <w:keepNext w:val="1"/>
      <w:spacing w:line="288" w:lineRule="auto"/>
      <w:outlineLvl w:val="5"/>
    </w:pPr>
    <w:rPr>
      <w:rFonts w:ascii="Arial" w:eastAsia="Arial Unicode MS" w:hAnsi="Arial"/>
      <w:sz w:val="15"/>
      <w:u w:val="single"/>
    </w:rPr>
  </w:style>
  <w:style w:type="paragraph" w:styleId="Heading7">
    <w:name w:val="heading 7"/>
    <w:basedOn w:val="Normal"/>
    <w:next w:val="Normal"/>
    <w:qFormat w:val="1"/>
    <w:rsid w:val="00282A46"/>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qFormat w:val="1"/>
    <w:rsid w:val="00282A46"/>
    <w:pPr>
      <w:keepNext w:val="1"/>
      <w:spacing w:line="360" w:lineRule="auto"/>
      <w:outlineLvl w:val="7"/>
    </w:pPr>
    <w:rPr>
      <w:rFonts w:ascii="Arial" w:eastAsia="Arial Unicode MS" w:hAnsi="Arial"/>
      <w:b w:val="1"/>
      <w:sz w:val="15"/>
    </w:rPr>
  </w:style>
  <w:style w:type="paragraph" w:styleId="Heading9">
    <w:name w:val="heading 9"/>
    <w:basedOn w:val="Normal"/>
    <w:next w:val="Normal"/>
    <w:qFormat w:val="1"/>
    <w:rsid w:val="00282A46"/>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rsid w:val="00282A46"/>
    <w:pPr>
      <w:jc w:val="both"/>
    </w:pPr>
    <w:rPr>
      <w:rFonts w:ascii="Arial" w:hAnsi="Arial"/>
      <w:sz w:val="22"/>
    </w:rPr>
  </w:style>
  <w:style w:type="paragraph" w:styleId="BodyText2">
    <w:name w:val="Body Text 2"/>
    <w:basedOn w:val="Normal"/>
    <w:semiHidden w:val="1"/>
    <w:rsid w:val="00282A46"/>
    <w:rPr>
      <w:noProof w:val="1"/>
      <w:sz w:val="18"/>
    </w:rPr>
  </w:style>
  <w:style w:type="paragraph" w:styleId="BodyTextIndent">
    <w:name w:val="Body Text Indent"/>
    <w:basedOn w:val="Normal"/>
    <w:semiHidden w:val="1"/>
    <w:rsid w:val="00282A46"/>
    <w:pPr>
      <w:ind w:left="720" w:hanging="720"/>
      <w:jc w:val="both"/>
    </w:pPr>
    <w:rPr>
      <w:sz w:val="22"/>
      <w:lang w:val="en-GB"/>
    </w:rPr>
  </w:style>
  <w:style w:type="paragraph" w:styleId="BodyTextIndent2">
    <w:name w:val="Body Text Indent 2"/>
    <w:basedOn w:val="Normal"/>
    <w:semiHidden w:val="1"/>
    <w:rsid w:val="00282A46"/>
    <w:pPr>
      <w:ind w:left="720" w:hanging="360"/>
    </w:pPr>
    <w:rPr>
      <w:sz w:val="20"/>
      <w:lang w:val="en-GB"/>
    </w:rPr>
  </w:style>
  <w:style w:type="paragraph" w:styleId="BodyText3">
    <w:name w:val="Body Text 3"/>
    <w:basedOn w:val="Normal"/>
    <w:semiHidden w:val="1"/>
    <w:rsid w:val="00282A46"/>
    <w:pPr>
      <w:jc w:val="both"/>
    </w:pPr>
    <w:rPr>
      <w:rFonts w:ascii="Arial Unicode MS" w:eastAsia="Arial Unicode MS" w:hAnsi="Arial Unicode MS"/>
      <w:sz w:val="16"/>
    </w:rPr>
  </w:style>
  <w:style w:type="paragraph" w:styleId="Header">
    <w:name w:val="header"/>
    <w:basedOn w:val="Normal"/>
    <w:link w:val="HeaderChar"/>
    <w:semiHidden w:val="1"/>
    <w:rsid w:val="00282A46"/>
    <w:pPr>
      <w:tabs>
        <w:tab w:val="center" w:pos="4320"/>
        <w:tab w:val="right" w:pos="8640"/>
      </w:tabs>
    </w:pPr>
    <w:rPr>
      <w:rFonts w:ascii="Arial" w:hAnsi="Arial"/>
      <w:sz w:val="22"/>
      <w:lang w:val="en-GB"/>
    </w:rPr>
  </w:style>
  <w:style w:type="paragraph" w:styleId="Title">
    <w:name w:val="Title"/>
    <w:basedOn w:val="Normal"/>
    <w:qFormat w:val="1"/>
    <w:rsid w:val="00282A46"/>
    <w:pPr>
      <w:jc w:val="center"/>
    </w:pPr>
    <w:rPr>
      <w:rFonts w:ascii="Tahoma" w:hAnsi="Tahoma"/>
      <w:b w:val="1"/>
      <w:color w:val="3366ff"/>
      <w:sz w:val="18"/>
    </w:rPr>
  </w:style>
  <w:style w:type="paragraph" w:styleId="BodyTextIndent3">
    <w:name w:val="Body Text Indent 3"/>
    <w:basedOn w:val="Normal"/>
    <w:semiHidden w:val="1"/>
    <w:rsid w:val="00282A46"/>
    <w:pPr>
      <w:ind w:left="-360" w:firstLine="720"/>
    </w:pPr>
    <w:rPr>
      <w:rFonts w:ascii="Arial" w:hAnsi="Arial"/>
      <w:color w:val="000000"/>
      <w:sz w:val="15"/>
    </w:rPr>
  </w:style>
  <w:style w:type="paragraph" w:styleId="Footer">
    <w:name w:val="footer"/>
    <w:basedOn w:val="Normal"/>
    <w:link w:val="FooterChar"/>
    <w:uiPriority w:val="99"/>
    <w:rsid w:val="00282A46"/>
    <w:pPr>
      <w:tabs>
        <w:tab w:val="center" w:pos="4320"/>
        <w:tab w:val="right" w:pos="8640"/>
      </w:tabs>
    </w:pPr>
  </w:style>
  <w:style w:type="character" w:styleId="PageNumber">
    <w:name w:val="page number"/>
    <w:semiHidden w:val="1"/>
    <w:rsid w:val="00282A46"/>
    <w:rPr>
      <w:rFonts w:ascii="Comic Sans MS" w:hAnsi="Comic Sans MS"/>
      <w:b w:val="1"/>
      <w:color w:val="666699"/>
      <w:sz w:val="14"/>
    </w:rPr>
  </w:style>
  <w:style w:type="paragraph" w:styleId="DocumentMap">
    <w:name w:val="Document Map"/>
    <w:basedOn w:val="Normal"/>
    <w:semiHidden w:val="1"/>
    <w:rsid w:val="00282A46"/>
    <w:pPr>
      <w:shd w:color="auto" w:fill="000080" w:val="clear"/>
    </w:pPr>
    <w:rPr>
      <w:rFonts w:ascii="Tahoma" w:hAnsi="Tahoma"/>
    </w:rPr>
  </w:style>
  <w:style w:type="character" w:styleId="Hyperlink">
    <w:name w:val="Hyperlink"/>
    <w:semiHidden w:val="1"/>
    <w:rsid w:val="00282A46"/>
    <w:rPr>
      <w:color w:val="0000ff"/>
      <w:u w:val="single"/>
    </w:rPr>
  </w:style>
  <w:style w:type="paragraph" w:styleId="NormalWeb">
    <w:name w:val="Normal (Web)"/>
    <w:basedOn w:val="Normal"/>
    <w:uiPriority w:val="99"/>
    <w:rsid w:val="00282A46"/>
    <w:pPr>
      <w:spacing w:after="100" w:afterAutospacing="1" w:before="100" w:beforeAutospacing="1"/>
    </w:pPr>
    <w:rPr>
      <w:rFonts w:eastAsia="SimSun"/>
      <w:lang w:eastAsia="zh-CN"/>
    </w:rPr>
  </w:style>
  <w:style w:type="character" w:styleId="Strong">
    <w:name w:val="Strong"/>
    <w:qFormat w:val="1"/>
    <w:rsid w:val="00282A46"/>
    <w:rPr>
      <w:b w:val="1"/>
    </w:rPr>
  </w:style>
  <w:style w:type="character" w:styleId="Emphasis">
    <w:name w:val="Emphasis"/>
    <w:qFormat w:val="1"/>
    <w:rsid w:val="00282A46"/>
    <w:rPr>
      <w:i w:val="1"/>
    </w:rPr>
  </w:style>
  <w:style w:type="paragraph" w:styleId="Index1">
    <w:name w:val="index 1"/>
    <w:basedOn w:val="Normal"/>
    <w:next w:val="Normal"/>
    <w:autoRedefine w:val="1"/>
    <w:semiHidden w:val="1"/>
    <w:rsid w:val="00282A46"/>
    <w:pPr>
      <w:ind w:left="240" w:hanging="240"/>
    </w:pPr>
  </w:style>
  <w:style w:type="paragraph" w:styleId="Index2">
    <w:name w:val="index 2"/>
    <w:basedOn w:val="Normal"/>
    <w:next w:val="Normal"/>
    <w:autoRedefine w:val="1"/>
    <w:semiHidden w:val="1"/>
    <w:rsid w:val="00282A46"/>
    <w:pPr>
      <w:ind w:left="480" w:hanging="240"/>
    </w:pPr>
  </w:style>
  <w:style w:type="paragraph" w:styleId="Index3">
    <w:name w:val="index 3"/>
    <w:basedOn w:val="Normal"/>
    <w:next w:val="Normal"/>
    <w:autoRedefine w:val="1"/>
    <w:semiHidden w:val="1"/>
    <w:rsid w:val="00282A46"/>
    <w:pPr>
      <w:ind w:left="720" w:hanging="240"/>
    </w:pPr>
  </w:style>
  <w:style w:type="paragraph" w:styleId="Index4">
    <w:name w:val="index 4"/>
    <w:basedOn w:val="Normal"/>
    <w:next w:val="Normal"/>
    <w:autoRedefine w:val="1"/>
    <w:semiHidden w:val="1"/>
    <w:rsid w:val="00282A46"/>
    <w:pPr>
      <w:ind w:left="960" w:hanging="240"/>
    </w:pPr>
  </w:style>
  <w:style w:type="paragraph" w:styleId="Index5">
    <w:name w:val="index 5"/>
    <w:basedOn w:val="Normal"/>
    <w:next w:val="Normal"/>
    <w:autoRedefine w:val="1"/>
    <w:semiHidden w:val="1"/>
    <w:rsid w:val="00282A46"/>
    <w:pPr>
      <w:ind w:left="1200" w:hanging="240"/>
    </w:pPr>
  </w:style>
  <w:style w:type="paragraph" w:styleId="Index6">
    <w:name w:val="index 6"/>
    <w:basedOn w:val="Normal"/>
    <w:next w:val="Normal"/>
    <w:autoRedefine w:val="1"/>
    <w:semiHidden w:val="1"/>
    <w:rsid w:val="00282A46"/>
    <w:pPr>
      <w:ind w:left="1440" w:hanging="240"/>
    </w:pPr>
  </w:style>
  <w:style w:type="paragraph" w:styleId="Index7">
    <w:name w:val="index 7"/>
    <w:basedOn w:val="Normal"/>
    <w:next w:val="Normal"/>
    <w:autoRedefine w:val="1"/>
    <w:semiHidden w:val="1"/>
    <w:rsid w:val="00282A46"/>
    <w:pPr>
      <w:ind w:left="1680" w:hanging="240"/>
    </w:pPr>
  </w:style>
  <w:style w:type="paragraph" w:styleId="Index8">
    <w:name w:val="index 8"/>
    <w:basedOn w:val="Normal"/>
    <w:next w:val="Normal"/>
    <w:autoRedefine w:val="1"/>
    <w:semiHidden w:val="1"/>
    <w:rsid w:val="00282A46"/>
    <w:pPr>
      <w:ind w:left="1920" w:hanging="240"/>
    </w:pPr>
  </w:style>
  <w:style w:type="paragraph" w:styleId="Index9">
    <w:name w:val="index 9"/>
    <w:basedOn w:val="Normal"/>
    <w:next w:val="Normal"/>
    <w:autoRedefine w:val="1"/>
    <w:semiHidden w:val="1"/>
    <w:rsid w:val="00282A46"/>
    <w:pPr>
      <w:ind w:left="2160" w:hanging="240"/>
    </w:pPr>
  </w:style>
  <w:style w:type="paragraph" w:styleId="IndexHeading">
    <w:name w:val="index heading"/>
    <w:basedOn w:val="Normal"/>
    <w:next w:val="Index1"/>
    <w:semiHidden w:val="1"/>
    <w:rsid w:val="00282A46"/>
  </w:style>
  <w:style w:type="paragraph" w:styleId="BalloonText">
    <w:name w:val="Balloon Text"/>
    <w:basedOn w:val="Normal"/>
    <w:link w:val="BalloonTextChar"/>
    <w:uiPriority w:val="99"/>
    <w:semiHidden w:val="1"/>
    <w:unhideWhenUsed w:val="1"/>
    <w:rsid w:val="00905571"/>
    <w:rPr>
      <w:rFonts w:ascii="Tahoma" w:hAnsi="Tahoma"/>
      <w:sz w:val="16"/>
      <w:szCs w:val="16"/>
      <w:lang w:eastAsia="x-none" w:val="x-none"/>
    </w:rPr>
  </w:style>
  <w:style w:type="character" w:styleId="BalloonTextChar" w:customStyle="1">
    <w:name w:val="Balloon Text Char"/>
    <w:link w:val="BalloonText"/>
    <w:uiPriority w:val="99"/>
    <w:semiHidden w:val="1"/>
    <w:rsid w:val="00905571"/>
    <w:rPr>
      <w:rFonts w:ascii="Tahoma" w:cs="Tahoma" w:hAnsi="Tahoma"/>
      <w:sz w:val="16"/>
      <w:szCs w:val="16"/>
    </w:rPr>
  </w:style>
  <w:style w:type="table" w:styleId="TableGrid">
    <w:name w:val="Table Grid"/>
    <w:basedOn w:val="TableNormal"/>
    <w:uiPriority w:val="59"/>
    <w:rsid w:val="00EC12E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lorfulShading-Accent31" w:customStyle="1">
    <w:name w:val="Colorful Shading - Accent 31"/>
    <w:basedOn w:val="Normal"/>
    <w:uiPriority w:val="34"/>
    <w:qFormat w:val="1"/>
    <w:rsid w:val="008D7F38"/>
    <w:pPr>
      <w:spacing w:after="200" w:line="276" w:lineRule="auto"/>
      <w:ind w:left="720"/>
      <w:contextualSpacing w:val="1"/>
    </w:pPr>
    <w:rPr>
      <w:rFonts w:ascii="Calibri" w:eastAsia="Calibri" w:hAnsi="Calibri"/>
      <w:sz w:val="22"/>
      <w:szCs w:val="22"/>
    </w:rPr>
  </w:style>
  <w:style w:type="table" w:styleId="MediumShading1-Accent3">
    <w:name w:val="Medium Shading 1 Accent 3"/>
    <w:basedOn w:val="TableNormal"/>
    <w:uiPriority w:val="29"/>
    <w:qFormat w:val="1"/>
    <w:rsid w:val="008F7F89"/>
    <w:rPr>
      <w:color w:val="000000"/>
    </w:rPr>
    <w:tblPr>
      <w:tblStyleRowBandSize w:val="1"/>
      <w:tblStyleColBandSize w:val="1"/>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character" w:styleId="FooterChar" w:customStyle="1">
    <w:name w:val="Footer Char"/>
    <w:link w:val="Footer"/>
    <w:uiPriority w:val="99"/>
    <w:rsid w:val="00DA4AD7"/>
    <w:rPr>
      <w:sz w:val="24"/>
      <w:lang w:eastAsia="en-US"/>
    </w:rPr>
  </w:style>
  <w:style w:type="paragraph" w:styleId="ColorfulList-Accent11" w:customStyle="1">
    <w:name w:val="Colorful List - Accent 11"/>
    <w:basedOn w:val="Normal"/>
    <w:uiPriority w:val="34"/>
    <w:qFormat w:val="1"/>
    <w:rsid w:val="00A838D3"/>
    <w:pPr>
      <w:ind w:left="720"/>
      <w:contextualSpacing w:val="1"/>
    </w:pPr>
  </w:style>
  <w:style w:type="character" w:styleId="HeaderChar" w:customStyle="1">
    <w:name w:val="Header Char"/>
    <w:basedOn w:val="DefaultParagraphFont"/>
    <w:link w:val="Header"/>
    <w:semiHidden w:val="1"/>
    <w:rsid w:val="006F2AF3"/>
    <w:rPr>
      <w:rFonts w:ascii="Arial" w:hAnsi="Arial"/>
      <w:sz w:val="22"/>
      <w:lang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bWU9j6q+9m6DzwqVi+SALJpCg==">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2019-05-21T05:52:00Z</dcterms:created>
  <dc:creator>dr03268i</dc:creator>
</cp:coreProperties>
</file>