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88" w:lineRule="auto"/>
        <w:jc w:val="center"/>
        <w:rPr>
          <w:rFonts w:ascii="Tahoma" w:cs="Tahoma" w:eastAsia="Tahoma" w:hAnsi="Tahoma"/>
          <w:b w:val="1"/>
          <w:color w:val="3366ff"/>
          <w:sz w:val="16"/>
          <w:szCs w:val="16"/>
        </w:rPr>
      </w:pPr>
      <w:r w:rsidDel="00000000" w:rsidR="00000000" w:rsidRPr="00000000">
        <w:rPr>
          <w:rFonts w:ascii="Tahoma" w:cs="Tahoma" w:eastAsia="Tahoma" w:hAnsi="Tahoma"/>
          <w:color w:val="3366ff"/>
          <w:sz w:val="16"/>
          <w:szCs w:val="16"/>
          <w:rtl w:val="0"/>
        </w:rPr>
        <w:t xml:space="preserve"> </w:t>
      </w:r>
      <w:r w:rsidDel="00000000" w:rsidR="00000000" w:rsidRPr="00000000">
        <w:rPr>
          <w:rFonts w:ascii="Tahoma" w:cs="Tahoma" w:eastAsia="Tahoma" w:hAnsi="Tahoma"/>
          <w:b w:val="1"/>
          <w:color w:val="3366ff"/>
          <w:sz w:val="16"/>
          <w:szCs w:val="16"/>
          <w:rtl w:val="0"/>
        </w:rPr>
        <w:t xml:space="preserve">GUIDELINES FOR PREVENTION OF </w:t>
      </w:r>
    </w:p>
    <w:p w:rsidR="00000000" w:rsidDel="00000000" w:rsidP="00000000" w:rsidRDefault="00000000" w:rsidRPr="00000000" w14:paraId="00000003">
      <w:pPr>
        <w:spacing w:line="288" w:lineRule="auto"/>
        <w:jc w:val="center"/>
        <w:rPr>
          <w:rFonts w:ascii="Tahoma" w:cs="Tahoma" w:eastAsia="Tahoma" w:hAnsi="Tahoma"/>
          <w:b w:val="1"/>
          <w:color w:val="3366ff"/>
          <w:sz w:val="16"/>
          <w:szCs w:val="16"/>
        </w:rPr>
      </w:pPr>
      <w:r w:rsidDel="00000000" w:rsidR="00000000" w:rsidRPr="00000000">
        <w:rPr>
          <w:rFonts w:ascii="Tahoma" w:cs="Tahoma" w:eastAsia="Tahoma" w:hAnsi="Tahoma"/>
          <w:b w:val="1"/>
          <w:color w:val="3366ff"/>
          <w:sz w:val="16"/>
          <w:szCs w:val="16"/>
          <w:rtl w:val="0"/>
        </w:rPr>
        <w:t xml:space="preserve">POSTOPERATIVE NAUSEA AND VOMITING (PONV)</w:t>
      </w:r>
    </w:p>
    <w:p w:rsidR="00000000" w:rsidDel="00000000" w:rsidP="00000000" w:rsidRDefault="00000000" w:rsidRPr="00000000" w14:paraId="00000004">
      <w:pPr>
        <w:spacing w:line="288" w:lineRule="auto"/>
        <w:rPr>
          <w:rFonts w:ascii="Tahoma" w:cs="Tahoma" w:eastAsia="Tahoma" w:hAnsi="Tahoma"/>
          <w:b w:val="1"/>
          <w:color w:val="00b0f0"/>
          <w:sz w:val="16"/>
          <w:szCs w:val="16"/>
        </w:rPr>
      </w:pPr>
      <w:r w:rsidDel="00000000" w:rsidR="00000000" w:rsidRPr="00000000">
        <w:rPr>
          <w:rtl w:val="0"/>
        </w:rPr>
      </w:r>
    </w:p>
    <w:p w:rsidR="00000000" w:rsidDel="00000000" w:rsidP="00000000" w:rsidRDefault="00000000" w:rsidRPr="00000000" w14:paraId="00000005">
      <w:pPr>
        <w:spacing w:line="288" w:lineRule="auto"/>
        <w:jc w:val="both"/>
        <w:rPr>
          <w:rFonts w:ascii="Tahoma" w:cs="Tahoma" w:eastAsia="Tahoma" w:hAnsi="Tahoma"/>
          <w:sz w:val="16"/>
          <w:szCs w:val="16"/>
          <w:vertAlign w:val="superscript"/>
        </w:rPr>
      </w:pPr>
      <w:r w:rsidDel="00000000" w:rsidR="00000000" w:rsidRPr="00000000">
        <w:rPr>
          <w:rFonts w:ascii="Tahoma" w:cs="Tahoma" w:eastAsia="Tahoma" w:hAnsi="Tahoma"/>
          <w:sz w:val="16"/>
          <w:szCs w:val="16"/>
          <w:rtl w:val="0"/>
        </w:rPr>
        <w:t xml:space="preserve">Postoperative nausea and vomiting (PONV) is one of the leading postoperative complaints from patients and the leading cause of readmission to the hospital. Severe vomiting can be associated with dehydration, postoperative bleeding, pulmonary aspiration, and wound dehiscence.</w:t>
      </w:r>
      <w:r w:rsidDel="00000000" w:rsidR="00000000" w:rsidRPr="00000000">
        <w:rPr>
          <w:rFonts w:ascii="Tahoma" w:cs="Tahoma" w:eastAsia="Tahoma" w:hAnsi="Tahoma"/>
          <w:sz w:val="16"/>
          <w:szCs w:val="16"/>
          <w:vertAlign w:val="superscript"/>
          <w:rtl w:val="0"/>
        </w:rPr>
        <w:t xml:space="preserve">1 </w:t>
      </w:r>
    </w:p>
    <w:p w:rsidR="00000000" w:rsidDel="00000000" w:rsidP="00000000" w:rsidRDefault="00000000" w:rsidRPr="00000000" w14:paraId="00000006">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PONV occurs twice as frequently in children than in adults, increasing from 3 yrs of age until puberty, then decreasing to adult rates. Gender differences are not seen before puberty. The two most common emetogenic surgical procedures evaluated in children are strabismus repair and adenotonsillectomy.</w:t>
      </w:r>
    </w:p>
    <w:p w:rsidR="00000000" w:rsidDel="00000000" w:rsidP="00000000" w:rsidRDefault="00000000" w:rsidRPr="00000000" w14:paraId="00000008">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09">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Risk factors for PONV in children include the following:</w:t>
      </w:r>
    </w:p>
    <w:p w:rsidR="00000000" w:rsidDel="00000000" w:rsidP="00000000" w:rsidRDefault="00000000" w:rsidRPr="00000000" w14:paraId="0000000A">
      <w:pPr>
        <w:numPr>
          <w:ilvl w:val="0"/>
          <w:numId w:val="3"/>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Patient factors</w:t>
        <w:tab/>
      </w:r>
    </w:p>
    <w:p w:rsidR="00000000" w:rsidDel="00000000" w:rsidP="00000000" w:rsidRDefault="00000000" w:rsidRPr="00000000" w14:paraId="0000000B">
      <w:pPr>
        <w:widowControl w:val="0"/>
        <w:numPr>
          <w:ilvl w:val="1"/>
          <w:numId w:val="3"/>
        </w:numPr>
        <w:ind w:left="1440" w:hanging="360"/>
        <w:jc w:val="both"/>
        <w:rPr>
          <w:rFonts w:ascii="Tahoma" w:cs="Tahoma" w:eastAsia="Tahoma" w:hAnsi="Tahoma"/>
          <w:sz w:val="16"/>
          <w:szCs w:val="16"/>
        </w:rPr>
      </w:pPr>
      <w:sdt>
        <w:sdtPr>
          <w:tag w:val="goog_rdk_0"/>
        </w:sdtPr>
        <w:sdtContent>
          <w:r w:rsidDel="00000000" w:rsidR="00000000" w:rsidRPr="00000000">
            <w:rPr>
              <w:rFonts w:ascii="Arial Unicode MS" w:cs="Arial Unicode MS" w:eastAsia="Arial Unicode MS" w:hAnsi="Arial Unicode MS"/>
              <w:sz w:val="16"/>
              <w:szCs w:val="16"/>
              <w:rtl w:val="0"/>
            </w:rPr>
            <w:t xml:space="preserve">age ≥ 3 years</w:t>
          </w:r>
        </w:sdtContent>
      </w:sdt>
    </w:p>
    <w:p w:rsidR="00000000" w:rsidDel="00000000" w:rsidP="00000000" w:rsidRDefault="00000000" w:rsidRPr="00000000" w14:paraId="0000000C">
      <w:pPr>
        <w:widowControl w:val="0"/>
        <w:numPr>
          <w:ilvl w:val="1"/>
          <w:numId w:val="3"/>
        </w:numPr>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history of Postoperative Vomiting (POV)/ PONV/motion sickness</w:t>
      </w:r>
    </w:p>
    <w:p w:rsidR="00000000" w:rsidDel="00000000" w:rsidP="00000000" w:rsidRDefault="00000000" w:rsidRPr="00000000" w14:paraId="0000000D">
      <w:pPr>
        <w:widowControl w:val="0"/>
        <w:numPr>
          <w:ilvl w:val="1"/>
          <w:numId w:val="3"/>
        </w:numPr>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family history of postoperative vomiting (POV)/ PONV</w:t>
      </w:r>
    </w:p>
    <w:p w:rsidR="00000000" w:rsidDel="00000000" w:rsidP="00000000" w:rsidRDefault="00000000" w:rsidRPr="00000000" w14:paraId="0000000E">
      <w:pPr>
        <w:widowControl w:val="0"/>
        <w:numPr>
          <w:ilvl w:val="1"/>
          <w:numId w:val="3"/>
        </w:numPr>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post pubertal female</w:t>
      </w:r>
    </w:p>
    <w:p w:rsidR="00000000" w:rsidDel="00000000" w:rsidP="00000000" w:rsidRDefault="00000000" w:rsidRPr="00000000" w14:paraId="0000000F">
      <w:pPr>
        <w:widowControl w:val="0"/>
        <w:numPr>
          <w:ilvl w:val="1"/>
          <w:numId w:val="3"/>
        </w:numPr>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gastric dysmotility</w:t>
      </w:r>
    </w:p>
    <w:p w:rsidR="00000000" w:rsidDel="00000000" w:rsidP="00000000" w:rsidRDefault="00000000" w:rsidRPr="00000000" w14:paraId="00000010">
      <w:pPr>
        <w:widowControl w:val="0"/>
        <w:numPr>
          <w:ilvl w:val="1"/>
          <w:numId w:val="3"/>
        </w:numPr>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anxiety</w:t>
      </w:r>
    </w:p>
    <w:p w:rsidR="00000000" w:rsidDel="00000000" w:rsidP="00000000" w:rsidRDefault="00000000" w:rsidRPr="00000000" w14:paraId="00000011">
      <w:pPr>
        <w:widowControl w:val="0"/>
        <w:numPr>
          <w:ilvl w:val="1"/>
          <w:numId w:val="3"/>
        </w:numPr>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pain</w:t>
      </w:r>
    </w:p>
    <w:p w:rsidR="00000000" w:rsidDel="00000000" w:rsidP="00000000" w:rsidRDefault="00000000" w:rsidRPr="00000000" w14:paraId="00000012">
      <w:pPr>
        <w:widowControl w:val="0"/>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3">
      <w:pPr>
        <w:numPr>
          <w:ilvl w:val="0"/>
          <w:numId w:val="3"/>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Surgical factors</w:t>
      </w:r>
    </w:p>
    <w:p w:rsidR="00000000" w:rsidDel="00000000" w:rsidP="00000000" w:rsidRDefault="00000000" w:rsidRPr="00000000" w14:paraId="00000014">
      <w:pPr>
        <w:numPr>
          <w:ilvl w:val="1"/>
          <w:numId w:val="3"/>
        </w:numPr>
        <w:spacing w:line="288" w:lineRule="auto"/>
        <w:ind w:left="1440" w:hanging="360"/>
        <w:jc w:val="both"/>
        <w:rPr>
          <w:rFonts w:ascii="Tahoma" w:cs="Tahoma" w:eastAsia="Tahoma" w:hAnsi="Tahoma"/>
          <w:sz w:val="16"/>
          <w:szCs w:val="16"/>
        </w:rPr>
      </w:pPr>
      <w:sdt>
        <w:sdtPr>
          <w:tag w:val="goog_rdk_1"/>
        </w:sdtPr>
        <w:sdtContent>
          <w:r w:rsidDel="00000000" w:rsidR="00000000" w:rsidRPr="00000000">
            <w:rPr>
              <w:rFonts w:ascii="Arial Unicode MS" w:cs="Arial Unicode MS" w:eastAsia="Arial Unicode MS" w:hAnsi="Arial Unicode MS"/>
              <w:sz w:val="16"/>
              <w:szCs w:val="16"/>
              <w:rtl w:val="0"/>
            </w:rPr>
            <w:t xml:space="preserve">surgery ≥ 30min</w:t>
          </w:r>
        </w:sdtContent>
      </w:sdt>
    </w:p>
    <w:p w:rsidR="00000000" w:rsidDel="00000000" w:rsidP="00000000" w:rsidRDefault="00000000" w:rsidRPr="00000000" w14:paraId="00000015">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adenotonsillectomy</w:t>
      </w:r>
    </w:p>
    <w:p w:rsidR="00000000" w:rsidDel="00000000" w:rsidP="00000000" w:rsidRDefault="00000000" w:rsidRPr="00000000" w14:paraId="00000016">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otoplasty</w:t>
      </w:r>
    </w:p>
    <w:p w:rsidR="00000000" w:rsidDel="00000000" w:rsidP="00000000" w:rsidRDefault="00000000" w:rsidRPr="00000000" w14:paraId="00000017">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strabismus surgery</w:t>
      </w:r>
    </w:p>
    <w:p w:rsidR="00000000" w:rsidDel="00000000" w:rsidP="00000000" w:rsidRDefault="00000000" w:rsidRPr="00000000" w14:paraId="00000018">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dental surgery</w:t>
      </w:r>
    </w:p>
    <w:p w:rsidR="00000000" w:rsidDel="00000000" w:rsidP="00000000" w:rsidRDefault="00000000" w:rsidRPr="00000000" w14:paraId="00000019">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intra abdominal surgery including laparoscopic</w:t>
      </w:r>
    </w:p>
    <w:p w:rsidR="00000000" w:rsidDel="00000000" w:rsidP="00000000" w:rsidRDefault="00000000" w:rsidRPr="00000000" w14:paraId="0000001A">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genitourinary surgery</w:t>
      </w:r>
    </w:p>
    <w:p w:rsidR="00000000" w:rsidDel="00000000" w:rsidP="00000000" w:rsidRDefault="00000000" w:rsidRPr="00000000" w14:paraId="0000001B">
      <w:pPr>
        <w:spacing w:line="288" w:lineRule="auto"/>
        <w:ind w:left="72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1C">
      <w:pPr>
        <w:numPr>
          <w:ilvl w:val="0"/>
          <w:numId w:val="3"/>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Anaesthetic  factors</w:t>
      </w:r>
    </w:p>
    <w:p w:rsidR="00000000" w:rsidDel="00000000" w:rsidP="00000000" w:rsidRDefault="00000000" w:rsidRPr="00000000" w14:paraId="0000001D">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volatile anaesthetics</w:t>
      </w:r>
    </w:p>
    <w:p w:rsidR="00000000" w:rsidDel="00000000" w:rsidP="00000000" w:rsidRDefault="00000000" w:rsidRPr="00000000" w14:paraId="0000001E">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long acting opioids</w:t>
      </w:r>
    </w:p>
    <w:p w:rsidR="00000000" w:rsidDel="00000000" w:rsidP="00000000" w:rsidRDefault="00000000" w:rsidRPr="00000000" w14:paraId="0000001F">
      <w:pPr>
        <w:numPr>
          <w:ilvl w:val="1"/>
          <w:numId w:val="3"/>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anticholinergic agents e.g. neostigmine</w:t>
      </w:r>
    </w:p>
    <w:p w:rsidR="00000000" w:rsidDel="00000000" w:rsidP="00000000" w:rsidRDefault="00000000" w:rsidRPr="00000000" w14:paraId="00000020">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1">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PONV Risk Score for Children (Eberhart et al)</w:t>
      </w:r>
    </w:p>
    <w:tbl>
      <w:tblPr>
        <w:tblStyle w:val="Table1"/>
        <w:tblW w:w="519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6"/>
        <w:gridCol w:w="2596"/>
        <w:tblGridChange w:id="0">
          <w:tblGrid>
            <w:gridCol w:w="2596"/>
            <w:gridCol w:w="25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Risk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Points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sdt>
              <w:sdtPr>
                <w:tag w:val="goog_rdk_2"/>
              </w:sdtPr>
              <w:sdtContent>
                <w:r w:rsidDel="00000000" w:rsidR="00000000" w:rsidRPr="00000000">
                  <w:rPr>
                    <w:rFonts w:ascii="Arial Unicode MS" w:cs="Arial Unicode MS" w:eastAsia="Arial Unicode MS" w:hAnsi="Arial Unicode MS"/>
                    <w:sz w:val="16"/>
                    <w:szCs w:val="16"/>
                    <w:rtl w:val="0"/>
                  </w:rPr>
                  <w:t xml:space="preserve">Surgery ≥ 30min</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sdt>
              <w:sdtPr>
                <w:tag w:val="goog_rdk_3"/>
              </w:sdtPr>
              <w:sdtContent>
                <w:r w:rsidDel="00000000" w:rsidR="00000000" w:rsidRPr="00000000">
                  <w:rPr>
                    <w:rFonts w:ascii="Arial Unicode MS" w:cs="Arial Unicode MS" w:eastAsia="Arial Unicode MS" w:hAnsi="Arial Unicode MS"/>
                    <w:sz w:val="16"/>
                    <w:szCs w:val="16"/>
                    <w:rtl w:val="0"/>
                  </w:rPr>
                  <w:t xml:space="preserve">Age ≥ 3 years</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Strabismus surgery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History of postoperative vomiting or family history of PONV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w:t>
            </w:r>
          </w:p>
        </w:tc>
      </w:tr>
    </w:tbl>
    <w:p w:rsidR="00000000" w:rsidDel="00000000" w:rsidP="00000000" w:rsidRDefault="00000000" w:rsidRPr="00000000" w14:paraId="0000002C">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2D">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Risk of postoperative vomiting associated with </w:t>
      </w:r>
    </w:p>
    <w:p w:rsidR="00000000" w:rsidDel="00000000" w:rsidP="00000000" w:rsidRDefault="00000000" w:rsidRPr="00000000" w14:paraId="0000002E">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number of risk factors for PONV</w:t>
      </w:r>
    </w:p>
    <w:tbl>
      <w:tblPr>
        <w:tblStyle w:val="Table2"/>
        <w:tblW w:w="5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985"/>
        <w:tblGridChange w:id="0">
          <w:tblGrid>
            <w:gridCol w:w="220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Number of risk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Risk of postoperative vomiting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0 or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70%</w:t>
            </w:r>
          </w:p>
        </w:tc>
      </w:tr>
    </w:tbl>
    <w:p w:rsidR="00000000" w:rsidDel="00000000" w:rsidP="00000000" w:rsidRDefault="00000000" w:rsidRPr="00000000" w14:paraId="00000039">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Do note that this score has been validated for other emetogenic surgeries as well.</w:t>
      </w:r>
    </w:p>
    <w:p w:rsidR="00000000" w:rsidDel="00000000" w:rsidP="00000000" w:rsidRDefault="00000000" w:rsidRPr="00000000" w14:paraId="0000003B">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3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Generally, strategies to prevent PONV in children include </w:t>
      </w:r>
    </w:p>
    <w:p w:rsidR="00000000" w:rsidDel="00000000" w:rsidP="00000000" w:rsidRDefault="00000000" w:rsidRPr="00000000" w14:paraId="0000003D">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Use of regional anaesthesia </w:t>
      </w:r>
    </w:p>
    <w:p w:rsidR="00000000" w:rsidDel="00000000" w:rsidP="00000000" w:rsidRDefault="00000000" w:rsidRPr="00000000" w14:paraId="0000003E">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Use of propofol for induction and maintenance of anaesthesia</w:t>
      </w:r>
    </w:p>
    <w:p w:rsidR="00000000" w:rsidDel="00000000" w:rsidP="00000000" w:rsidRDefault="00000000" w:rsidRPr="00000000" w14:paraId="0000003F">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Avoidance of nitrous oxide for more than 1 hour</w:t>
      </w:r>
    </w:p>
    <w:p w:rsidR="00000000" w:rsidDel="00000000" w:rsidP="00000000" w:rsidRDefault="00000000" w:rsidRPr="00000000" w14:paraId="00000040">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Avoidance of volatile anaesthetic agents</w:t>
      </w:r>
    </w:p>
    <w:p w:rsidR="00000000" w:rsidDel="00000000" w:rsidP="00000000" w:rsidRDefault="00000000" w:rsidRPr="00000000" w14:paraId="00000041">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Minimise perioperative opioid use with multimodal analgesia such as paracetamol, NSAIDS, clonidine or dexmedetomidine, ketamine or IV lignocaine given intraoperatively</w:t>
      </w:r>
    </w:p>
    <w:p w:rsidR="00000000" w:rsidDel="00000000" w:rsidP="00000000" w:rsidRDefault="00000000" w:rsidRPr="00000000" w14:paraId="00000042">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Adequate hydration intraoperatively (30 vs 10 mL/kg lactated ringer’s more effective in PONV reduction) and consider allowing clear feeds up 1 hour before anaesthesia </w:t>
      </w:r>
    </w:p>
    <w:p w:rsidR="00000000" w:rsidDel="00000000" w:rsidP="00000000" w:rsidRDefault="00000000" w:rsidRPr="00000000" w14:paraId="00000043">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Avoidance of neostigmine if feasible for reversal of neuromuscular blockade, using train of 4 as a guide on requirement for reversal and consider the use of sugammadex in patients at high risk of PONV</w:t>
      </w:r>
    </w:p>
    <w:p w:rsidR="00000000" w:rsidDel="00000000" w:rsidP="00000000" w:rsidRDefault="00000000" w:rsidRPr="00000000" w14:paraId="00000044">
      <w:pPr>
        <w:numPr>
          <w:ilvl w:val="0"/>
          <w:numId w:val="1"/>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Prophylactic antiemetic therapy for children with any risk factor for PONV </w:t>
      </w:r>
    </w:p>
    <w:p w:rsidR="00000000" w:rsidDel="00000000" w:rsidP="00000000" w:rsidRDefault="00000000" w:rsidRPr="00000000" w14:paraId="00000045">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6">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INTRA-OP PROPHYLAXIS</w:t>
      </w:r>
    </w:p>
    <w:p w:rsidR="00000000" w:rsidDel="00000000" w:rsidP="00000000" w:rsidRDefault="00000000" w:rsidRPr="00000000" w14:paraId="00000047">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Single drug (for low risk i.e. no risk factor or 1 risk factor)</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504" w:right="0" w:hanging="308"/>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IV ondansetron 0.1 -0.15mg/kg</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(max </w:t>
      </w:r>
      <w:r w:rsidDel="00000000" w:rsidR="00000000" w:rsidRPr="00000000">
        <w:rPr>
          <w:rFonts w:ascii="Tahoma" w:cs="Tahoma" w:eastAsia="Tahoma" w:hAnsi="Tahoma"/>
          <w:sz w:val="16"/>
          <w:szCs w:val="16"/>
          <w:rtl w:val="0"/>
        </w:rPr>
        <w:t xml:space="preserve">4</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mg, only in children &gt; 1 mth old, to be used with </w:t>
      </w:r>
      <w:r w:rsidDel="00000000" w:rsidR="00000000" w:rsidRPr="00000000">
        <w:rPr>
          <w:rFonts w:ascii="Tahoma" w:cs="Tahoma" w:eastAsia="Tahoma" w:hAnsi="Tahoma"/>
          <w:i w:val="0"/>
          <w:smallCaps w:val="0"/>
          <w:strike w:val="0"/>
          <w:color w:val="000000"/>
          <w:sz w:val="16"/>
          <w:szCs w:val="16"/>
          <w:u w:val="single"/>
          <w:shd w:fill="auto" w:val="clear"/>
          <w:vertAlign w:val="baseline"/>
          <w:rtl w:val="0"/>
        </w:rPr>
        <w:t xml:space="preserve">caution in cardiac patients with arrhythmias, pa</w:t>
      </w:r>
      <w:r w:rsidDel="00000000" w:rsidR="00000000" w:rsidRPr="00000000">
        <w:rPr>
          <w:rFonts w:ascii="Tahoma" w:cs="Tahoma" w:eastAsia="Tahoma" w:hAnsi="Tahoma"/>
          <w:sz w:val="16"/>
          <w:szCs w:val="16"/>
          <w:u w:val="single"/>
          <w:rtl w:val="0"/>
        </w:rPr>
        <w:t xml:space="preserve">rticularly prolonged QT syndrome</w:t>
      </w:r>
      <w:r w:rsidDel="00000000" w:rsidR="00000000" w:rsidRPr="00000000">
        <w:rPr>
          <w:rFonts w:ascii="Tahoma" w:cs="Tahoma" w:eastAsia="Tahoma" w:hAnsi="Tahoma"/>
          <w:i w:val="0"/>
          <w:smallCaps w:val="0"/>
          <w:strike w:val="0"/>
          <w:color w:val="000000"/>
          <w:sz w:val="16"/>
          <w:szCs w:val="16"/>
          <w:u w:val="single"/>
          <w:shd w:fill="auto" w:val="clear"/>
          <w:vertAlign w:val="baseline"/>
          <w:rtl w:val="0"/>
        </w:rPr>
        <w:t xml:space="preserve">)</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for the following groups:</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779.5275590551181" w:right="0" w:hanging="240.00000000000006"/>
        <w:jc w:val="both"/>
        <w:rPr>
          <w:rFonts w:ascii="Tahoma" w:cs="Tahoma" w:eastAsia="Tahoma" w:hAnsi="Tahoma"/>
          <w:i w:val="0"/>
          <w:smallCaps w:val="0"/>
          <w:strike w:val="0"/>
          <w:color w:val="000000"/>
          <w:sz w:val="16"/>
          <w:szCs w:val="16"/>
          <w:shd w:fill="auto" w:val="clear"/>
          <w:vertAlign w:val="baseline"/>
        </w:rPr>
      </w:pPr>
      <w:sdt>
        <w:sdtPr>
          <w:tag w:val="goog_rdk_4"/>
        </w:sdtPr>
        <w:sdtContent>
          <w:r w:rsidDel="00000000" w:rsidR="00000000" w:rsidRPr="00000000">
            <w:rPr>
              <w:rFonts w:ascii="Arial Unicode MS" w:cs="Arial Unicode MS" w:eastAsia="Arial Unicode MS" w:hAnsi="Arial Unicode MS"/>
              <w:i w:val="0"/>
              <w:smallCaps w:val="0"/>
              <w:strike w:val="0"/>
              <w:color w:val="000000"/>
              <w:sz w:val="16"/>
              <w:szCs w:val="16"/>
              <w:u w:val="none"/>
              <w:shd w:fill="auto" w:val="clear"/>
              <w:vertAlign w:val="baseline"/>
              <w:rtl w:val="0"/>
            </w:rPr>
            <w:t xml:space="preserve">≥ 3yrs </w:t>
          </w:r>
        </w:sdtContent>
      </w:sdt>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779.5275590551181" w:right="0" w:hanging="240.00000000000006"/>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use of </w:t>
      </w:r>
      <w:r w:rsidDel="00000000" w:rsidR="00000000" w:rsidRPr="00000000">
        <w:rPr>
          <w:rFonts w:ascii="Tahoma" w:cs="Tahoma" w:eastAsia="Tahoma" w:hAnsi="Tahoma"/>
          <w:sz w:val="16"/>
          <w:szCs w:val="16"/>
          <w:rtl w:val="0"/>
        </w:rPr>
        <w:t xml:space="preserve">intraoperative</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opioids</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779.5275590551181" w:right="0" w:hanging="240.00000000000006"/>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middle ear surgery</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779.5275590551181" w:right="0" w:hanging="240.00000000000006"/>
        <w:jc w:val="both"/>
        <w:rPr>
          <w:rFonts w:ascii="Tahoma" w:cs="Tahoma" w:eastAsia="Tahoma" w:hAnsi="Tahoma"/>
          <w:i w:val="0"/>
          <w:smallCaps w:val="0"/>
          <w:strike w:val="0"/>
          <w:color w:val="000000"/>
          <w:sz w:val="16"/>
          <w:szCs w:val="16"/>
          <w:shd w:fill="auto" w:val="clear"/>
          <w:vertAlign w:val="baseline"/>
        </w:rPr>
      </w:pPr>
      <w:sdt>
        <w:sdtPr>
          <w:tag w:val="goog_rdk_5"/>
        </w:sdtPr>
        <w:sdtContent>
          <w:r w:rsidDel="00000000" w:rsidR="00000000" w:rsidRPr="00000000">
            <w:rPr>
              <w:rFonts w:ascii="Arial Unicode MS" w:cs="Arial Unicode MS" w:eastAsia="Arial Unicode MS" w:hAnsi="Arial Unicode MS"/>
              <w:i w:val="0"/>
              <w:smallCaps w:val="0"/>
              <w:strike w:val="0"/>
              <w:color w:val="000000"/>
              <w:sz w:val="16"/>
              <w:szCs w:val="16"/>
              <w:u w:val="none"/>
              <w:shd w:fill="auto" w:val="clear"/>
              <w:vertAlign w:val="baseline"/>
              <w:rtl w:val="0"/>
            </w:rPr>
            <w:t xml:space="preserve">surgeries ≥30 mins duration</w:t>
          </w:r>
        </w:sdtContent>
      </w:sdt>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779.5275590551181" w:right="0" w:hanging="240.00000000000006"/>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sz w:val="16"/>
          <w:szCs w:val="16"/>
          <w:rtl w:val="0"/>
        </w:rPr>
        <w:t xml:space="preserve">side effects: headache/ prolongation of QT interval ( dose dependent and rarely significant at usual doses)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882" w:right="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4F">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Double prophylaxis (for moderate risk i.e. 1-2 risk factors)</w:t>
      </w:r>
    </w:p>
    <w:p w:rsidR="00000000" w:rsidDel="00000000" w:rsidP="00000000" w:rsidRDefault="00000000" w:rsidRPr="00000000" w14:paraId="00000050">
      <w:pPr>
        <w:numPr>
          <w:ilvl w:val="0"/>
          <w:numId w:val="2"/>
        </w:numPr>
        <w:spacing w:line="288" w:lineRule="auto"/>
        <w:ind w:left="504" w:hanging="308"/>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IV ondansetron 0.1- 0.15 mg/kg</w:t>
      </w:r>
      <w:r w:rsidDel="00000000" w:rsidR="00000000" w:rsidRPr="00000000">
        <w:rPr>
          <w:rFonts w:ascii="Tahoma" w:cs="Tahoma" w:eastAsia="Tahoma" w:hAnsi="Tahoma"/>
          <w:sz w:val="16"/>
          <w:szCs w:val="16"/>
          <w:rtl w:val="0"/>
        </w:rPr>
        <w:t xml:space="preserve"> (max 4 mg) AND </w:t>
      </w:r>
    </w:p>
    <w:p w:rsidR="00000000" w:rsidDel="00000000" w:rsidP="00000000" w:rsidRDefault="00000000" w:rsidRPr="00000000" w14:paraId="00000051">
      <w:pPr>
        <w:numPr>
          <w:ilvl w:val="0"/>
          <w:numId w:val="2"/>
        </w:numPr>
        <w:spacing w:line="288" w:lineRule="auto"/>
        <w:ind w:left="504" w:hanging="308"/>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IV dexamethasone 0.1-0.15 mg/kg</w:t>
      </w:r>
      <w:r w:rsidDel="00000000" w:rsidR="00000000" w:rsidRPr="00000000">
        <w:rPr>
          <w:rFonts w:ascii="Tahoma" w:cs="Tahoma" w:eastAsia="Tahoma" w:hAnsi="Tahoma"/>
          <w:sz w:val="16"/>
          <w:szCs w:val="16"/>
          <w:rtl w:val="0"/>
        </w:rPr>
        <w:t xml:space="preserve"> (max 4mg) at the start of surgery IF NO CONTRAINDICATIONS and presence of at least 1 risk factor that includes any of the following:</w:t>
      </w:r>
    </w:p>
    <w:p w:rsidR="00000000" w:rsidDel="00000000" w:rsidP="00000000" w:rsidRDefault="00000000" w:rsidRPr="00000000" w14:paraId="00000052">
      <w:pPr>
        <w:numPr>
          <w:ilvl w:val="2"/>
          <w:numId w:val="2"/>
        </w:numPr>
        <w:spacing w:line="288" w:lineRule="auto"/>
        <w:ind w:left="1346.4566929133857"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Strabismus surgery</w:t>
      </w:r>
    </w:p>
    <w:p w:rsidR="00000000" w:rsidDel="00000000" w:rsidP="00000000" w:rsidRDefault="00000000" w:rsidRPr="00000000" w14:paraId="00000053">
      <w:pPr>
        <w:numPr>
          <w:ilvl w:val="2"/>
          <w:numId w:val="2"/>
        </w:numPr>
        <w:spacing w:line="288" w:lineRule="auto"/>
        <w:ind w:left="1346.4566929133857"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Tonsillectomy ± Adenoidectomy</w:t>
      </w:r>
    </w:p>
    <w:p w:rsidR="00000000" w:rsidDel="00000000" w:rsidP="00000000" w:rsidRDefault="00000000" w:rsidRPr="00000000" w14:paraId="00000054">
      <w:pPr>
        <w:numPr>
          <w:ilvl w:val="2"/>
          <w:numId w:val="2"/>
        </w:numPr>
        <w:spacing w:line="288" w:lineRule="auto"/>
        <w:ind w:left="1346.4566929133857"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Middle ear surgery + opioid use</w:t>
      </w:r>
    </w:p>
    <w:p w:rsidR="00000000" w:rsidDel="00000000" w:rsidP="00000000" w:rsidRDefault="00000000" w:rsidRPr="00000000" w14:paraId="00000055">
      <w:pPr>
        <w:numPr>
          <w:ilvl w:val="2"/>
          <w:numId w:val="2"/>
        </w:numPr>
        <w:spacing w:line="288" w:lineRule="auto"/>
        <w:ind w:left="1346.4566929133857"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Previous history of PONV </w:t>
      </w:r>
    </w:p>
    <w:p w:rsidR="00000000" w:rsidDel="00000000" w:rsidP="00000000" w:rsidRDefault="00000000" w:rsidRPr="00000000" w14:paraId="00000056">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side effects: hyperglycaemia, restlessness, headache, blurred vision</w:t>
      </w:r>
    </w:p>
    <w:p w:rsidR="00000000" w:rsidDel="00000000" w:rsidP="00000000" w:rsidRDefault="00000000" w:rsidRPr="00000000" w14:paraId="00000057">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added advantage: can reduce pain</w:t>
      </w:r>
    </w:p>
    <w:p w:rsidR="00000000" w:rsidDel="00000000" w:rsidP="00000000" w:rsidRDefault="00000000" w:rsidRPr="00000000" w14:paraId="00000058">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contraindication: </w:t>
      </w:r>
      <w:r w:rsidDel="00000000" w:rsidR="00000000" w:rsidRPr="00000000">
        <w:rPr>
          <w:rFonts w:ascii="Tahoma" w:cs="Tahoma" w:eastAsia="Tahoma" w:hAnsi="Tahoma"/>
          <w:sz w:val="16"/>
          <w:szCs w:val="16"/>
          <w:u w:val="single"/>
          <w:rtl w:val="0"/>
        </w:rPr>
        <w:t xml:space="preserve">Dexamethasone must be used with care in oncology patients </w:t>
      </w:r>
      <w:r w:rsidDel="00000000" w:rsidR="00000000" w:rsidRPr="00000000">
        <w:rPr>
          <w:rFonts w:ascii="Tahoma" w:cs="Tahoma" w:eastAsia="Tahoma" w:hAnsi="Tahoma"/>
          <w:sz w:val="16"/>
          <w:szCs w:val="16"/>
          <w:rtl w:val="0"/>
        </w:rPr>
        <w:t xml:space="preserve">since it can be part of the chemotherapy regimen for leukaemia and lymphoma patients and can result in tumour lysis syndrome, or affect the efficacy of  CAR T-cell therapy.</w:t>
      </w:r>
    </w:p>
    <w:p w:rsidR="00000000" w:rsidDel="00000000" w:rsidP="00000000" w:rsidRDefault="00000000" w:rsidRPr="00000000" w14:paraId="00000059">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dexamethasone is contraindicated, then consider the use of oral aprepitant and ondansetron</w:t>
      </w:r>
    </w:p>
    <w:p w:rsidR="00000000" w:rsidDel="00000000" w:rsidP="00000000" w:rsidRDefault="00000000" w:rsidRPr="00000000" w14:paraId="0000005A">
      <w:pPr>
        <w:numPr>
          <w:ilvl w:val="0"/>
          <w:numId w:val="2"/>
        </w:numPr>
        <w:spacing w:line="288" w:lineRule="auto"/>
        <w:ind w:left="504" w:hanging="308"/>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Oral aprepitant 2 mg/kg (max 40 mg)</w:t>
      </w:r>
      <w:r w:rsidDel="00000000" w:rsidR="00000000" w:rsidRPr="00000000">
        <w:rPr>
          <w:rFonts w:ascii="Tahoma" w:cs="Tahoma" w:eastAsia="Tahoma" w:hAnsi="Tahoma"/>
          <w:sz w:val="16"/>
          <w:szCs w:val="16"/>
          <w:rtl w:val="0"/>
        </w:rPr>
        <w:t xml:space="preserve"> 1 hour before surgery.</w:t>
      </w:r>
    </w:p>
    <w:p w:rsidR="00000000" w:rsidDel="00000000" w:rsidP="00000000" w:rsidRDefault="00000000" w:rsidRPr="00000000" w14:paraId="0000005B">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 central NK1 receptor antagonist </w:t>
      </w:r>
    </w:p>
    <w:p w:rsidR="00000000" w:rsidDel="00000000" w:rsidP="00000000" w:rsidRDefault="00000000" w:rsidRPr="00000000" w14:paraId="0000005C">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Side effects: fatigue, headache, reduced appetite, constipation, dyspepsia, hiccups, flushing, diarrhoea, </w:t>
      </w:r>
    </w:p>
    <w:p w:rsidR="00000000" w:rsidDel="00000000" w:rsidP="00000000" w:rsidRDefault="00000000" w:rsidRPr="00000000" w14:paraId="0000005D">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be aware of CYP3A4 interactions such as with warfarin</w:t>
      </w:r>
      <w:r w:rsidDel="00000000" w:rsidR="00000000" w:rsidRPr="00000000">
        <w:rPr>
          <w:rtl w:val="0"/>
        </w:rPr>
      </w:r>
    </w:p>
    <w:p w:rsidR="00000000" w:rsidDel="00000000" w:rsidP="00000000" w:rsidRDefault="00000000" w:rsidRPr="00000000" w14:paraId="0000005E">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limited use if the patient is actively vomiting</w:t>
      </w:r>
    </w:p>
    <w:p w:rsidR="00000000" w:rsidDel="00000000" w:rsidP="00000000" w:rsidRDefault="00000000" w:rsidRPr="00000000" w14:paraId="0000005F">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patient is unable to take capsules and requires a syrup form, the pharmacist will require 2-3 hours to prepare the compounded formulation. So please ensure that  oral aprepitant is ordered early in SCM. Oral aprepitant will be compounded in aliquots of 20 mg/ml.</w:t>
      </w:r>
      <w:r w:rsidDel="00000000" w:rsidR="00000000" w:rsidRPr="00000000">
        <w:rPr>
          <w:rtl w:val="0"/>
        </w:rPr>
      </w:r>
    </w:p>
    <w:p w:rsidR="00000000" w:rsidDel="00000000" w:rsidP="00000000" w:rsidRDefault="00000000" w:rsidRPr="00000000" w14:paraId="00000060">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please order as a single order dose</w:t>
      </w:r>
      <w:r w:rsidDel="00000000" w:rsidR="00000000" w:rsidRPr="00000000">
        <w:rPr>
          <w:rtl w:val="0"/>
        </w:rPr>
      </w:r>
    </w:p>
    <w:p w:rsidR="00000000" w:rsidDel="00000000" w:rsidP="00000000" w:rsidRDefault="00000000" w:rsidRPr="00000000" w14:paraId="00000061">
      <w:pPr>
        <w:numPr>
          <w:ilvl w:val="1"/>
          <w:numId w:val="2"/>
        </w:numPr>
        <w:spacing w:line="288" w:lineRule="auto"/>
        <w:ind w:left="921.2598425196849"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oral aprepitant/ fosaprepitant should not be ordered until 72 hours after the last dose</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both"/>
        <w:rPr>
          <w:rFonts w:ascii="Tahoma" w:cs="Tahoma" w:eastAsia="Tahoma" w:hAnsi="Tahoma"/>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For high risk patient (3 or more risk factors)</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566.9291338582677"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double antiemetics</w:t>
      </w:r>
    </w:p>
    <w:p w:rsidR="00000000" w:rsidDel="00000000" w:rsidP="00000000" w:rsidRDefault="00000000" w:rsidRPr="00000000" w14:paraId="0000006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88" w:lineRule="auto"/>
        <w:ind w:left="921.2598425196849"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dexamethasone and ondansetron are contraindicated, use oral aprepitant 1-3 mg/kg up to a maximum of 125mg (this is the maximum dose per day)</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88" w:lineRule="auto"/>
        <w:ind w:left="921.2598425196849"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 use of TIVA with propofol</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566.9291338582677"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 use of oral aprepitant if dexamethasone or ondansetron is contraindicated</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9">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POST-OP PRESCRIPTION</w:t>
      </w:r>
    </w:p>
    <w:p w:rsidR="00000000" w:rsidDel="00000000" w:rsidP="00000000" w:rsidRDefault="00000000" w:rsidRPr="00000000" w14:paraId="0000006A">
      <w:pPr>
        <w:numPr>
          <w:ilvl w:val="0"/>
          <w:numId w:val="2"/>
        </w:numPr>
        <w:spacing w:line="288" w:lineRule="auto"/>
        <w:ind w:left="504" w:hanging="308"/>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 ondansetron 0.15 mg/kg 8 hourly/prn for:</w:t>
      </w:r>
    </w:p>
    <w:p w:rsidR="00000000" w:rsidDel="00000000" w:rsidP="00000000" w:rsidRDefault="00000000" w:rsidRPr="00000000" w14:paraId="0000006B">
      <w:pPr>
        <w:numPr>
          <w:ilvl w:val="1"/>
          <w:numId w:val="2"/>
        </w:numPr>
        <w:spacing w:line="288" w:lineRule="auto"/>
        <w:ind w:left="882" w:hanging="237.99999999999997"/>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ALL SDA and inpatients at risk of PONV</w:t>
      </w:r>
    </w:p>
    <w:p w:rsidR="00000000" w:rsidDel="00000000" w:rsidP="00000000" w:rsidRDefault="00000000" w:rsidRPr="00000000" w14:paraId="0000006C">
      <w:pPr>
        <w:numPr>
          <w:ilvl w:val="1"/>
          <w:numId w:val="2"/>
        </w:numPr>
        <w:spacing w:line="288" w:lineRule="auto"/>
        <w:ind w:left="882" w:hanging="237.99999999999997"/>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LL patients put on Acute Pain Service for PCA/NCA opioids and epidurals. (Order in the SCM along with Acute Pain Service orders)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6E">
      <w:pPr>
        <w:jc w:val="both"/>
        <w:rPr>
          <w:rFonts w:ascii="Tahoma" w:cs="Tahoma" w:eastAsia="Tahoma" w:hAnsi="Tahoma"/>
          <w:b w:val="1"/>
          <w:sz w:val="16"/>
          <w:szCs w:val="16"/>
          <w:u w:val="single"/>
        </w:rPr>
      </w:pPr>
      <w:r w:rsidDel="00000000" w:rsidR="00000000" w:rsidRPr="00000000">
        <w:rPr>
          <w:rtl w:val="0"/>
        </w:rPr>
      </w:r>
    </w:p>
    <w:p w:rsidR="00000000" w:rsidDel="00000000" w:rsidP="00000000" w:rsidRDefault="00000000" w:rsidRPr="00000000" w14:paraId="0000006F">
      <w:pPr>
        <w:jc w:val="both"/>
        <w:rPr>
          <w:rFonts w:ascii="Tahoma" w:cs="Tahoma" w:eastAsia="Tahoma" w:hAnsi="Tahoma"/>
          <w:b w:val="1"/>
          <w:sz w:val="16"/>
          <w:szCs w:val="16"/>
          <w:u w:val="single"/>
        </w:rPr>
      </w:pPr>
      <w:r w:rsidDel="00000000" w:rsidR="00000000" w:rsidRPr="00000000">
        <w:rPr>
          <w:rtl w:val="0"/>
        </w:rPr>
      </w:r>
    </w:p>
    <w:p w:rsidR="00000000" w:rsidDel="00000000" w:rsidP="00000000" w:rsidRDefault="00000000" w:rsidRPr="00000000" w14:paraId="00000070">
      <w:pPr>
        <w:jc w:val="both"/>
        <w:rPr>
          <w:rFonts w:ascii="Tahoma" w:cs="Tahoma" w:eastAsia="Tahoma" w:hAnsi="Tahoma"/>
          <w:b w:val="1"/>
          <w:sz w:val="16"/>
          <w:szCs w:val="16"/>
          <w:u w:val="single"/>
        </w:rPr>
      </w:pPr>
      <w:r w:rsidDel="00000000" w:rsidR="00000000" w:rsidRPr="00000000">
        <w:br w:type="page"/>
      </w:r>
      <w:r w:rsidDel="00000000" w:rsidR="00000000" w:rsidRPr="00000000">
        <w:rPr>
          <w:rtl w:val="0"/>
        </w:rPr>
      </w:r>
    </w:p>
    <w:p w:rsidR="00000000" w:rsidDel="00000000" w:rsidP="00000000" w:rsidRDefault="00000000" w:rsidRPr="00000000" w14:paraId="00000071">
      <w:pPr>
        <w:jc w:val="both"/>
        <w:rPr>
          <w:rFonts w:ascii="Tahoma" w:cs="Tahoma" w:eastAsia="Tahoma" w:hAnsi="Tahoma"/>
          <w:sz w:val="16"/>
          <w:szCs w:val="16"/>
          <w:u w:val="single"/>
        </w:rPr>
      </w:pPr>
      <w:sdt>
        <w:sdtPr>
          <w:tag w:val="goog_rdk_6"/>
        </w:sdtPr>
        <w:sdtContent>
          <w:r w:rsidDel="00000000" w:rsidR="00000000" w:rsidRPr="00000000">
            <w:rPr>
              <w:rFonts w:ascii="Arial Unicode MS" w:cs="Arial Unicode MS" w:eastAsia="Arial Unicode MS" w:hAnsi="Arial Unicode MS"/>
              <w:sz w:val="16"/>
              <w:szCs w:val="16"/>
              <w:u w:val="single"/>
              <w:rtl w:val="0"/>
            </w:rPr>
            <w:t xml:space="preserve">TREATMENT for established vomiting (defined as vomiting ≥ 2X post-op)</w:t>
          </w:r>
        </w:sdtContent>
      </w:sdt>
    </w:p>
    <w:p w:rsidR="00000000" w:rsidDel="00000000" w:rsidP="00000000" w:rsidRDefault="00000000" w:rsidRPr="00000000" w14:paraId="00000072">
      <w:pP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the patient has established vomiting despite PONV prophylactic antiemetic therapy, consider using an antiemetic from another class of drugs rather than repeat a dose of the antiemetic that has been administered within the past 6 hours. </w:t>
      </w:r>
    </w:p>
    <w:p w:rsidR="00000000" w:rsidDel="00000000" w:rsidP="00000000" w:rsidRDefault="00000000" w:rsidRPr="00000000" w14:paraId="00000073">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4">
      <w:pP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Besides adverse psychological, metabolic and physiological effects, persistent vomiting is an unpleasant event that may lead to dehydration, electrolyte imbalances, pulmonary aspiration and surgical complications like wound dehiscence. Prompt management is therefore required and should focus on both pharmacological and non-pharmacological management.</w:t>
      </w:r>
    </w:p>
    <w:p w:rsidR="00000000" w:rsidDel="00000000" w:rsidP="00000000" w:rsidRDefault="00000000" w:rsidRPr="00000000" w14:paraId="00000075">
      <w:pPr>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6">
      <w:pPr>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Pharmacological management</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546" w:right="0" w:hanging="322"/>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IV ondansetron 0.</w:t>
      </w:r>
      <w:r w:rsidDel="00000000" w:rsidR="00000000" w:rsidRPr="00000000">
        <w:rPr>
          <w:rFonts w:ascii="Tahoma" w:cs="Tahoma" w:eastAsia="Tahoma" w:hAnsi="Tahoma"/>
          <w:sz w:val="16"/>
          <w:szCs w:val="16"/>
          <w:rtl w:val="0"/>
        </w:rPr>
        <w:t xml:space="preserve">15</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mg/kg (max 8 mg)</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980" w:right="0" w:hanging="322"/>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If ondansetron has not been given</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546" w:right="0" w:hanging="322"/>
        <w:jc w:val="both"/>
        <w:rPr>
          <w:rFonts w:ascii="Tahoma" w:cs="Tahoma" w:eastAsia="Tahoma" w:hAnsi="Tahoma"/>
          <w:i w:val="0"/>
          <w:smallCaps w:val="0"/>
          <w:strike w:val="0"/>
          <w:color w:val="000000"/>
          <w:sz w:val="16"/>
          <w:szCs w:val="16"/>
          <w:shd w:fill="auto" w:val="clear"/>
          <w:vertAlign w:val="baseline"/>
        </w:rPr>
      </w:pP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IV dexamethasone 0.15 mg/kg (max </w:t>
      </w:r>
      <w:r w:rsidDel="00000000" w:rsidR="00000000" w:rsidRPr="00000000">
        <w:rPr>
          <w:rFonts w:ascii="Tahoma" w:cs="Tahoma" w:eastAsia="Tahoma" w:hAnsi="Tahoma"/>
          <w:sz w:val="16"/>
          <w:szCs w:val="16"/>
          <w:rtl w:val="0"/>
        </w:rPr>
        <w:t xml:space="preserve">8</w:t>
      </w:r>
      <w:r w:rsidDel="00000000" w:rsidR="00000000" w:rsidRPr="00000000">
        <w:rPr>
          <w:rFonts w:ascii="Tahoma" w:cs="Tahoma" w:eastAsia="Tahoma" w:hAnsi="Tahoma"/>
          <w:i w:val="0"/>
          <w:smallCaps w:val="0"/>
          <w:strike w:val="0"/>
          <w:color w:val="000000"/>
          <w:sz w:val="16"/>
          <w:szCs w:val="16"/>
          <w:u w:val="none"/>
          <w:shd w:fill="auto" w:val="clear"/>
          <w:vertAlign w:val="baseline"/>
          <w:rtl w:val="0"/>
        </w:rPr>
        <w:t xml:space="preserve"> mg) </w:t>
      </w:r>
      <w:r w:rsidDel="00000000" w:rsidR="00000000" w:rsidRPr="00000000">
        <w:rPr>
          <w:rtl w:val="0"/>
        </w:rPr>
      </w:r>
    </w:p>
    <w:p w:rsidR="00000000" w:rsidDel="00000000" w:rsidP="00000000" w:rsidRDefault="00000000" w:rsidRPr="00000000" w14:paraId="0000007A">
      <w:pPr>
        <w:numPr>
          <w:ilvl w:val="1"/>
          <w:numId w:val="2"/>
        </w:numPr>
        <w:spacing w:line="288" w:lineRule="auto"/>
        <w:ind w:left="98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only ondansetron has been given, and dexamethasone not given yet</w:t>
      </w:r>
    </w:p>
    <w:p w:rsidR="00000000" w:rsidDel="00000000" w:rsidP="00000000" w:rsidRDefault="00000000" w:rsidRPr="00000000" w14:paraId="0000007B">
      <w:pPr>
        <w:numPr>
          <w:ilvl w:val="1"/>
          <w:numId w:val="2"/>
        </w:numPr>
        <w:spacing w:line="288" w:lineRule="auto"/>
        <w:ind w:left="98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Ensure no contra-indications eg. Hyperglycaemia, systemic sepsis, tumours</w:t>
      </w:r>
      <w:r w:rsidDel="00000000" w:rsidR="00000000" w:rsidRPr="00000000">
        <w:rPr>
          <w:rtl w:val="0"/>
        </w:rPr>
      </w:r>
    </w:p>
    <w:p w:rsidR="00000000" w:rsidDel="00000000" w:rsidP="00000000" w:rsidRDefault="00000000" w:rsidRPr="00000000" w14:paraId="0000007C">
      <w:pPr>
        <w:numPr>
          <w:ilvl w:val="0"/>
          <w:numId w:val="2"/>
        </w:numPr>
        <w:spacing w:line="288" w:lineRule="auto"/>
        <w:ind w:left="546"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If vomiting persists despite the above measures, </w:t>
      </w:r>
      <w:r w:rsidDel="00000000" w:rsidR="00000000" w:rsidRPr="00000000">
        <w:rPr>
          <w:rFonts w:ascii="Tahoma" w:cs="Tahoma" w:eastAsia="Tahoma" w:hAnsi="Tahoma"/>
          <w:color w:val="ff0000"/>
          <w:sz w:val="16"/>
          <w:szCs w:val="16"/>
          <w:rtl w:val="0"/>
        </w:rPr>
        <w:t xml:space="preserve">call the consultant anaesthetist.</w:t>
      </w:r>
      <w:r w:rsidDel="00000000" w:rsidR="00000000" w:rsidRPr="00000000">
        <w:rPr>
          <w:rFonts w:ascii="Tahoma" w:cs="Tahoma" w:eastAsia="Tahoma" w:hAnsi="Tahoma"/>
          <w:sz w:val="16"/>
          <w:szCs w:val="16"/>
          <w:rtl w:val="0"/>
        </w:rPr>
        <w:t xml:space="preserve"> The following may be considered with discretion:</w:t>
      </w:r>
    </w:p>
    <w:p w:rsidR="00000000" w:rsidDel="00000000" w:rsidP="00000000" w:rsidRDefault="00000000" w:rsidRPr="00000000" w14:paraId="0000007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980" w:right="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 Diphenhydramine 0.5-1 mg/kg ( max 25 mg) </w:t>
      </w:r>
    </w:p>
    <w:p w:rsidR="00000000" w:rsidDel="00000000" w:rsidP="00000000" w:rsidRDefault="00000000" w:rsidRPr="00000000" w14:paraId="000000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side effects: sedation, urinary retention, dry mouth, blurred vision</w:t>
      </w:r>
    </w:p>
    <w:p w:rsidR="00000000" w:rsidDel="00000000" w:rsidP="00000000" w:rsidRDefault="00000000" w:rsidRPr="00000000" w14:paraId="000000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color w:val="ff0000"/>
          <w:sz w:val="16"/>
          <w:szCs w:val="16"/>
        </w:rPr>
      </w:pPr>
      <w:r w:rsidDel="00000000" w:rsidR="00000000" w:rsidRPr="00000000">
        <w:rPr>
          <w:rFonts w:ascii="Tahoma" w:cs="Tahoma" w:eastAsia="Tahoma" w:hAnsi="Tahoma"/>
          <w:color w:val="ff0000"/>
          <w:sz w:val="16"/>
          <w:szCs w:val="16"/>
          <w:rtl w:val="0"/>
        </w:rPr>
        <w:t xml:space="preserve">not to use post tonsillectomy or other airway surgery </w:t>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980" w:right="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 Metoclopramide 0.15-0.25mg/kg/dose 6h (maximum 0.5mg/kg/day or 30mg/ day) </w:t>
      </w:r>
    </w:p>
    <w:p w:rsidR="00000000" w:rsidDel="00000000" w:rsidP="00000000" w:rsidRDefault="00000000" w:rsidRPr="00000000" w14:paraId="000000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contraindicated in infants</w:t>
      </w:r>
    </w:p>
    <w:p w:rsidR="00000000" w:rsidDel="00000000" w:rsidP="00000000" w:rsidRDefault="00000000" w:rsidRPr="00000000" w14:paraId="0000008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consider for bilious vomiting</w:t>
      </w:r>
    </w:p>
    <w:p w:rsidR="00000000" w:rsidDel="00000000" w:rsidP="00000000" w:rsidRDefault="00000000" w:rsidRPr="00000000" w14:paraId="0000008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do not continue if ineffective; efficacy uncertain</w:t>
      </w:r>
    </w:p>
    <w:p w:rsidR="00000000" w:rsidDel="00000000" w:rsidP="00000000" w:rsidRDefault="00000000" w:rsidRPr="00000000" w14:paraId="0000008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side effects: extrapyramidal side effects seen more commonly in children</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980" w:right="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Transdermal Scopolamine patch (Hyoscine 1 mg/72hr once), may have a role in safely ameliorating PONV in adolescents, not in younger paediatric patients.</w:t>
      </w:r>
    </w:p>
    <w:p w:rsidR="00000000" w:rsidDel="00000000" w:rsidP="00000000" w:rsidRDefault="00000000" w:rsidRPr="00000000" w14:paraId="0000008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Not FDA approved for less than 12 years old.</w:t>
      </w:r>
    </w:p>
    <w:p w:rsidR="00000000" w:rsidDel="00000000" w:rsidP="00000000" w:rsidRDefault="00000000" w:rsidRPr="00000000" w14:paraId="0000008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side effects: dry mouth, dizziness, blurred vision</w:t>
      </w:r>
    </w:p>
    <w:p w:rsidR="00000000" w:rsidDel="00000000" w:rsidP="00000000" w:rsidRDefault="00000000" w:rsidRPr="00000000" w14:paraId="0000008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980" w:right="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 Propofol subhypnotic dose infusion (as rescue in PACU only, ordered by consultant anaesthetist)</w:t>
      </w:r>
    </w:p>
    <w:p w:rsidR="00000000" w:rsidDel="00000000" w:rsidP="00000000" w:rsidRDefault="00000000" w:rsidRPr="00000000" w14:paraId="0000008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980" w:right="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Oral aprepitant 2 mg/ kg (max 40 mg) may be considered although its efficacy for established vomiting is not well established. </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to be ordered only by associate consultant or equivalent and above</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dose not to be repeated before 72 hours of last dose of aprepitant/ iv fosaprepitant</w:t>
      </w:r>
      <w:r w:rsidDel="00000000" w:rsidR="00000000" w:rsidRPr="00000000">
        <w:rPr>
          <w:rtl w:val="0"/>
        </w:rPr>
      </w:r>
    </w:p>
    <w:p w:rsidR="00000000" w:rsidDel="00000000" w:rsidP="00000000" w:rsidRDefault="00000000" w:rsidRPr="00000000" w14:paraId="0000008C">
      <w:pPr>
        <w:numPr>
          <w:ilvl w:val="1"/>
          <w:numId w:val="2"/>
        </w:numPr>
        <w:spacing w:line="288" w:lineRule="auto"/>
        <w:ind w:left="144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Side effects: fatigue, headache, reduced appetite, constipation, dyspepsia, hiccups, flushing</w:t>
      </w:r>
    </w:p>
    <w:p w:rsidR="00000000" w:rsidDel="00000000" w:rsidP="00000000" w:rsidRDefault="00000000" w:rsidRPr="00000000" w14:paraId="0000008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980" w:right="0" w:hanging="322"/>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IV fosaprepitant 3 mg/kg (max 150mg)</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to be ordered only by associate consultant or equivalent and above</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not to be given within 72 hours of oral aprepitant</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Side effects: fatigue, headache, reduced appetite, constipation, dyspepsia, hiccups, flushing</w:t>
      </w:r>
      <w:r w:rsidDel="00000000" w:rsidR="00000000" w:rsidRPr="00000000">
        <w:rPr>
          <w:rtl w:val="0"/>
        </w:rPr>
      </w:r>
    </w:p>
    <w:p w:rsidR="00000000" w:rsidDel="00000000" w:rsidP="00000000" w:rsidRDefault="00000000" w:rsidRPr="00000000" w14:paraId="00000091">
      <w:pPr>
        <w:spacing w:line="288" w:lineRule="auto"/>
        <w:ind w:left="0" w:firstLine="0"/>
        <w:jc w:val="both"/>
        <w:rPr>
          <w:rFonts w:ascii="Tahoma" w:cs="Tahoma" w:eastAsia="Tahoma" w:hAnsi="Tahoma"/>
          <w:sz w:val="16"/>
          <w:szCs w:val="16"/>
        </w:rPr>
      </w:pPr>
      <w:r w:rsidDel="00000000" w:rsidR="00000000" w:rsidRPr="00000000">
        <w:rPr>
          <w:rtl w:val="0"/>
        </w:rPr>
      </w:r>
      <w:r w:rsidDel="00000000" w:rsidR="00000000" w:rsidRPr="00000000">
        <w:pict>
          <v:shape id="il_fi" style="position:absolute;left:0;text-align:left;margin-left:167.3370629370629pt;margin-top:0.8559440559440027pt;width:87.7pt;height:109.85pt;z-index:-251658240;visibility:visible;mso-position-horizontal:absolute;mso-position-vertical:absolute;mso-position-horizontal-relative:margin;mso-position-vertical-relative:text;" alt="Description: http://www.sysfix.co.uk/images/wordpress/uploads/2012/02/vomit-cartoon.gif" wrapcoords="-185 0 -185 21452 21600 21452 21600 0 -185 0" o:spid="_x0000_s1175" type="#_x0000_t75">
            <v:imagedata r:id="rId2" o:title="vomit-cartoon"/>
            <w10:wrap type="tight"/>
          </v:shape>
        </w:pict>
      </w:r>
    </w:p>
    <w:p w:rsidR="00000000" w:rsidDel="00000000" w:rsidP="00000000" w:rsidRDefault="00000000" w:rsidRPr="00000000" w14:paraId="00000092">
      <w:pPr>
        <w:spacing w:line="288" w:lineRule="auto"/>
        <w:ind w:left="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Non-pharmacological intervention</w:t>
      </w:r>
    </w:p>
    <w:p w:rsidR="00000000" w:rsidDel="00000000" w:rsidP="00000000" w:rsidRDefault="00000000" w:rsidRPr="00000000" w14:paraId="00000093">
      <w:pPr>
        <w:numPr>
          <w:ilvl w:val="0"/>
          <w:numId w:val="4"/>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hydration</w:t>
      </w:r>
    </w:p>
    <w:p w:rsidR="00000000" w:rsidDel="00000000" w:rsidP="00000000" w:rsidRDefault="00000000" w:rsidRPr="00000000" w14:paraId="00000094">
      <w:pPr>
        <w:numPr>
          <w:ilvl w:val="0"/>
          <w:numId w:val="4"/>
        </w:numPr>
        <w:spacing w:line="288" w:lineRule="auto"/>
        <w:ind w:left="72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acupressure point/ acustimulation: PC 6</w:t>
      </w:r>
    </w:p>
    <w:p w:rsidR="00000000" w:rsidDel="00000000" w:rsidP="00000000" w:rsidRDefault="00000000" w:rsidRPr="00000000" w14:paraId="00000095">
      <w:pPr>
        <w:spacing w:line="288" w:lineRule="auto"/>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7">
      <w:pPr>
        <w:spacing w:line="288" w:lineRule="auto"/>
        <w:jc w:val="center"/>
        <w:rPr>
          <w:rFonts w:ascii="Tahoma" w:cs="Tahoma" w:eastAsia="Tahoma" w:hAnsi="Tahoma"/>
          <w:sz w:val="16"/>
          <w:szCs w:val="16"/>
        </w:rPr>
      </w:pPr>
      <w:r w:rsidDel="00000000" w:rsidR="00000000" w:rsidRPr="00000000">
        <w:rPr>
          <w:rFonts w:ascii="Tahoma" w:cs="Tahoma" w:eastAsia="Tahoma" w:hAnsi="Tahoma"/>
          <w:sz w:val="16"/>
          <w:szCs w:val="16"/>
        </w:rPr>
        <w:drawing>
          <wp:inline distB="114300" distT="114300" distL="114300" distR="114300">
            <wp:extent cx="3052128" cy="27698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52128" cy="27698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88" w:lineRule="auto"/>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99">
      <w:pPr>
        <w:spacing w:line="288" w:lineRule="auto"/>
        <w:jc w:val="both"/>
        <w:rPr>
          <w:rFonts w:ascii="Tahoma" w:cs="Tahoma" w:eastAsia="Tahoma" w:hAnsi="Tahoma"/>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line="288" w:lineRule="auto"/>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References:</w:t>
      </w:r>
    </w:p>
    <w:p w:rsidR="00000000" w:rsidDel="00000000" w:rsidP="00000000" w:rsidRDefault="00000000" w:rsidRPr="00000000" w14:paraId="000000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i w:val="1"/>
          <w:smallCaps w:val="0"/>
          <w:strike w:val="0"/>
          <w:color w:val="000000"/>
          <w:sz w:val="16"/>
          <w:szCs w:val="16"/>
          <w:shd w:fill="auto" w:val="clear"/>
          <w:vertAlign w:val="baseline"/>
        </w:rPr>
      </w:pP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Management of postoperative nausea and vomiting in children. Paediatr</w:t>
      </w:r>
      <w:r w:rsidDel="00000000" w:rsidR="00000000" w:rsidRPr="00000000">
        <w:rPr>
          <w:rFonts w:ascii="Tahoma" w:cs="Tahoma" w:eastAsia="Tahoma" w:hAnsi="Tahoma"/>
          <w:i w:val="1"/>
          <w:sz w:val="16"/>
          <w:szCs w:val="16"/>
          <w:rtl w:val="0"/>
        </w:rPr>
        <w:t xml:space="preserve"> </w:t>
      </w:r>
      <w:r w:rsidDel="00000000" w:rsidR="00000000" w:rsidRPr="00000000">
        <w:rPr>
          <w:rFonts w:ascii="Tahoma" w:cs="Tahoma" w:eastAsia="Tahoma" w:hAnsi="Tahoma"/>
          <w:i w:val="1"/>
          <w:smallCaps w:val="0"/>
          <w:strike w:val="0"/>
          <w:color w:val="000000"/>
          <w:sz w:val="16"/>
          <w:szCs w:val="16"/>
          <w:u w:val="none"/>
          <w:shd w:fill="auto" w:val="clear"/>
          <w:vertAlign w:val="baseline"/>
          <w:rtl w:val="0"/>
        </w:rPr>
        <w:t xml:space="preserve">Drugs. 2007;9(1):47-69.</w:t>
      </w:r>
      <w:r w:rsidDel="00000000" w:rsidR="00000000" w:rsidRPr="00000000">
        <w:rPr>
          <w:rtl w:val="0"/>
        </w:rPr>
      </w:r>
    </w:p>
    <w:p w:rsidR="00000000" w:rsidDel="00000000" w:rsidP="00000000" w:rsidRDefault="00000000" w:rsidRPr="00000000" w14:paraId="0000009C">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Guidelines on the Prevention of Postoperative Vomiting in Children. APA guidelines 2009.</w:t>
      </w:r>
    </w:p>
    <w:p w:rsidR="00000000" w:rsidDel="00000000" w:rsidP="00000000" w:rsidRDefault="00000000" w:rsidRPr="00000000" w14:paraId="0000009D">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The development and validation of a risk score to predict the probability of postoperative vomiting in pediatric patients. Anesth Analg 2004;99:1630–7</w:t>
      </w:r>
    </w:p>
    <w:p w:rsidR="00000000" w:rsidDel="00000000" w:rsidP="00000000" w:rsidRDefault="00000000" w:rsidRPr="00000000" w14:paraId="0000009E">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A prospective evaluation of the POVOC score for prediction of postoperative vomiting in children Anesth Analg 2007; 105:1592-7</w:t>
      </w:r>
    </w:p>
    <w:p w:rsidR="00000000" w:rsidDel="00000000" w:rsidP="00000000" w:rsidRDefault="00000000" w:rsidRPr="00000000" w14:paraId="0000009F">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Consensus guidelines for the management of postoperative nausea and vomiting. Anesth Analg. 2014 Jan;118 (1):85-113.</w:t>
      </w:r>
    </w:p>
    <w:p w:rsidR="00000000" w:rsidDel="00000000" w:rsidP="00000000" w:rsidRDefault="00000000" w:rsidRPr="00000000" w14:paraId="000000A0">
      <w:pPr>
        <w:numPr>
          <w:ilvl w:val="0"/>
          <w:numId w:val="5"/>
        </w:numPr>
        <w:spacing w:line="288" w:lineRule="auto"/>
        <w:ind w:left="720" w:hanging="360"/>
        <w:jc w:val="both"/>
        <w:rPr>
          <w:rFonts w:ascii="Tahoma" w:cs="Tahoma" w:eastAsia="Tahoma" w:hAnsi="Tahoma"/>
          <w:i w:val="1"/>
          <w:sz w:val="16"/>
          <w:szCs w:val="16"/>
        </w:rPr>
      </w:pPr>
      <w:hyperlink r:id="rId9">
        <w:r w:rsidDel="00000000" w:rsidR="00000000" w:rsidRPr="00000000">
          <w:rPr>
            <w:rFonts w:ascii="Tahoma" w:cs="Tahoma" w:eastAsia="Tahoma" w:hAnsi="Tahoma"/>
            <w:i w:val="1"/>
            <w:color w:val="1155cc"/>
            <w:sz w:val="16"/>
            <w:szCs w:val="16"/>
            <w:u w:val="single"/>
            <w:rtl w:val="0"/>
          </w:rPr>
          <w:t xml:space="preserve">Paediatric Postoperative Vomiting : Virtual Library</w:t>
        </w:r>
      </w:hyperlink>
      <w:r w:rsidDel="00000000" w:rsidR="00000000" w:rsidRPr="00000000">
        <w:rPr>
          <w:rtl w:val="0"/>
        </w:rPr>
      </w:r>
    </w:p>
    <w:p w:rsidR="00000000" w:rsidDel="00000000" w:rsidP="00000000" w:rsidRDefault="00000000" w:rsidRPr="00000000" w14:paraId="000000A1">
      <w:pPr>
        <w:numPr>
          <w:ilvl w:val="0"/>
          <w:numId w:val="5"/>
        </w:numPr>
        <w:spacing w:line="288" w:lineRule="auto"/>
        <w:ind w:left="720" w:hanging="360"/>
        <w:jc w:val="both"/>
        <w:rPr>
          <w:rFonts w:ascii="Tahoma" w:cs="Tahoma" w:eastAsia="Tahoma" w:hAnsi="Tahoma"/>
          <w:i w:val="1"/>
          <w:sz w:val="16"/>
          <w:szCs w:val="16"/>
        </w:rPr>
      </w:pPr>
      <w:hyperlink r:id="rId10">
        <w:r w:rsidDel="00000000" w:rsidR="00000000" w:rsidRPr="00000000">
          <w:rPr>
            <w:rFonts w:ascii="Tahoma" w:cs="Tahoma" w:eastAsia="Tahoma" w:hAnsi="Tahoma"/>
            <w:i w:val="1"/>
            <w:sz w:val="16"/>
            <w:szCs w:val="16"/>
            <w:rtl w:val="0"/>
          </w:rPr>
          <w:t xml:space="preserve">https://www.rch.org.au/anaes/pain_management/</w:t>
        </w:r>
      </w:hyperlink>
      <w:r w:rsidDel="00000000" w:rsidR="00000000" w:rsidRPr="00000000">
        <w:rPr>
          <w:rtl w:val="0"/>
        </w:rPr>
      </w:r>
    </w:p>
    <w:p w:rsidR="00000000" w:rsidDel="00000000" w:rsidP="00000000" w:rsidRDefault="00000000" w:rsidRPr="00000000" w14:paraId="000000A2">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Gan, TJ,  Belani, KG, Bergese, S et al.Fourth Consensus Guidelines for the Management of Postoperative Nausea and Vomiting. Anesthesia &amp; Analgesia 131(2):p 411-448, August 2020</w:t>
      </w:r>
    </w:p>
    <w:p w:rsidR="00000000" w:rsidDel="00000000" w:rsidP="00000000" w:rsidRDefault="00000000" w:rsidRPr="00000000" w14:paraId="000000A3">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Elvir-Lazo OL, White PF, Yumul R, Cruz Eng H. Management strategies for the treatment and prevention of postoperative/postdischarge nausea and vomiting: an updated review. F1000Res. 2020 Aug 13;9:F1000 Faculty Rev-983. doi: 10.12688/f1000research.21832.1.</w:t>
      </w:r>
    </w:p>
    <w:p w:rsidR="00000000" w:rsidDel="00000000" w:rsidP="00000000" w:rsidRDefault="00000000" w:rsidRPr="00000000" w14:paraId="000000A4">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Kovac AL. Postoperative Nausea and Vomiting in Pediatric Patients. Paediatr Drugs. 2021 Jan;23(1):11-37. doi: 10.1007/s40272-020-00424-0. Epub 2020 Oct 27.</w:t>
      </w:r>
    </w:p>
    <w:p w:rsidR="00000000" w:rsidDel="00000000" w:rsidP="00000000" w:rsidRDefault="00000000" w:rsidRPr="00000000" w14:paraId="000000A5">
      <w:pPr>
        <w:numPr>
          <w:ilvl w:val="0"/>
          <w:numId w:val="5"/>
        </w:numPr>
        <w:spacing w:line="288" w:lineRule="auto"/>
        <w:ind w:left="720" w:hanging="36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Martin S, Baines D, Holtby H, Carr AS. Guidelines on the Prevention of Post-operative Vomiting in Children. The Association of Paediatric Anaesthetists of Great Britain and Ireland.  </w:t>
      </w:r>
    </w:p>
    <w:sectPr>
      <w:headerReference r:id="rId11" w:type="default"/>
      <w:headerReference r:id="rId12" w:type="first"/>
      <w:headerReference r:id="rId13" w:type="even"/>
      <w:footerReference r:id="rId14" w:type="default"/>
      <w:footerReference r:id="rId15" w:type="first"/>
      <w:footerReference r:id="rId16" w:type="even"/>
      <w:pgSz w:h="8640" w:w="5760" w:orient="portrait"/>
      <w:pgMar w:bottom="567" w:top="567" w:left="284" w:right="284" w:header="284"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omic Sans MS"/>
  <w:font w:name="Times New Roman"/>
  <w:font w:name="Courier New"/>
  <w:font w:name="Tahoma">
    <w:embedRegular w:fontKey="{00000000-0000-0000-0000-000000000000}" r:id="rId1" w:subsetted="0"/>
    <w:embedBold w:fontKey="{00000000-0000-0000-0000-000000000000}" r:id="rId3" w:subsetted="0"/>
  </w:font>
  <w:font w:name="Permanent Marker">
    <w:embedRegular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mic Sans MS" w:cs="Comic Sans MS" w:eastAsia="Comic Sans MS" w:hAnsi="Comic Sans MS"/>
        <w:b w:val="1"/>
        <w:i w:val="0"/>
        <w:smallCaps w:val="0"/>
        <w:strike w:val="0"/>
        <w:color w:val="000000"/>
        <w:sz w:val="14"/>
        <w:szCs w:val="14"/>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mic Sans MS" w:cs="Comic Sans MS" w:eastAsia="Comic Sans MS" w:hAnsi="Comic Sans MS"/>
        <w:b w:val="1"/>
        <w:i w:val="0"/>
        <w:smallCaps w:val="0"/>
        <w:strike w:val="0"/>
        <w:color w:val="666699"/>
        <w:sz w:val="14"/>
        <w:szCs w:val="14"/>
        <w:u w:val="none"/>
        <w:shd w:fill="auto" w:val="clear"/>
        <w:vertAlign w:val="baseline"/>
      </w:rPr>
    </w:pPr>
    <w:r w:rsidDel="00000000" w:rsidR="00000000" w:rsidRPr="00000000">
      <w:rPr>
        <w:rFonts w:ascii="Comic Sans MS" w:cs="Comic Sans MS" w:eastAsia="Comic Sans MS" w:hAnsi="Comic Sans MS"/>
        <w:b w:val="1"/>
        <w:i w:val="0"/>
        <w:smallCaps w:val="0"/>
        <w:strike w:val="0"/>
        <w:color w:val="666699"/>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i w:val="0"/>
        <w:smallCaps w:val="1"/>
        <w:strike w:val="0"/>
        <w:color w:val="808080"/>
        <w:sz w:val="16"/>
        <w:szCs w:val="16"/>
        <w:u w:val="none"/>
        <w:shd w:fill="auto" w:val="clear"/>
        <w:vertAlign w:val="baseline"/>
      </w:rPr>
    </w:pPr>
    <w:bookmarkStart w:colFirst="0" w:colLast="0" w:name="_heading=h.gjdgxs" w:id="0"/>
    <w:bookmarkEnd w:id="0"/>
    <w:r w:rsidDel="00000000" w:rsidR="00000000" w:rsidRPr="00000000">
      <w:rPr>
        <w:rFonts w:ascii="Permanent Marker" w:cs="Permanent Marker" w:eastAsia="Permanent Marker" w:hAnsi="Permanent Marker"/>
        <w:b w:val="1"/>
        <w:i w:val="0"/>
        <w:smallCaps w:val="1"/>
        <w:strike w:val="0"/>
        <w:color w:val="808080"/>
        <w:sz w:val="16"/>
        <w:szCs w:val="16"/>
        <w:u w:val="none"/>
        <w:shd w:fill="auto" w:val="clear"/>
        <w:vertAlign w:val="baseline"/>
        <w:rtl w:val="0"/>
      </w:rPr>
      <w:t xml:space="preserve">Paediatric Anaesthesia</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Permanent Marker" w:cs="Permanent Marker" w:eastAsia="Permanent Marker" w:hAnsi="Permanent Marker"/>
        <w:b w:val="1"/>
        <w:smallCaps w:val="1"/>
        <w:color w:val="808080"/>
        <w:sz w:val="16"/>
        <w:szCs w:val="16"/>
      </w:rPr>
    </w:pPr>
    <w:bookmarkStart w:colFirst="0" w:colLast="0" w:name="_heading=h.ixn5b5fgntqk" w:id="1"/>
    <w:bookmarkEnd w:id="1"/>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916" w:hanging="360"/>
      </w:pPr>
      <w:rPr/>
    </w:lvl>
    <w:lvl w:ilvl="1">
      <w:start w:val="1"/>
      <w:numFmt w:val="lowerLetter"/>
      <w:lvlText w:val="%2."/>
      <w:lvlJc w:val="left"/>
      <w:pPr>
        <w:ind w:left="1636" w:hanging="360"/>
      </w:pPr>
      <w:rPr/>
    </w:lvl>
    <w:lvl w:ilvl="2">
      <w:start w:val="1"/>
      <w:numFmt w:val="lowerRoman"/>
      <w:lvlText w:val="%3."/>
      <w:lvlJc w:val="right"/>
      <w:pPr>
        <w:ind w:left="2356" w:hanging="180"/>
      </w:pPr>
      <w:rPr/>
    </w:lvl>
    <w:lvl w:ilvl="3">
      <w:start w:val="1"/>
      <w:numFmt w:val="decimal"/>
      <w:lvlText w:val="%4."/>
      <w:lvlJc w:val="left"/>
      <w:pPr>
        <w:ind w:left="3076" w:hanging="360"/>
      </w:pPr>
      <w:rPr/>
    </w:lvl>
    <w:lvl w:ilvl="4">
      <w:start w:val="1"/>
      <w:numFmt w:val="lowerLetter"/>
      <w:lvlText w:val="%5."/>
      <w:lvlJc w:val="left"/>
      <w:pPr>
        <w:ind w:left="3796" w:hanging="360"/>
      </w:pPr>
      <w:rPr/>
    </w:lvl>
    <w:lvl w:ilvl="5">
      <w:start w:val="1"/>
      <w:numFmt w:val="lowerRoman"/>
      <w:lvlText w:val="%6."/>
      <w:lvlJc w:val="right"/>
      <w:pPr>
        <w:ind w:left="4516" w:hanging="180"/>
      </w:pPr>
      <w:rPr/>
    </w:lvl>
    <w:lvl w:ilvl="6">
      <w:start w:val="1"/>
      <w:numFmt w:val="decimal"/>
      <w:lvlText w:val="%7."/>
      <w:lvlJc w:val="left"/>
      <w:pPr>
        <w:ind w:left="5236" w:hanging="360"/>
      </w:pPr>
      <w:rPr/>
    </w:lvl>
    <w:lvl w:ilvl="7">
      <w:start w:val="1"/>
      <w:numFmt w:val="lowerLetter"/>
      <w:lvlText w:val="%8."/>
      <w:lvlJc w:val="left"/>
      <w:pPr>
        <w:ind w:left="5956" w:hanging="360"/>
      </w:pPr>
      <w:rPr/>
    </w:lvl>
    <w:lvl w:ilvl="8">
      <w:start w:val="1"/>
      <w:numFmt w:val="lowerRoman"/>
      <w:lvlText w:val="%9."/>
      <w:lvlJc w:val="right"/>
      <w:pPr>
        <w:ind w:left="6676"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b w:val="1"/>
      <w:smallCaps w:val="1"/>
      <w:sz w:val="18"/>
      <w:szCs w:val="18"/>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Normal" w:default="1">
    <w:name w:val="Normal"/>
    <w:qFormat w:val="1"/>
    <w:rsid w:val="00282A46"/>
    <w:rPr>
      <w:sz w:val="24"/>
      <w:lang w:eastAsia="en-US"/>
    </w:rPr>
  </w:style>
  <w:style w:type="paragraph" w:styleId="Heading1">
    <w:name w:val="heading 1"/>
    <w:basedOn w:val="Normal"/>
    <w:next w:val="Normal"/>
    <w:qFormat w:val="1"/>
    <w:rsid w:val="00282A46"/>
    <w:pPr>
      <w:keepNext w:val="1"/>
      <w:outlineLvl w:val="0"/>
    </w:pPr>
    <w:rPr>
      <w:noProof w:val="1"/>
      <w:sz w:val="28"/>
    </w:rPr>
  </w:style>
  <w:style w:type="paragraph" w:styleId="Heading2">
    <w:name w:val="heading 2"/>
    <w:basedOn w:val="Normal"/>
    <w:next w:val="Normal"/>
    <w:qFormat w:val="1"/>
    <w:rsid w:val="00282A46"/>
    <w:pPr>
      <w:keepNext w:val="1"/>
      <w:outlineLvl w:val="1"/>
    </w:pPr>
    <w:rPr>
      <w:b w:val="1"/>
      <w:caps w:val="1"/>
      <w:noProof w:val="1"/>
      <w:sz w:val="18"/>
    </w:rPr>
  </w:style>
  <w:style w:type="paragraph" w:styleId="Heading3">
    <w:name w:val="heading 3"/>
    <w:basedOn w:val="Normal"/>
    <w:next w:val="Normal"/>
    <w:qFormat w:val="1"/>
    <w:rsid w:val="00282A46"/>
    <w:pPr>
      <w:keepNext w:val="1"/>
      <w:outlineLvl w:val="2"/>
    </w:pPr>
    <w:rPr>
      <w:rFonts w:ascii="Arial" w:eastAsia="Arial Unicode MS" w:hAnsi="Arial"/>
      <w:b w:val="1"/>
      <w:color w:val="3366ff"/>
      <w:sz w:val="18"/>
    </w:rPr>
  </w:style>
  <w:style w:type="paragraph" w:styleId="Heading4">
    <w:name w:val="heading 4"/>
    <w:basedOn w:val="Normal"/>
    <w:next w:val="Normal"/>
    <w:qFormat w:val="1"/>
    <w:rsid w:val="00282A46"/>
    <w:pPr>
      <w:keepNext w:val="1"/>
      <w:outlineLvl w:val="3"/>
    </w:pPr>
    <w:rPr>
      <w:b w:val="1"/>
      <w:caps w:val="1"/>
      <w:noProof w:val="1"/>
      <w:sz w:val="20"/>
    </w:rPr>
  </w:style>
  <w:style w:type="paragraph" w:styleId="Heading5">
    <w:name w:val="heading 5"/>
    <w:basedOn w:val="Normal"/>
    <w:next w:val="Normal"/>
    <w:qFormat w:val="1"/>
    <w:rsid w:val="00282A46"/>
    <w:pPr>
      <w:keepNext w:val="1"/>
      <w:spacing w:line="288" w:lineRule="auto"/>
      <w:outlineLvl w:val="4"/>
    </w:pPr>
    <w:rPr>
      <w:rFonts w:ascii="Arial" w:eastAsia="Arial Unicode MS" w:hAnsi="Arial"/>
      <w:b w:val="1"/>
      <w:sz w:val="16"/>
    </w:rPr>
  </w:style>
  <w:style w:type="paragraph" w:styleId="Heading6">
    <w:name w:val="heading 6"/>
    <w:basedOn w:val="Normal"/>
    <w:next w:val="Normal"/>
    <w:qFormat w:val="1"/>
    <w:rsid w:val="00282A46"/>
    <w:pPr>
      <w:keepNext w:val="1"/>
      <w:spacing w:line="288" w:lineRule="auto"/>
      <w:outlineLvl w:val="5"/>
    </w:pPr>
    <w:rPr>
      <w:rFonts w:ascii="Arial" w:eastAsia="Arial Unicode MS" w:hAnsi="Arial"/>
      <w:sz w:val="15"/>
      <w:u w:val="single"/>
    </w:rPr>
  </w:style>
  <w:style w:type="paragraph" w:styleId="Heading7">
    <w:name w:val="heading 7"/>
    <w:basedOn w:val="Normal"/>
    <w:next w:val="Normal"/>
    <w:qFormat w:val="1"/>
    <w:rsid w:val="00282A46"/>
    <w:pPr>
      <w:keepNext w:val="1"/>
      <w:spacing w:line="288" w:lineRule="auto"/>
      <w:outlineLvl w:val="6"/>
    </w:pPr>
    <w:rPr>
      <w:rFonts w:ascii="Arial" w:eastAsia="Arial Unicode MS" w:hAnsi="Arial"/>
      <w:color w:val="3366ff"/>
      <w:sz w:val="16"/>
      <w:u w:val="single"/>
    </w:rPr>
  </w:style>
  <w:style w:type="paragraph" w:styleId="Heading8">
    <w:name w:val="heading 8"/>
    <w:basedOn w:val="Normal"/>
    <w:next w:val="Normal"/>
    <w:qFormat w:val="1"/>
    <w:rsid w:val="00282A46"/>
    <w:pPr>
      <w:keepNext w:val="1"/>
      <w:spacing w:line="360" w:lineRule="auto"/>
      <w:outlineLvl w:val="7"/>
    </w:pPr>
    <w:rPr>
      <w:rFonts w:ascii="Arial" w:eastAsia="Arial Unicode MS" w:hAnsi="Arial"/>
      <w:b w:val="1"/>
      <w:sz w:val="15"/>
    </w:rPr>
  </w:style>
  <w:style w:type="paragraph" w:styleId="Heading9">
    <w:name w:val="heading 9"/>
    <w:basedOn w:val="Normal"/>
    <w:next w:val="Normal"/>
    <w:qFormat w:val="1"/>
    <w:rsid w:val="00282A46"/>
    <w:pPr>
      <w:keepNext w:val="1"/>
      <w:spacing w:line="288" w:lineRule="auto"/>
      <w:outlineLvl w:val="8"/>
    </w:pPr>
    <w:rPr>
      <w:rFonts w:ascii="Arial" w:hAnsi="Arial"/>
      <w:b w:val="1"/>
      <w:color w:val="000000"/>
      <w:sz w:val="15"/>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rsid w:val="00282A46"/>
    <w:pPr>
      <w:jc w:val="both"/>
    </w:pPr>
    <w:rPr>
      <w:rFonts w:ascii="Arial" w:hAnsi="Arial"/>
      <w:sz w:val="22"/>
    </w:rPr>
  </w:style>
  <w:style w:type="paragraph" w:styleId="BodyText2">
    <w:name w:val="Body Text 2"/>
    <w:basedOn w:val="Normal"/>
    <w:semiHidden w:val="1"/>
    <w:rsid w:val="00282A46"/>
    <w:rPr>
      <w:noProof w:val="1"/>
      <w:sz w:val="18"/>
    </w:rPr>
  </w:style>
  <w:style w:type="paragraph" w:styleId="BodyTextIndent">
    <w:name w:val="Body Text Indent"/>
    <w:basedOn w:val="Normal"/>
    <w:semiHidden w:val="1"/>
    <w:rsid w:val="00282A46"/>
    <w:pPr>
      <w:ind w:left="720" w:hanging="720"/>
      <w:jc w:val="both"/>
    </w:pPr>
    <w:rPr>
      <w:sz w:val="22"/>
      <w:lang w:val="en-GB"/>
    </w:rPr>
  </w:style>
  <w:style w:type="paragraph" w:styleId="BodyTextIndent2">
    <w:name w:val="Body Text Indent 2"/>
    <w:basedOn w:val="Normal"/>
    <w:semiHidden w:val="1"/>
    <w:rsid w:val="00282A46"/>
    <w:pPr>
      <w:ind w:left="720" w:hanging="360"/>
    </w:pPr>
    <w:rPr>
      <w:sz w:val="20"/>
      <w:lang w:val="en-GB"/>
    </w:rPr>
  </w:style>
  <w:style w:type="paragraph" w:styleId="BodyText3">
    <w:name w:val="Body Text 3"/>
    <w:basedOn w:val="Normal"/>
    <w:semiHidden w:val="1"/>
    <w:rsid w:val="00282A46"/>
    <w:pPr>
      <w:jc w:val="both"/>
    </w:pPr>
    <w:rPr>
      <w:rFonts w:ascii="Arial Unicode MS" w:eastAsia="Arial Unicode MS" w:hAnsi="Arial Unicode MS"/>
      <w:sz w:val="16"/>
    </w:rPr>
  </w:style>
  <w:style w:type="paragraph" w:styleId="Header">
    <w:name w:val="header"/>
    <w:basedOn w:val="Normal"/>
    <w:semiHidden w:val="1"/>
    <w:rsid w:val="00282A46"/>
    <w:pPr>
      <w:tabs>
        <w:tab w:val="center" w:pos="4320"/>
        <w:tab w:val="right" w:pos="8640"/>
      </w:tabs>
    </w:pPr>
    <w:rPr>
      <w:rFonts w:ascii="Arial" w:hAnsi="Arial"/>
      <w:sz w:val="22"/>
      <w:lang w:val="en-GB"/>
    </w:rPr>
  </w:style>
  <w:style w:type="paragraph" w:styleId="Title">
    <w:name w:val="Title"/>
    <w:basedOn w:val="Normal"/>
    <w:qFormat w:val="1"/>
    <w:rsid w:val="00282A46"/>
    <w:pPr>
      <w:jc w:val="center"/>
    </w:pPr>
    <w:rPr>
      <w:rFonts w:ascii="Tahoma" w:hAnsi="Tahoma"/>
      <w:b w:val="1"/>
      <w:color w:val="3366ff"/>
      <w:sz w:val="18"/>
    </w:rPr>
  </w:style>
  <w:style w:type="paragraph" w:styleId="BodyTextIndent3">
    <w:name w:val="Body Text Indent 3"/>
    <w:basedOn w:val="Normal"/>
    <w:semiHidden w:val="1"/>
    <w:rsid w:val="00282A46"/>
    <w:pPr>
      <w:ind w:left="-360" w:firstLine="720"/>
    </w:pPr>
    <w:rPr>
      <w:rFonts w:ascii="Arial" w:hAnsi="Arial"/>
      <w:color w:val="000000"/>
      <w:sz w:val="15"/>
    </w:rPr>
  </w:style>
  <w:style w:type="paragraph" w:styleId="Footer">
    <w:name w:val="footer"/>
    <w:basedOn w:val="Normal"/>
    <w:link w:val="FooterChar"/>
    <w:uiPriority w:val="99"/>
    <w:rsid w:val="00282A46"/>
    <w:pPr>
      <w:tabs>
        <w:tab w:val="center" w:pos="4320"/>
        <w:tab w:val="right" w:pos="8640"/>
      </w:tabs>
    </w:pPr>
  </w:style>
  <w:style w:type="character" w:styleId="PageNumber">
    <w:name w:val="page number"/>
    <w:semiHidden w:val="1"/>
    <w:rsid w:val="00282A46"/>
    <w:rPr>
      <w:rFonts w:ascii="Comic Sans MS" w:hAnsi="Comic Sans MS"/>
      <w:b w:val="1"/>
      <w:color w:val="666699"/>
      <w:sz w:val="14"/>
    </w:rPr>
  </w:style>
  <w:style w:type="paragraph" w:styleId="DocumentMap">
    <w:name w:val="Document Map"/>
    <w:basedOn w:val="Normal"/>
    <w:semiHidden w:val="1"/>
    <w:rsid w:val="00282A46"/>
    <w:pPr>
      <w:shd w:color="auto" w:fill="000080" w:val="clear"/>
    </w:pPr>
    <w:rPr>
      <w:rFonts w:ascii="Tahoma" w:hAnsi="Tahoma"/>
    </w:rPr>
  </w:style>
  <w:style w:type="character" w:styleId="Hyperlink">
    <w:name w:val="Hyperlink"/>
    <w:semiHidden w:val="1"/>
    <w:rsid w:val="00282A46"/>
    <w:rPr>
      <w:color w:val="0000ff"/>
      <w:u w:val="single"/>
    </w:rPr>
  </w:style>
  <w:style w:type="paragraph" w:styleId="NormalWeb">
    <w:name w:val="Normal (Web)"/>
    <w:basedOn w:val="Normal"/>
    <w:uiPriority w:val="99"/>
    <w:rsid w:val="00282A46"/>
    <w:pPr>
      <w:spacing w:after="100" w:afterAutospacing="1" w:before="100" w:beforeAutospacing="1"/>
    </w:pPr>
    <w:rPr>
      <w:rFonts w:eastAsia="SimSun"/>
      <w:lang w:eastAsia="zh-CN"/>
    </w:rPr>
  </w:style>
  <w:style w:type="character" w:styleId="Strong">
    <w:name w:val="Strong"/>
    <w:qFormat w:val="1"/>
    <w:rsid w:val="00282A46"/>
    <w:rPr>
      <w:b w:val="1"/>
    </w:rPr>
  </w:style>
  <w:style w:type="character" w:styleId="Emphasis">
    <w:name w:val="Emphasis"/>
    <w:qFormat w:val="1"/>
    <w:rsid w:val="00282A46"/>
    <w:rPr>
      <w:i w:val="1"/>
    </w:rPr>
  </w:style>
  <w:style w:type="paragraph" w:styleId="Index1">
    <w:name w:val="index 1"/>
    <w:basedOn w:val="Normal"/>
    <w:next w:val="Normal"/>
    <w:autoRedefine w:val="1"/>
    <w:semiHidden w:val="1"/>
    <w:rsid w:val="00282A46"/>
    <w:pPr>
      <w:ind w:left="240" w:hanging="240"/>
    </w:pPr>
  </w:style>
  <w:style w:type="paragraph" w:styleId="Index2">
    <w:name w:val="index 2"/>
    <w:basedOn w:val="Normal"/>
    <w:next w:val="Normal"/>
    <w:autoRedefine w:val="1"/>
    <w:semiHidden w:val="1"/>
    <w:rsid w:val="00282A46"/>
    <w:pPr>
      <w:ind w:left="480" w:hanging="240"/>
    </w:pPr>
  </w:style>
  <w:style w:type="paragraph" w:styleId="Index3">
    <w:name w:val="index 3"/>
    <w:basedOn w:val="Normal"/>
    <w:next w:val="Normal"/>
    <w:autoRedefine w:val="1"/>
    <w:semiHidden w:val="1"/>
    <w:rsid w:val="00282A46"/>
    <w:pPr>
      <w:ind w:left="720" w:hanging="240"/>
    </w:pPr>
  </w:style>
  <w:style w:type="paragraph" w:styleId="Index4">
    <w:name w:val="index 4"/>
    <w:basedOn w:val="Normal"/>
    <w:next w:val="Normal"/>
    <w:autoRedefine w:val="1"/>
    <w:semiHidden w:val="1"/>
    <w:rsid w:val="00282A46"/>
    <w:pPr>
      <w:ind w:left="960" w:hanging="240"/>
    </w:pPr>
  </w:style>
  <w:style w:type="paragraph" w:styleId="Index5">
    <w:name w:val="index 5"/>
    <w:basedOn w:val="Normal"/>
    <w:next w:val="Normal"/>
    <w:autoRedefine w:val="1"/>
    <w:semiHidden w:val="1"/>
    <w:rsid w:val="00282A46"/>
    <w:pPr>
      <w:ind w:left="1200" w:hanging="240"/>
    </w:pPr>
  </w:style>
  <w:style w:type="paragraph" w:styleId="Index6">
    <w:name w:val="index 6"/>
    <w:basedOn w:val="Normal"/>
    <w:next w:val="Normal"/>
    <w:autoRedefine w:val="1"/>
    <w:semiHidden w:val="1"/>
    <w:rsid w:val="00282A46"/>
    <w:pPr>
      <w:ind w:left="1440" w:hanging="240"/>
    </w:pPr>
  </w:style>
  <w:style w:type="paragraph" w:styleId="Index7">
    <w:name w:val="index 7"/>
    <w:basedOn w:val="Normal"/>
    <w:next w:val="Normal"/>
    <w:autoRedefine w:val="1"/>
    <w:semiHidden w:val="1"/>
    <w:rsid w:val="00282A46"/>
    <w:pPr>
      <w:ind w:left="1680" w:hanging="240"/>
    </w:pPr>
  </w:style>
  <w:style w:type="paragraph" w:styleId="Index8">
    <w:name w:val="index 8"/>
    <w:basedOn w:val="Normal"/>
    <w:next w:val="Normal"/>
    <w:autoRedefine w:val="1"/>
    <w:semiHidden w:val="1"/>
    <w:rsid w:val="00282A46"/>
    <w:pPr>
      <w:ind w:left="1920" w:hanging="240"/>
    </w:pPr>
  </w:style>
  <w:style w:type="paragraph" w:styleId="Index9">
    <w:name w:val="index 9"/>
    <w:basedOn w:val="Normal"/>
    <w:next w:val="Normal"/>
    <w:autoRedefine w:val="1"/>
    <w:semiHidden w:val="1"/>
    <w:rsid w:val="00282A46"/>
    <w:pPr>
      <w:ind w:left="2160" w:hanging="240"/>
    </w:pPr>
  </w:style>
  <w:style w:type="paragraph" w:styleId="IndexHeading">
    <w:name w:val="index heading"/>
    <w:basedOn w:val="Normal"/>
    <w:next w:val="Index1"/>
    <w:semiHidden w:val="1"/>
    <w:rsid w:val="00282A46"/>
  </w:style>
  <w:style w:type="paragraph" w:styleId="BalloonText">
    <w:name w:val="Balloon Text"/>
    <w:basedOn w:val="Normal"/>
    <w:link w:val="BalloonTextChar"/>
    <w:uiPriority w:val="99"/>
    <w:semiHidden w:val="1"/>
    <w:unhideWhenUsed w:val="1"/>
    <w:rsid w:val="00905571"/>
    <w:rPr>
      <w:rFonts w:ascii="Tahoma" w:hAnsi="Tahoma"/>
      <w:sz w:val="16"/>
      <w:szCs w:val="16"/>
      <w:lang w:eastAsia="x-none" w:val="x-none"/>
    </w:rPr>
  </w:style>
  <w:style w:type="character" w:styleId="BalloonTextChar" w:customStyle="1">
    <w:name w:val="Balloon Text Char"/>
    <w:link w:val="BalloonText"/>
    <w:uiPriority w:val="99"/>
    <w:semiHidden w:val="1"/>
    <w:rsid w:val="00905571"/>
    <w:rPr>
      <w:rFonts w:ascii="Tahoma" w:cs="Tahoma" w:hAnsi="Tahoma"/>
      <w:sz w:val="16"/>
      <w:szCs w:val="16"/>
    </w:rPr>
  </w:style>
  <w:style w:type="table" w:styleId="TableGrid">
    <w:name w:val="Table Grid"/>
    <w:basedOn w:val="TableNormal"/>
    <w:uiPriority w:val="59"/>
    <w:rsid w:val="00EC12E3"/>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paragraph" w:styleId="ColorfulShading-Accent31" w:customStyle="1">
    <w:name w:val="Colorful Shading - Accent 31"/>
    <w:basedOn w:val="Normal"/>
    <w:uiPriority w:val="34"/>
    <w:qFormat w:val="1"/>
    <w:rsid w:val="008D7F38"/>
    <w:pPr>
      <w:spacing w:after="200" w:line="276" w:lineRule="auto"/>
      <w:ind w:left="720"/>
      <w:contextualSpacing w:val="1"/>
    </w:pPr>
    <w:rPr>
      <w:rFonts w:ascii="Calibri" w:eastAsia="Calibri" w:hAnsi="Calibri"/>
      <w:sz w:val="22"/>
      <w:szCs w:val="22"/>
    </w:rPr>
  </w:style>
  <w:style w:type="table" w:styleId="MediumShading1-Accent3">
    <w:name w:val="Medium Shading 1 Accent 3"/>
    <w:basedOn w:val="TableNormal"/>
    <w:uiPriority w:val="29"/>
    <w:qFormat w:val="1"/>
    <w:rsid w:val="008F7F89"/>
    <w:rPr>
      <w:color w:val="000000"/>
    </w:rPr>
    <w:tblPr>
      <w:tblStyleRowBandSize w:val="1"/>
      <w:tblStyleColBandSize w:val="1"/>
      <w:tblInd w:w="0.0" w:type="dxa"/>
      <w:tblBorders>
        <w:insideH w:color="ffffff" w:space="0" w:sz="4" w:val="single"/>
      </w:tblBorders>
      <w:tblCellMar>
        <w:top w:w="0.0" w:type="dxa"/>
        <w:left w:w="108.0" w:type="dxa"/>
        <w:bottom w:w="0.0" w:type="dxa"/>
        <w:right w:w="108.0" w:type="dxa"/>
      </w:tblCellMar>
    </w:tblPr>
    <w:tcPr>
      <w:shd w:color="auto" w:fill="cccccc" w:val="clear"/>
    </w:tcPr>
    <w:tblStylePr w:type="firstRow">
      <w:rPr>
        <w:b w:val="1"/>
        <w:bCs w:val="1"/>
      </w:rPr>
      <w:tblPr/>
      <w:tcPr>
        <w:shd w:color="auto" w:fill="999999" w:val="clear"/>
      </w:tcPr>
    </w:tblStylePr>
    <w:tblStylePr w:type="lastRow">
      <w:rPr>
        <w:b w:val="1"/>
        <w:bCs w:val="1"/>
        <w:color w:val="000000"/>
      </w:rPr>
      <w:tblPr/>
      <w:tcPr>
        <w:shd w:color="auto" w:fill="999999" w:val="clear"/>
      </w:tcPr>
    </w:tblStylePr>
    <w:tblStylePr w:type="firstCol">
      <w:rPr>
        <w:color w:val="ffffff"/>
      </w:rPr>
      <w:tblPr/>
      <w:tcPr>
        <w:shd w:color="auto" w:fill="000000" w:val="clear"/>
      </w:tcPr>
    </w:tblStylePr>
    <w:tblStylePr w:type="lastCol">
      <w:rPr>
        <w:color w:val="ffffff"/>
      </w:rPr>
      <w:tblPr/>
      <w:tcPr>
        <w:shd w:color="auto" w:fill="000000" w:val="clear"/>
      </w:tcPr>
    </w:tblStylePr>
    <w:tblStylePr w:type="band1Vert">
      <w:tblPr/>
      <w:tcPr>
        <w:shd w:color="auto" w:fill="808080" w:val="clear"/>
      </w:tcPr>
    </w:tblStylePr>
    <w:tblStylePr w:type="band1Horz">
      <w:tblPr/>
      <w:tcPr>
        <w:shd w:color="auto" w:fill="808080" w:val="clear"/>
      </w:tcPr>
    </w:tblStylePr>
  </w:style>
  <w:style w:type="character" w:styleId="FooterChar" w:customStyle="1">
    <w:name w:val="Footer Char"/>
    <w:link w:val="Footer"/>
    <w:uiPriority w:val="99"/>
    <w:rsid w:val="00DA4AD7"/>
    <w:rPr>
      <w:sz w:val="24"/>
      <w:lang w:eastAsia="en-US"/>
    </w:rPr>
  </w:style>
  <w:style w:type="paragraph" w:styleId="ColorfulList-Accent11" w:customStyle="1">
    <w:name w:val="Colorful List - Accent 11"/>
    <w:basedOn w:val="Normal"/>
    <w:uiPriority w:val="34"/>
    <w:qFormat w:val="1"/>
    <w:rsid w:val="00A838D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000000"/>
    </w:rPr>
    <w:tblPr>
      <w:tblStyleRowBandSize w:val="1"/>
      <w:tblStyleColBandSize w:val="1"/>
      <w:tblCellMar>
        <w:top w:w="100.0" w:type="dxa"/>
        <w:left w:w="100.0" w:type="dxa"/>
        <w:bottom w:w="100.0" w:type="dxa"/>
        <w:right w:w="100.0" w:type="dxa"/>
      </w:tblCellMar>
    </w:tblPr>
    <w:tcPr>
      <w:shd w:fill="cccccc" w:val="clear"/>
    </w:tcPr>
  </w:style>
  <w:style w:type="table" w:styleId="Table2">
    <w:basedOn w:val="TableNormal"/>
    <w:rPr>
      <w:color w:val="000000"/>
    </w:rPr>
    <w:tblPr>
      <w:tblStyleRowBandSize w:val="1"/>
      <w:tblStyleColBandSize w:val="1"/>
      <w:tblCellMar>
        <w:top w:w="100.0" w:type="dxa"/>
        <w:left w:w="100.0" w:type="dxa"/>
        <w:bottom w:w="100.0" w:type="dxa"/>
        <w:right w:w="100.0" w:type="dxa"/>
      </w:tblCellMar>
    </w:tblPr>
    <w:tcPr>
      <w:shd w:fill="cccccc"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s://www.rch.org.au/anaes/pain_management/" TargetMode="External"/><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image" Target="media/image1.png"/><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resources.wfsahq.org/atotw/paediatric-postoperative-vomiting/" TargetMode="External"/><Relationship Id="rId15" Type="http://schemas.openxmlformats.org/officeDocument/2006/relationships/footer" Target="footer3.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3" Type="http://schemas.openxmlformats.org/officeDocument/2006/relationships/font" Target="fonts/Tahoma-bold.ttf"/><Relationship Id="rId4" Type="http://schemas.openxmlformats.org/officeDocument/2006/relationships/font" Target="fonts/PermanentMarker-regular.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y2W0yuRuczf0hzg3Rr9SokuQQ==">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2016-11-21T08:57:00Z</dcterms:created>
  <dc:creator>dr03268i</dc:creator>
</cp:coreProperties>
</file>