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88" w:lineRule="auto"/>
        <w:jc w:val="center"/>
        <w:rPr>
          <w:rFonts w:ascii="Tahoma" w:cs="Tahoma" w:eastAsia="Tahoma" w:hAnsi="Tahoma"/>
          <w:b w:val="1"/>
          <w:color w:val="3366ff"/>
          <w:sz w:val="16"/>
          <w:szCs w:val="16"/>
        </w:rPr>
      </w:pPr>
      <w:r w:rsidDel="00000000" w:rsidR="00000000" w:rsidRPr="00000000">
        <w:rPr>
          <w:rFonts w:ascii="Tahoma" w:cs="Tahoma" w:eastAsia="Tahoma" w:hAnsi="Tahoma"/>
          <w:b w:val="1"/>
          <w:color w:val="3366ff"/>
          <w:sz w:val="16"/>
          <w:szCs w:val="16"/>
          <w:rtl w:val="0"/>
        </w:rPr>
        <w:t xml:space="preserve">PREOPERATIVE EVALUATION</w:t>
      </w:r>
    </w:p>
    <w:p w:rsidR="00000000" w:rsidDel="00000000" w:rsidP="00000000" w:rsidRDefault="00000000" w:rsidRPr="00000000" w14:paraId="00000002">
      <w:pPr>
        <w:spacing w:line="288" w:lineRule="auto"/>
        <w:jc w:val="center"/>
        <w:rPr>
          <w:rFonts w:ascii="Tahoma" w:cs="Tahoma" w:eastAsia="Tahoma" w:hAnsi="Tahoma"/>
          <w:b w:val="1"/>
          <w:color w:val="3366ff"/>
          <w:sz w:val="16"/>
          <w:szCs w:val="16"/>
        </w:rPr>
      </w:pPr>
      <w:r w:rsidDel="00000000" w:rsidR="00000000" w:rsidRPr="00000000">
        <w:rPr>
          <w:rtl w:val="0"/>
        </w:rPr>
      </w:r>
    </w:p>
    <w:p w:rsidR="00000000" w:rsidDel="00000000" w:rsidP="00000000" w:rsidRDefault="00000000" w:rsidRPr="00000000" w14:paraId="00000003">
      <w:pPr>
        <w:spacing w:line="288" w:lineRule="auto"/>
        <w:ind w:right="33"/>
        <w:rPr>
          <w:rFonts w:ascii="Tahoma" w:cs="Tahoma" w:eastAsia="Tahoma" w:hAnsi="Tahoma"/>
          <w:sz w:val="16"/>
          <w:szCs w:val="16"/>
        </w:rPr>
      </w:pPr>
      <w:r w:rsidDel="00000000" w:rsidR="00000000" w:rsidRPr="00000000">
        <w:rPr>
          <w:rFonts w:ascii="Tahoma" w:cs="Tahoma" w:eastAsia="Tahoma" w:hAnsi="Tahoma"/>
          <w:sz w:val="16"/>
          <w:szCs w:val="16"/>
          <w:rtl w:val="0"/>
        </w:rPr>
        <w:t xml:space="preserve">All children must be assessed before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and surgery. Establish good rapport with both parent and child to help make the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experience a pleasant one.</w:t>
      </w:r>
    </w:p>
    <w:p w:rsidR="00000000" w:rsidDel="00000000" w:rsidP="00000000" w:rsidRDefault="00000000" w:rsidRPr="00000000" w14:paraId="00000004">
      <w:pPr>
        <w:spacing w:line="288" w:lineRule="auto"/>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5">
      <w:pPr>
        <w:spacing w:line="288" w:lineRule="auto"/>
        <w:rPr>
          <w:rFonts w:ascii="Tahoma" w:cs="Tahoma" w:eastAsia="Tahoma" w:hAnsi="Tahoma"/>
          <w:sz w:val="16"/>
          <w:szCs w:val="16"/>
        </w:rPr>
      </w:pPr>
      <w:r w:rsidDel="00000000" w:rsidR="00000000" w:rsidRPr="00000000">
        <w:rPr>
          <w:rFonts w:ascii="Tahoma" w:cs="Tahoma" w:eastAsia="Tahoma" w:hAnsi="Tahoma"/>
          <w:sz w:val="16"/>
          <w:szCs w:val="16"/>
          <w:rtl w:val="0"/>
        </w:rPr>
        <w:t xml:space="preserve">Pre-operative</w:t>
      </w:r>
      <w:r w:rsidDel="00000000" w:rsidR="00000000" w:rsidRPr="00000000">
        <w:rPr>
          <w:rFonts w:ascii="Tahoma" w:cs="Tahoma" w:eastAsia="Tahoma" w:hAnsi="Tahoma"/>
          <w:sz w:val="16"/>
          <w:szCs w:val="16"/>
          <w:rtl w:val="0"/>
        </w:rPr>
        <w:t xml:space="preserve"> evaluation of children includes:</w:t>
      </w:r>
    </w:p>
    <w:p w:rsidR="00000000" w:rsidDel="00000000" w:rsidP="00000000" w:rsidRDefault="00000000" w:rsidRPr="00000000" w14:paraId="00000006">
      <w:pPr>
        <w:spacing w:line="288" w:lineRule="auto"/>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7">
      <w:pPr>
        <w:pStyle w:val="Subtitle"/>
        <w:spacing w:line="288" w:lineRule="auto"/>
        <w:rPr/>
      </w:pPr>
      <w:bookmarkStart w:colFirst="0" w:colLast="0" w:name="_heading=h.ch9csyayo6j" w:id="0"/>
      <w:bookmarkEnd w:id="0"/>
      <w:r w:rsidDel="00000000" w:rsidR="00000000" w:rsidRPr="00000000">
        <w:rPr>
          <w:rtl w:val="0"/>
        </w:rPr>
        <w:t xml:space="preserve">a) History  </w:t>
      </w:r>
    </w:p>
    <w:p w:rsidR="00000000" w:rsidDel="00000000" w:rsidP="00000000" w:rsidRDefault="00000000" w:rsidRPr="00000000" w14:paraId="00000008">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Perinatal history/ events especially for children less than 6 months of age</w:t>
      </w:r>
    </w:p>
    <w:p w:rsidR="00000000" w:rsidDel="00000000" w:rsidP="00000000" w:rsidRDefault="00000000" w:rsidRPr="00000000" w14:paraId="00000009">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born premature, the corrected </w:t>
      </w:r>
      <w:r w:rsidDel="00000000" w:rsidR="00000000" w:rsidRPr="00000000">
        <w:rPr>
          <w:rFonts w:ascii="Tahoma" w:cs="Tahoma" w:eastAsia="Tahoma" w:hAnsi="Tahoma"/>
          <w:sz w:val="16"/>
          <w:szCs w:val="16"/>
          <w:rtl w:val="0"/>
        </w:rPr>
        <w:t xml:space="preserve">post-menstrual</w:t>
      </w:r>
      <w:r w:rsidDel="00000000" w:rsidR="00000000" w:rsidRPr="00000000">
        <w:rPr>
          <w:rFonts w:ascii="Tahoma" w:cs="Tahoma" w:eastAsia="Tahoma" w:hAnsi="Tahoma"/>
          <w:sz w:val="16"/>
          <w:szCs w:val="16"/>
          <w:rtl w:val="0"/>
        </w:rPr>
        <w:t xml:space="preserve"> age (PMA) PMA = gestational age + chronological age should be calculated</w:t>
      </w:r>
    </w:p>
    <w:p w:rsidR="00000000" w:rsidDel="00000000" w:rsidP="00000000" w:rsidRDefault="00000000" w:rsidRPr="00000000" w14:paraId="0000000A">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Complications related to prematurity if applicable</w:t>
      </w:r>
    </w:p>
    <w:p w:rsidR="00000000" w:rsidDel="00000000" w:rsidP="00000000" w:rsidRDefault="00000000" w:rsidRPr="00000000" w14:paraId="0000000B">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Neonatal Intensive Care Unit admission and events if applicable</w:t>
      </w:r>
    </w:p>
    <w:p w:rsidR="00000000" w:rsidDel="00000000" w:rsidP="00000000" w:rsidRDefault="00000000" w:rsidRPr="00000000" w14:paraId="0000000C">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History of apnoeic spells</w:t>
      </w:r>
    </w:p>
    <w:p w:rsidR="00000000" w:rsidDel="00000000" w:rsidP="00000000" w:rsidRDefault="00000000" w:rsidRPr="00000000" w14:paraId="0000000D">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Current medical problems  e.g. congenital heart disease, asthma</w:t>
      </w:r>
    </w:p>
    <w:p w:rsidR="00000000" w:rsidDel="00000000" w:rsidP="00000000" w:rsidRDefault="00000000" w:rsidRPr="00000000" w14:paraId="0000000E">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Developmental milestones</w:t>
      </w:r>
    </w:p>
    <w:p w:rsidR="00000000" w:rsidDel="00000000" w:rsidP="00000000" w:rsidRDefault="00000000" w:rsidRPr="00000000" w14:paraId="0000000F">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Feeding routines and issues</w:t>
      </w:r>
    </w:p>
    <w:p w:rsidR="00000000" w:rsidDel="00000000" w:rsidP="00000000" w:rsidRDefault="00000000" w:rsidRPr="00000000" w14:paraId="00000010">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Congenital anomalies </w:t>
      </w:r>
    </w:p>
    <w:p w:rsidR="00000000" w:rsidDel="00000000" w:rsidP="00000000" w:rsidRDefault="00000000" w:rsidRPr="00000000" w14:paraId="00000011">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Upper Respiratory Tract Infection (URTI)</w:t>
      </w:r>
    </w:p>
    <w:p w:rsidR="00000000" w:rsidDel="00000000" w:rsidP="00000000" w:rsidRDefault="00000000" w:rsidRPr="00000000" w14:paraId="00000012">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Previous </w:t>
      </w: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history</w:t>
      </w:r>
    </w:p>
    <w:p w:rsidR="00000000" w:rsidDel="00000000" w:rsidP="00000000" w:rsidRDefault="00000000" w:rsidRPr="00000000" w14:paraId="00000013">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History of motion sickness</w:t>
      </w:r>
    </w:p>
    <w:p w:rsidR="00000000" w:rsidDel="00000000" w:rsidP="00000000" w:rsidRDefault="00000000" w:rsidRPr="00000000" w14:paraId="00000014">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Family history of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related problems, </w:t>
      </w:r>
    </w:p>
    <w:p w:rsidR="00000000" w:rsidDel="00000000" w:rsidP="00000000" w:rsidRDefault="00000000" w:rsidRPr="00000000" w14:paraId="00000015">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Drug history including the regular consumption of supplements</w:t>
      </w:r>
    </w:p>
    <w:p w:rsidR="00000000" w:rsidDel="00000000" w:rsidP="00000000" w:rsidRDefault="00000000" w:rsidRPr="00000000" w14:paraId="00000016">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Allergies: drugs, foods, adhesive tapes etc</w:t>
      </w:r>
    </w:p>
    <w:p w:rsidR="00000000" w:rsidDel="00000000" w:rsidP="00000000" w:rsidRDefault="00000000" w:rsidRPr="00000000" w14:paraId="00000017">
      <w:pPr>
        <w:numPr>
          <w:ilvl w:val="0"/>
          <w:numId w:val="4"/>
        </w:numPr>
        <w:spacing w:line="288" w:lineRule="auto"/>
        <w:ind w:left="504"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Special needs/learning disabilities/</w:t>
      </w:r>
      <w:r w:rsidDel="00000000" w:rsidR="00000000" w:rsidRPr="00000000">
        <w:rPr>
          <w:rFonts w:ascii="Tahoma" w:cs="Tahoma" w:eastAsia="Tahoma" w:hAnsi="Tahoma"/>
          <w:sz w:val="16"/>
          <w:szCs w:val="16"/>
          <w:rtl w:val="0"/>
        </w:rPr>
        <w:t xml:space="preserve">behavioural</w:t>
      </w:r>
      <w:r w:rsidDel="00000000" w:rsidR="00000000" w:rsidRPr="00000000">
        <w:rPr>
          <w:rFonts w:ascii="Tahoma" w:cs="Tahoma" w:eastAsia="Tahoma" w:hAnsi="Tahoma"/>
          <w:sz w:val="16"/>
          <w:szCs w:val="16"/>
          <w:rtl w:val="0"/>
        </w:rPr>
        <w:t xml:space="preserve"> issues</w:t>
      </w:r>
    </w:p>
    <w:p w:rsidR="00000000" w:rsidDel="00000000" w:rsidP="00000000" w:rsidRDefault="00000000" w:rsidRPr="00000000" w14:paraId="00000018">
      <w:pPr>
        <w:spacing w:line="288" w:lineRule="auto"/>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9">
      <w:pPr>
        <w:spacing w:line="288" w:lineRule="auto"/>
        <w:rPr>
          <w:rFonts w:ascii="Tahoma" w:cs="Tahoma" w:eastAsia="Tahoma" w:hAnsi="Tahoma"/>
          <w:b w:val="1"/>
          <w:color w:val="3366ff"/>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Subtitle"/>
        <w:spacing w:line="288" w:lineRule="auto"/>
        <w:rPr/>
      </w:pPr>
      <w:bookmarkStart w:colFirst="0" w:colLast="0" w:name="_heading=h.183xs5iyslgo" w:id="1"/>
      <w:bookmarkEnd w:id="1"/>
      <w:r w:rsidDel="00000000" w:rsidR="00000000" w:rsidRPr="00000000">
        <w:rPr>
          <w:rtl w:val="0"/>
        </w:rPr>
        <w:t xml:space="preserve">b) Physical Examination</w:t>
      </w:r>
    </w:p>
    <w:p w:rsidR="00000000" w:rsidDel="00000000" w:rsidP="00000000" w:rsidRDefault="00000000" w:rsidRPr="00000000" w14:paraId="0000001B">
      <w:pPr>
        <w:numPr>
          <w:ilvl w:val="0"/>
          <w:numId w:val="3"/>
        </w:numPr>
        <w:tabs>
          <w:tab w:val="left" w:leader="none" w:pos="142"/>
        </w:tabs>
        <w:spacing w:line="288" w:lineRule="auto"/>
        <w:ind w:left="567"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Any obvious anomalies e.g. dysmorphism, cleft lip/palate</w:t>
      </w:r>
    </w:p>
    <w:p w:rsidR="00000000" w:rsidDel="00000000" w:rsidP="00000000" w:rsidRDefault="00000000" w:rsidRPr="00000000" w14:paraId="0000001C">
      <w:pPr>
        <w:numPr>
          <w:ilvl w:val="0"/>
          <w:numId w:val="3"/>
        </w:numPr>
        <w:tabs>
          <w:tab w:val="left" w:leader="none" w:pos="142"/>
        </w:tabs>
        <w:spacing w:line="288" w:lineRule="auto"/>
        <w:ind w:left="567"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Airway</w:t>
      </w:r>
    </w:p>
    <w:p w:rsidR="00000000" w:rsidDel="00000000" w:rsidP="00000000" w:rsidRDefault="00000000" w:rsidRPr="00000000" w14:paraId="0000001D">
      <w:pPr>
        <w:numPr>
          <w:ilvl w:val="0"/>
          <w:numId w:val="3"/>
        </w:numPr>
        <w:tabs>
          <w:tab w:val="left" w:leader="none" w:pos="142"/>
        </w:tabs>
        <w:spacing w:line="288" w:lineRule="auto"/>
        <w:ind w:left="567"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Dentition: presence of loose teeth/ orthodontic devices</w:t>
      </w:r>
    </w:p>
    <w:p w:rsidR="00000000" w:rsidDel="00000000" w:rsidP="00000000" w:rsidRDefault="00000000" w:rsidRPr="00000000" w14:paraId="0000001E">
      <w:pPr>
        <w:numPr>
          <w:ilvl w:val="0"/>
          <w:numId w:val="3"/>
        </w:numPr>
        <w:tabs>
          <w:tab w:val="left" w:leader="none" w:pos="142"/>
        </w:tabs>
        <w:spacing w:line="288" w:lineRule="auto"/>
        <w:ind w:left="567"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Examination of the cardiovascular and respiratory system</w:t>
      </w:r>
    </w:p>
    <w:p w:rsidR="00000000" w:rsidDel="00000000" w:rsidP="00000000" w:rsidRDefault="00000000" w:rsidRPr="00000000" w14:paraId="0000001F">
      <w:pPr>
        <w:numPr>
          <w:ilvl w:val="0"/>
          <w:numId w:val="3"/>
        </w:numPr>
        <w:tabs>
          <w:tab w:val="left" w:leader="none" w:pos="142"/>
        </w:tabs>
        <w:spacing w:line="288" w:lineRule="auto"/>
        <w:ind w:left="567"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State of hydration, nutrition</w:t>
      </w:r>
    </w:p>
    <w:p w:rsidR="00000000" w:rsidDel="00000000" w:rsidP="00000000" w:rsidRDefault="00000000" w:rsidRPr="00000000" w14:paraId="00000020">
      <w:pPr>
        <w:numPr>
          <w:ilvl w:val="0"/>
          <w:numId w:val="3"/>
        </w:numPr>
        <w:tabs>
          <w:tab w:val="left" w:leader="none" w:pos="142"/>
        </w:tabs>
        <w:spacing w:line="288" w:lineRule="auto"/>
        <w:ind w:left="567"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Developmental/ cognitive/ neurological state </w:t>
      </w:r>
    </w:p>
    <w:p w:rsidR="00000000" w:rsidDel="00000000" w:rsidP="00000000" w:rsidRDefault="00000000" w:rsidRPr="00000000" w14:paraId="00000021">
      <w:pPr>
        <w:numPr>
          <w:ilvl w:val="0"/>
          <w:numId w:val="3"/>
        </w:numPr>
        <w:tabs>
          <w:tab w:val="left" w:leader="none" w:pos="142"/>
        </w:tabs>
        <w:spacing w:line="288" w:lineRule="auto"/>
        <w:ind w:left="567"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Vital signs of the child including saturations on room air</w:t>
      </w:r>
    </w:p>
    <w:p w:rsidR="00000000" w:rsidDel="00000000" w:rsidP="00000000" w:rsidRDefault="00000000" w:rsidRPr="00000000" w14:paraId="00000022">
      <w:pPr>
        <w:numPr>
          <w:ilvl w:val="0"/>
          <w:numId w:val="3"/>
        </w:numPr>
        <w:tabs>
          <w:tab w:val="left" w:leader="none" w:pos="142"/>
        </w:tabs>
        <w:spacing w:line="288" w:lineRule="auto"/>
        <w:ind w:left="567"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Examination for possible venous access sites</w:t>
      </w:r>
    </w:p>
    <w:p w:rsidR="00000000" w:rsidDel="00000000" w:rsidP="00000000" w:rsidRDefault="00000000" w:rsidRPr="00000000" w14:paraId="00000023">
      <w:pPr>
        <w:numPr>
          <w:ilvl w:val="0"/>
          <w:numId w:val="3"/>
        </w:numPr>
        <w:tabs>
          <w:tab w:val="left" w:leader="none" w:pos="142"/>
        </w:tabs>
        <w:spacing w:line="288" w:lineRule="auto"/>
        <w:ind w:left="567"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Height and Weight. (Weight is particularly important as drug dosages are ordered based on it. Height is important for calculating the body mass index (BMI) and body surface area. The latter is applicable in situations such as cardiopulmonary bypass). In obese patients it may be appropriate to use the lean body weight for the dose determination of drugs.</w:t>
      </w:r>
    </w:p>
    <w:p w:rsidR="00000000" w:rsidDel="00000000" w:rsidP="00000000" w:rsidRDefault="00000000" w:rsidRPr="00000000" w14:paraId="00000024">
      <w:pPr>
        <w:spacing w:line="288" w:lineRule="auto"/>
        <w:ind w:left="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5">
      <w:pPr>
        <w:spacing w:line="288" w:lineRule="auto"/>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26">
      <w:pPr>
        <w:pStyle w:val="Subtitle"/>
        <w:spacing w:line="288" w:lineRule="auto"/>
        <w:rPr/>
      </w:pPr>
      <w:bookmarkStart w:colFirst="0" w:colLast="0" w:name="_heading=h.og3pg1rdmpem" w:id="2"/>
      <w:bookmarkEnd w:id="2"/>
      <w:r w:rsidDel="00000000" w:rsidR="00000000" w:rsidRPr="00000000">
        <w:rPr>
          <w:rtl w:val="0"/>
        </w:rPr>
        <w:t xml:space="preserve">BMI and Obesity in Children </w:t>
      </w:r>
    </w:p>
    <w:p w:rsidR="00000000" w:rsidDel="00000000" w:rsidP="00000000" w:rsidRDefault="00000000" w:rsidRPr="00000000" w14:paraId="00000027">
      <w:pPr>
        <w:spacing w:line="288" w:lineRule="auto"/>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28">
      <w:pPr>
        <w:spacing w:line="288" w:lineRule="auto"/>
        <w:rPr>
          <w:rFonts w:ascii="Tahoma" w:cs="Tahoma" w:eastAsia="Tahoma" w:hAnsi="Tahoma"/>
          <w:sz w:val="16"/>
          <w:szCs w:val="16"/>
        </w:rPr>
      </w:pPr>
      <w:r w:rsidDel="00000000" w:rsidR="00000000" w:rsidRPr="00000000">
        <w:rPr>
          <w:rFonts w:ascii="Tahoma" w:cs="Tahoma" w:eastAsia="Tahoma" w:hAnsi="Tahoma"/>
          <w:sz w:val="16"/>
          <w:szCs w:val="16"/>
          <w:rtl w:val="0"/>
        </w:rPr>
        <w:t xml:space="preserve">BMI for children and adults are calculated the same way:</w:t>
      </w:r>
    </w:p>
    <w:p w:rsidR="00000000" w:rsidDel="00000000" w:rsidP="00000000" w:rsidRDefault="00000000" w:rsidRPr="00000000" w14:paraId="00000029">
      <w:pPr>
        <w:spacing w:line="288" w:lineRule="auto"/>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A">
      <w:pPr>
        <w:spacing w:line="288" w:lineRule="auto"/>
        <w:rPr>
          <w:rFonts w:ascii="Tahoma" w:cs="Tahoma" w:eastAsia="Tahoma" w:hAnsi="Tahoma"/>
          <w:sz w:val="16"/>
          <w:szCs w:val="16"/>
        </w:rPr>
      </w:pPr>
      <w:r w:rsidDel="00000000" w:rsidR="00000000" w:rsidRPr="00000000">
        <w:rPr>
          <w:rFonts w:ascii="Tahoma" w:cs="Tahoma" w:eastAsia="Tahoma" w:hAnsi="Tahoma"/>
          <w:sz w:val="16"/>
          <w:szCs w:val="16"/>
          <w:rtl w:val="0"/>
        </w:rPr>
        <w:t xml:space="preserve">BMI = Weight (kg)/ (Height x Height) m</w:t>
      </w:r>
      <w:r w:rsidDel="00000000" w:rsidR="00000000" w:rsidRPr="00000000">
        <w:rPr>
          <w:rFonts w:ascii="Tahoma" w:cs="Tahoma" w:eastAsia="Tahoma" w:hAnsi="Tahoma"/>
          <w:sz w:val="16"/>
          <w:szCs w:val="16"/>
          <w:vertAlign w:val="superscript"/>
          <w:rtl w:val="0"/>
        </w:rPr>
        <w:t xml:space="preserve">2</w:t>
      </w:r>
      <w:r w:rsidDel="00000000" w:rsidR="00000000" w:rsidRPr="00000000">
        <w:rPr>
          <w:rtl w:val="0"/>
        </w:rPr>
      </w:r>
    </w:p>
    <w:p w:rsidR="00000000" w:rsidDel="00000000" w:rsidP="00000000" w:rsidRDefault="00000000" w:rsidRPr="00000000" w14:paraId="0000002B">
      <w:pPr>
        <w:spacing w:line="288" w:lineRule="auto"/>
        <w:ind w:left="-284" w:firstLine="0"/>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2C">
      <w:pPr>
        <w:spacing w:line="288" w:lineRule="auto"/>
        <w:jc w:val="both"/>
        <w:rPr>
          <w:rFonts w:ascii="Tahoma" w:cs="Tahoma" w:eastAsia="Tahoma" w:hAnsi="Tahoma"/>
          <w:color w:val="ff0000"/>
          <w:sz w:val="16"/>
          <w:szCs w:val="16"/>
        </w:rPr>
      </w:pPr>
      <w:r w:rsidDel="00000000" w:rsidR="00000000" w:rsidRPr="00000000">
        <w:rPr>
          <w:rFonts w:ascii="Tahoma" w:cs="Tahoma" w:eastAsia="Tahoma" w:hAnsi="Tahoma"/>
          <w:color w:val="ff0000"/>
          <w:sz w:val="16"/>
          <w:szCs w:val="16"/>
          <w:rtl w:val="0"/>
        </w:rPr>
        <w:t xml:space="preserve">However, the calculated BMI is </w:t>
      </w:r>
      <w:r w:rsidDel="00000000" w:rsidR="00000000" w:rsidRPr="00000000">
        <w:rPr>
          <w:rFonts w:ascii="Tahoma" w:cs="Tahoma" w:eastAsia="Tahoma" w:hAnsi="Tahoma"/>
          <w:i w:val="1"/>
          <w:color w:val="ff0000"/>
          <w:sz w:val="16"/>
          <w:szCs w:val="16"/>
          <w:rtl w:val="0"/>
        </w:rPr>
        <w:t xml:space="preserve">interpreted differently</w:t>
      </w:r>
      <w:r w:rsidDel="00000000" w:rsidR="00000000" w:rsidRPr="00000000">
        <w:rPr>
          <w:rFonts w:ascii="Tahoma" w:cs="Tahoma" w:eastAsia="Tahoma" w:hAnsi="Tahoma"/>
          <w:color w:val="ff0000"/>
          <w:sz w:val="16"/>
          <w:szCs w:val="16"/>
          <w:rtl w:val="0"/>
        </w:rPr>
        <w:t xml:space="preserve"> between children &amp; adults. BMI for children needs to be interpreted in relation to the child’s age &amp; gender by plotting the BMI value on the gender specific BMI-for-age percentile charts provided below.</w:t>
      </w:r>
    </w:p>
    <w:p w:rsidR="00000000" w:rsidDel="00000000" w:rsidP="00000000" w:rsidRDefault="00000000" w:rsidRPr="00000000" w14:paraId="0000002D">
      <w:pPr>
        <w:spacing w:line="288" w:lineRule="auto"/>
        <w:rPr>
          <w:rFonts w:ascii="Tahoma" w:cs="Tahoma" w:eastAsia="Tahoma" w:hAnsi="Tahoma"/>
          <w:sz w:val="16"/>
          <w:szCs w:val="16"/>
        </w:rPr>
        <w:sectPr>
          <w:headerReference r:id="rId7" w:type="default"/>
          <w:footerReference r:id="rId8" w:type="default"/>
          <w:footerReference r:id="rId9" w:type="even"/>
          <w:pgSz w:h="8640" w:w="5760" w:orient="portrait"/>
          <w:pgMar w:bottom="567" w:top="567" w:left="284" w:right="284" w:header="284" w:footer="284"/>
          <w:pgNumType w:start="1"/>
        </w:sectPr>
      </w:pPr>
      <w:r w:rsidDel="00000000" w:rsidR="00000000" w:rsidRPr="00000000">
        <w:rPr>
          <w:rtl w:val="0"/>
        </w:rPr>
      </w:r>
    </w:p>
    <w:p w:rsidR="00000000" w:rsidDel="00000000" w:rsidP="00000000" w:rsidRDefault="00000000" w:rsidRPr="00000000" w14:paraId="0000002E">
      <w:pPr>
        <w:spacing w:line="288" w:lineRule="auto"/>
        <w:ind w:left="-284" w:firstLine="0"/>
        <w:rPr>
          <w:rFonts w:ascii="Tahoma" w:cs="Tahoma" w:eastAsia="Tahoma" w:hAnsi="Tahoma"/>
          <w:b w:val="1"/>
          <w:sz w:val="16"/>
          <w:szCs w:val="16"/>
        </w:rPr>
        <w:sectPr>
          <w:type w:val="nextPage"/>
          <w:pgSz w:h="5760" w:w="8640" w:orient="landscape"/>
          <w:pgMar w:bottom="567" w:top="567" w:left="284" w:right="284" w:header="284" w:footer="284"/>
          <w:pgNumType w:start="3"/>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2934335</wp:posOffset>
            </wp:positionH>
            <wp:positionV relativeFrom="paragraph">
              <wp:posOffset>81915</wp:posOffset>
            </wp:positionV>
            <wp:extent cx="1868170" cy="2839085"/>
            <wp:effectExtent b="0" l="0" r="0" t="0"/>
            <wp:wrapNone/>
            <wp:docPr id="203" name="image3.png"/>
            <a:graphic>
              <a:graphicData uri="http://schemas.openxmlformats.org/drawingml/2006/picture">
                <pic:pic>
                  <pic:nvPicPr>
                    <pic:cNvPr id="0" name="image3.png"/>
                    <pic:cNvPicPr preferRelativeResize="0"/>
                  </pic:nvPicPr>
                  <pic:blipFill>
                    <a:blip r:embed="rId10"/>
                    <a:srcRect b="8560" l="12800" r="10984" t="7349"/>
                    <a:stretch>
                      <a:fillRect/>
                    </a:stretch>
                  </pic:blipFill>
                  <pic:spPr>
                    <a:xfrm>
                      <a:off x="0" y="0"/>
                      <a:ext cx="1868170" cy="28390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257810</wp:posOffset>
            </wp:positionH>
            <wp:positionV relativeFrom="paragraph">
              <wp:posOffset>-31748</wp:posOffset>
            </wp:positionV>
            <wp:extent cx="2019300" cy="3028950"/>
            <wp:effectExtent b="0" l="0" r="0" t="0"/>
            <wp:wrapNone/>
            <wp:docPr id="205" name="image1.png"/>
            <a:graphic>
              <a:graphicData uri="http://schemas.openxmlformats.org/drawingml/2006/picture">
                <pic:pic>
                  <pic:nvPicPr>
                    <pic:cNvPr id="0" name="image1.png"/>
                    <pic:cNvPicPr preferRelativeResize="0"/>
                  </pic:nvPicPr>
                  <pic:blipFill>
                    <a:blip r:embed="rId11"/>
                    <a:srcRect b="8236" l="12950" r="9348" t="7131"/>
                    <a:stretch>
                      <a:fillRect/>
                    </a:stretch>
                  </pic:blipFill>
                  <pic:spPr>
                    <a:xfrm>
                      <a:off x="0" y="0"/>
                      <a:ext cx="2019300" cy="3028950"/>
                    </a:xfrm>
                    <a:prstGeom prst="rect"/>
                    <a:ln/>
                  </pic:spPr>
                </pic:pic>
              </a:graphicData>
            </a:graphic>
          </wp:anchor>
        </w:drawing>
      </w:r>
    </w:p>
    <w:p w:rsidR="00000000" w:rsidDel="00000000" w:rsidP="00000000" w:rsidRDefault="00000000" w:rsidRPr="00000000" w14:paraId="0000002F">
      <w:pPr>
        <w:spacing w:line="288" w:lineRule="auto"/>
        <w:ind w:left="-90" w:firstLine="0"/>
        <w:rPr>
          <w:rFonts w:ascii="Tahoma" w:cs="Tahoma" w:eastAsia="Tahoma" w:hAnsi="Tahoma"/>
          <w:sz w:val="16"/>
          <w:szCs w:val="16"/>
        </w:rPr>
        <w:sectPr>
          <w:type w:val="nextPage"/>
          <w:pgSz w:h="5760" w:w="8640" w:orient="landscape"/>
          <w:pgMar w:bottom="567" w:top="567" w:left="284" w:right="284" w:header="284" w:footer="284"/>
          <w:pgNumType w:start="4"/>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2901448</wp:posOffset>
            </wp:positionH>
            <wp:positionV relativeFrom="paragraph">
              <wp:posOffset>-24005</wp:posOffset>
            </wp:positionV>
            <wp:extent cx="2067267" cy="3066058"/>
            <wp:effectExtent b="0" l="0" r="0" t="0"/>
            <wp:wrapNone/>
            <wp:docPr id="204" name="image2.png"/>
            <a:graphic>
              <a:graphicData uri="http://schemas.openxmlformats.org/drawingml/2006/picture">
                <pic:pic>
                  <pic:nvPicPr>
                    <pic:cNvPr id="0" name="image2.png"/>
                    <pic:cNvPicPr preferRelativeResize="0"/>
                  </pic:nvPicPr>
                  <pic:blipFill>
                    <a:blip r:embed="rId12"/>
                    <a:srcRect b="8560" l="11164" r="9345" t="5836"/>
                    <a:stretch>
                      <a:fillRect/>
                    </a:stretch>
                  </pic:blipFill>
                  <pic:spPr>
                    <a:xfrm>
                      <a:off x="0" y="0"/>
                      <a:ext cx="2067267" cy="306605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144002</wp:posOffset>
            </wp:positionH>
            <wp:positionV relativeFrom="paragraph">
              <wp:posOffset>-64947</wp:posOffset>
            </wp:positionV>
            <wp:extent cx="1997732" cy="3066481"/>
            <wp:effectExtent b="0" l="0" r="0" t="0"/>
            <wp:wrapNone/>
            <wp:docPr id="202" name="image4.png"/>
            <a:graphic>
              <a:graphicData uri="http://schemas.openxmlformats.org/drawingml/2006/picture">
                <pic:pic>
                  <pic:nvPicPr>
                    <pic:cNvPr id="0" name="image4.png"/>
                    <pic:cNvPicPr preferRelativeResize="0"/>
                  </pic:nvPicPr>
                  <pic:blipFill>
                    <a:blip r:embed="rId13"/>
                    <a:srcRect b="8561" l="11610" r="11581" t="5837"/>
                    <a:stretch>
                      <a:fillRect/>
                    </a:stretch>
                  </pic:blipFill>
                  <pic:spPr>
                    <a:xfrm>
                      <a:off x="0" y="0"/>
                      <a:ext cx="1997732" cy="3066481"/>
                    </a:xfrm>
                    <a:prstGeom prst="rect"/>
                    <a:ln/>
                  </pic:spPr>
                </pic:pic>
              </a:graphicData>
            </a:graphic>
          </wp:anchor>
        </w:drawing>
      </w:r>
    </w:p>
    <w:p w:rsidR="00000000" w:rsidDel="00000000" w:rsidP="00000000" w:rsidRDefault="00000000" w:rsidRPr="00000000" w14:paraId="00000030">
      <w:pPr>
        <w:pStyle w:val="Subtitle"/>
        <w:rPr/>
      </w:pPr>
      <w:bookmarkStart w:colFirst="0" w:colLast="0" w:name="_heading=h.gjdgxs" w:id="3"/>
      <w:bookmarkEnd w:id="3"/>
      <w:r w:rsidDel="00000000" w:rsidR="00000000" w:rsidRPr="00000000">
        <w:rPr>
          <w:rtl w:val="0"/>
        </w:rPr>
        <w:t xml:space="preserve">c) Laboratory Investigations</w:t>
      </w:r>
    </w:p>
    <w:p w:rsidR="00000000" w:rsidDel="00000000" w:rsidP="00000000" w:rsidRDefault="00000000" w:rsidRPr="00000000" w14:paraId="00000031">
      <w:pPr>
        <w:spacing w:line="288" w:lineRule="auto"/>
        <w:ind w:left="142"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Routine investigations are unnecessary for normal children undergoing minor surgery, and are not ordered unless the history/ physical examination suggests otherwise.</w:t>
      </w:r>
    </w:p>
    <w:p w:rsidR="00000000" w:rsidDel="00000000" w:rsidP="00000000" w:rsidRDefault="00000000" w:rsidRPr="00000000" w14:paraId="00000032">
      <w:pPr>
        <w:spacing w:line="288" w:lineRule="auto"/>
        <w:ind w:left="142"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33">
      <w:pPr>
        <w:spacing w:line="288" w:lineRule="auto"/>
        <w:ind w:left="142"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For major operations, the following investigations may be required:</w:t>
        <w:tab/>
      </w:r>
    </w:p>
    <w:p w:rsidR="00000000" w:rsidDel="00000000" w:rsidP="00000000" w:rsidRDefault="00000000" w:rsidRPr="00000000" w14:paraId="00000034">
      <w:pPr>
        <w:numPr>
          <w:ilvl w:val="0"/>
          <w:numId w:val="1"/>
        </w:numPr>
        <w:spacing w:line="288" w:lineRule="auto"/>
        <w:ind w:left="658" w:hanging="294"/>
        <w:rPr>
          <w:rFonts w:ascii="Tahoma" w:cs="Tahoma" w:eastAsia="Tahoma" w:hAnsi="Tahoma"/>
          <w:sz w:val="16"/>
          <w:szCs w:val="16"/>
        </w:rPr>
      </w:pPr>
      <w:r w:rsidDel="00000000" w:rsidR="00000000" w:rsidRPr="00000000">
        <w:rPr>
          <w:rFonts w:ascii="Tahoma" w:cs="Tahoma" w:eastAsia="Tahoma" w:hAnsi="Tahoma"/>
          <w:sz w:val="16"/>
          <w:szCs w:val="16"/>
          <w:rtl w:val="0"/>
        </w:rPr>
        <w:t xml:space="preserve">FBC including platelets.</w:t>
      </w:r>
    </w:p>
    <w:p w:rsidR="00000000" w:rsidDel="00000000" w:rsidP="00000000" w:rsidRDefault="00000000" w:rsidRPr="00000000" w14:paraId="00000035">
      <w:pPr>
        <w:numPr>
          <w:ilvl w:val="0"/>
          <w:numId w:val="1"/>
        </w:numPr>
        <w:spacing w:line="288" w:lineRule="auto"/>
        <w:ind w:left="658" w:hanging="294"/>
        <w:rPr>
          <w:rFonts w:ascii="Tahoma" w:cs="Tahoma" w:eastAsia="Tahoma" w:hAnsi="Tahoma"/>
          <w:sz w:val="16"/>
          <w:szCs w:val="16"/>
        </w:rPr>
      </w:pPr>
      <w:r w:rsidDel="00000000" w:rsidR="00000000" w:rsidRPr="00000000">
        <w:rPr>
          <w:rFonts w:ascii="Tahoma" w:cs="Tahoma" w:eastAsia="Tahoma" w:hAnsi="Tahoma"/>
          <w:sz w:val="16"/>
          <w:szCs w:val="16"/>
          <w:rtl w:val="0"/>
        </w:rPr>
        <w:t xml:space="preserve">Urea, electrolytes and glucose</w:t>
      </w:r>
    </w:p>
    <w:p w:rsidR="00000000" w:rsidDel="00000000" w:rsidP="00000000" w:rsidRDefault="00000000" w:rsidRPr="00000000" w14:paraId="00000036">
      <w:pPr>
        <w:numPr>
          <w:ilvl w:val="0"/>
          <w:numId w:val="1"/>
        </w:numPr>
        <w:spacing w:line="288" w:lineRule="auto"/>
        <w:ind w:left="658" w:hanging="294"/>
        <w:rPr>
          <w:rFonts w:ascii="Tahoma" w:cs="Tahoma" w:eastAsia="Tahoma" w:hAnsi="Tahoma"/>
          <w:sz w:val="16"/>
          <w:szCs w:val="16"/>
        </w:rPr>
      </w:pPr>
      <w:r w:rsidDel="00000000" w:rsidR="00000000" w:rsidRPr="00000000">
        <w:rPr>
          <w:rFonts w:ascii="Tahoma" w:cs="Tahoma" w:eastAsia="Tahoma" w:hAnsi="Tahoma"/>
          <w:sz w:val="16"/>
          <w:szCs w:val="16"/>
          <w:rtl w:val="0"/>
        </w:rPr>
        <w:t xml:space="preserve">PT/PTT</w:t>
      </w:r>
    </w:p>
    <w:p w:rsidR="00000000" w:rsidDel="00000000" w:rsidP="00000000" w:rsidRDefault="00000000" w:rsidRPr="00000000" w14:paraId="00000037">
      <w:pPr>
        <w:numPr>
          <w:ilvl w:val="0"/>
          <w:numId w:val="1"/>
        </w:numPr>
        <w:spacing w:line="288" w:lineRule="auto"/>
        <w:ind w:left="658" w:hanging="294"/>
        <w:rPr>
          <w:rFonts w:ascii="Tahoma" w:cs="Tahoma" w:eastAsia="Tahoma" w:hAnsi="Tahoma"/>
          <w:sz w:val="16"/>
          <w:szCs w:val="16"/>
        </w:rPr>
      </w:pPr>
      <w:r w:rsidDel="00000000" w:rsidR="00000000" w:rsidRPr="00000000">
        <w:rPr>
          <w:rFonts w:ascii="Tahoma" w:cs="Tahoma" w:eastAsia="Tahoma" w:hAnsi="Tahoma"/>
          <w:sz w:val="16"/>
          <w:szCs w:val="16"/>
          <w:rtl w:val="0"/>
        </w:rPr>
        <w:t xml:space="preserve">GXM or Type and screen.</w:t>
      </w:r>
    </w:p>
    <w:p w:rsidR="00000000" w:rsidDel="00000000" w:rsidP="00000000" w:rsidRDefault="00000000" w:rsidRPr="00000000" w14:paraId="00000038">
      <w:pPr>
        <w:numPr>
          <w:ilvl w:val="0"/>
          <w:numId w:val="1"/>
        </w:numPr>
        <w:spacing w:line="288" w:lineRule="auto"/>
        <w:ind w:left="658" w:hanging="294"/>
        <w:rPr>
          <w:rFonts w:ascii="Tahoma" w:cs="Tahoma" w:eastAsia="Tahoma" w:hAnsi="Tahoma"/>
          <w:sz w:val="16"/>
          <w:szCs w:val="16"/>
        </w:rPr>
      </w:pPr>
      <w:r w:rsidDel="00000000" w:rsidR="00000000" w:rsidRPr="00000000">
        <w:rPr>
          <w:rFonts w:ascii="Tahoma" w:cs="Tahoma" w:eastAsia="Tahoma" w:hAnsi="Tahoma"/>
          <w:sz w:val="16"/>
          <w:szCs w:val="16"/>
          <w:rtl w:val="0"/>
        </w:rPr>
        <w:t xml:space="preserve">ECG / CXR</w:t>
      </w:r>
    </w:p>
    <w:p w:rsidR="00000000" w:rsidDel="00000000" w:rsidP="00000000" w:rsidRDefault="00000000" w:rsidRPr="00000000" w14:paraId="00000039">
      <w:pPr>
        <w:numPr>
          <w:ilvl w:val="0"/>
          <w:numId w:val="1"/>
        </w:numPr>
        <w:spacing w:line="288" w:lineRule="auto"/>
        <w:ind w:left="658" w:hanging="294"/>
        <w:rPr>
          <w:rFonts w:ascii="Tahoma" w:cs="Tahoma" w:eastAsia="Tahoma" w:hAnsi="Tahoma"/>
          <w:sz w:val="16"/>
          <w:szCs w:val="16"/>
        </w:rPr>
      </w:pPr>
      <w:r w:rsidDel="00000000" w:rsidR="00000000" w:rsidRPr="00000000">
        <w:rPr>
          <w:rFonts w:ascii="Tahoma" w:cs="Tahoma" w:eastAsia="Tahoma" w:hAnsi="Tahoma"/>
          <w:sz w:val="16"/>
          <w:szCs w:val="16"/>
          <w:rtl w:val="0"/>
        </w:rPr>
        <w:t xml:space="preserve">LFT or any other relevant investigations like 2D echocardiograms</w:t>
      </w:r>
    </w:p>
    <w:p w:rsidR="00000000" w:rsidDel="00000000" w:rsidP="00000000" w:rsidRDefault="00000000" w:rsidRPr="00000000" w14:paraId="0000003A">
      <w:pPr>
        <w:spacing w:line="288" w:lineRule="auto"/>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B">
      <w:pPr>
        <w:spacing w:line="288" w:lineRule="auto"/>
        <w:ind w:left="72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C">
      <w:pPr>
        <w:spacing w:line="288" w:lineRule="auto"/>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288" w:lineRule="auto"/>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References: </w:t>
      </w:r>
    </w:p>
    <w:p w:rsidR="00000000" w:rsidDel="00000000" w:rsidP="00000000" w:rsidRDefault="00000000" w:rsidRPr="00000000" w14:paraId="0000003E">
      <w:pPr>
        <w:numPr>
          <w:ilvl w:val="0"/>
          <w:numId w:val="2"/>
        </w:numPr>
        <w:spacing w:line="288" w:lineRule="auto"/>
        <w:ind w:left="720" w:hanging="360"/>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Black AE. Medical assessment of the </w:t>
      </w:r>
      <w:r w:rsidDel="00000000" w:rsidR="00000000" w:rsidRPr="00000000">
        <w:rPr>
          <w:rFonts w:ascii="Tahoma" w:cs="Tahoma" w:eastAsia="Tahoma" w:hAnsi="Tahoma"/>
          <w:i w:val="1"/>
          <w:sz w:val="16"/>
          <w:szCs w:val="16"/>
          <w:rtl w:val="0"/>
        </w:rPr>
        <w:t xml:space="preserve">paediatric</w:t>
      </w:r>
      <w:r w:rsidDel="00000000" w:rsidR="00000000" w:rsidRPr="00000000">
        <w:rPr>
          <w:rFonts w:ascii="Tahoma" w:cs="Tahoma" w:eastAsia="Tahoma" w:hAnsi="Tahoma"/>
          <w:i w:val="1"/>
          <w:sz w:val="16"/>
          <w:szCs w:val="16"/>
          <w:rtl w:val="0"/>
        </w:rPr>
        <w:t xml:space="preserve"> patient. British Journal of Anaesthesia 1999; 83(1):3-15.</w:t>
      </w:r>
    </w:p>
    <w:p w:rsidR="00000000" w:rsidDel="00000000" w:rsidP="00000000" w:rsidRDefault="00000000" w:rsidRPr="00000000" w14:paraId="0000003F">
      <w:pPr>
        <w:numPr>
          <w:ilvl w:val="0"/>
          <w:numId w:val="2"/>
        </w:numPr>
        <w:spacing w:line="288" w:lineRule="auto"/>
        <w:ind w:left="720" w:hanging="360"/>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Cook-Sather SD, Harris KA, Chiavacci R et al. A </w:t>
      </w:r>
      <w:r w:rsidDel="00000000" w:rsidR="00000000" w:rsidRPr="00000000">
        <w:rPr>
          <w:rFonts w:ascii="Tahoma" w:cs="Tahoma" w:eastAsia="Tahoma" w:hAnsi="Tahoma"/>
          <w:i w:val="1"/>
          <w:sz w:val="16"/>
          <w:szCs w:val="16"/>
          <w:rtl w:val="0"/>
        </w:rPr>
        <w:t xml:space="preserve">liberalised</w:t>
      </w:r>
      <w:r w:rsidDel="00000000" w:rsidR="00000000" w:rsidRPr="00000000">
        <w:rPr>
          <w:rFonts w:ascii="Tahoma" w:cs="Tahoma" w:eastAsia="Tahoma" w:hAnsi="Tahoma"/>
          <w:i w:val="1"/>
          <w:sz w:val="16"/>
          <w:szCs w:val="16"/>
          <w:rtl w:val="0"/>
        </w:rPr>
        <w:t xml:space="preserve"> fasting guideline for formula-fed infants does not increase average gastric fluid volume before elective surgery. Anesthesia and Analgesia 2003; 96: 965-969</w:t>
      </w:r>
    </w:p>
    <w:p w:rsidR="00000000" w:rsidDel="00000000" w:rsidP="00000000" w:rsidRDefault="00000000" w:rsidRPr="00000000" w14:paraId="00000040">
      <w:pPr>
        <w:numPr>
          <w:ilvl w:val="0"/>
          <w:numId w:val="2"/>
        </w:numPr>
        <w:spacing w:line="288" w:lineRule="auto"/>
        <w:ind w:left="720" w:hanging="360"/>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McCann ME, Kain ZN. The Management of Preoperative Anxiety in Children: An Update. Anesth Analg 2001; 93: 98-105.</w:t>
      </w:r>
    </w:p>
    <w:p w:rsidR="00000000" w:rsidDel="00000000" w:rsidP="00000000" w:rsidRDefault="00000000" w:rsidRPr="00000000" w14:paraId="00000041">
      <w:pPr>
        <w:numPr>
          <w:ilvl w:val="0"/>
          <w:numId w:val="2"/>
        </w:numPr>
        <w:spacing w:line="288" w:lineRule="auto"/>
        <w:ind w:left="720" w:hanging="360"/>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Practice Guidelines for Preoperative Fasting and the Use of Pharmacologic Agents to Reduce the Risk of Pulmonary Aspiration: Application to Healthy Patients Undergoing Elective Procedures. A Report by the American Society of Anesthesiologists Task Force on Preoperative Fasting. Anesthesiology 1999; 90: 896 – 905</w:t>
      </w:r>
    </w:p>
    <w:p w:rsidR="00000000" w:rsidDel="00000000" w:rsidP="00000000" w:rsidRDefault="00000000" w:rsidRPr="00000000" w14:paraId="00000042">
      <w:pPr>
        <w:numPr>
          <w:ilvl w:val="0"/>
          <w:numId w:val="2"/>
        </w:numPr>
        <w:spacing w:line="288" w:lineRule="auto"/>
        <w:ind w:left="720" w:hanging="360"/>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Thomas M, Morrison C, Newton R, et al. Consensus statement on clear fluids fasting for elective pediatric general anesthesia. Paediatr Anaesth. 2018; 28:411–4</w:t>
      </w:r>
    </w:p>
    <w:sectPr>
      <w:type w:val="nextPage"/>
      <w:pgSz w:h="8640" w:w="5760" w:orient="portrait"/>
      <w:pgMar w:bottom="567" w:top="567" w:left="284" w:right="284" w:header="284" w:footer="28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Times New Roman"/>
  <w:font w:name="Courier New"/>
  <w:font w:name="Tahoma">
    <w:embedRegular w:fontKey="{00000000-0000-0000-0000-000000000000}" r:id="rId1" w:subsetted="0"/>
    <w:embedBold w:fontKey="{00000000-0000-0000-0000-000000000000}" r:id="rId2" w:subsetted="0"/>
  </w:font>
  <w:font w:name="Permanent Marker">
    <w:embedRegular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mic Sans MS" w:cs="Comic Sans MS" w:eastAsia="Comic Sans MS" w:hAnsi="Comic Sans MS"/>
        <w:b w:val="1"/>
        <w:i w:val="0"/>
        <w:smallCaps w:val="0"/>
        <w:strike w:val="0"/>
        <w:color w:val="666699"/>
        <w:sz w:val="14"/>
        <w:szCs w:val="14"/>
        <w:u w:val="none"/>
        <w:shd w:fill="auto" w:val="clear"/>
        <w:vertAlign w:val="baseline"/>
      </w:rPr>
    </w:pPr>
    <w:r w:rsidDel="00000000" w:rsidR="00000000" w:rsidRPr="00000000">
      <w:rPr>
        <w:rFonts w:ascii="Comic Sans MS" w:cs="Comic Sans MS" w:eastAsia="Comic Sans MS" w:hAnsi="Comic Sans MS"/>
        <w:b w:val="1"/>
        <w:i w:val="0"/>
        <w:smallCaps w:val="0"/>
        <w:strike w:val="0"/>
        <w:color w:val="666699"/>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Permanent Marker" w:cs="Permanent Marker" w:eastAsia="Permanent Marker" w:hAnsi="Permanent Marker"/>
        <w:b w:val="1"/>
        <w:i w:val="0"/>
        <w:smallCaps w:val="1"/>
        <w:strike w:val="0"/>
        <w:color w:val="808080"/>
        <w:sz w:val="16"/>
        <w:szCs w:val="16"/>
        <w:u w:val="none"/>
        <w:shd w:fill="auto" w:val="clear"/>
        <w:vertAlign w:val="baseline"/>
      </w:rPr>
    </w:pPr>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Paediatric</w:t>
    </w:r>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 </w:t>
    </w:r>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Anaesthesia</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Permanent Marker" w:cs="Permanent Marker" w:eastAsia="Permanent Marker" w:hAnsi="Permanent Marker"/>
        <w:b w:val="1"/>
        <w:i w:val="0"/>
        <w:smallCaps w:val="1"/>
        <w:strike w:val="0"/>
        <w:color w:val="80808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504"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504"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qFormat w:val="1"/>
    <w:rsid w:val="00282A46"/>
    <w:rPr>
      <w:sz w:val="24"/>
      <w:lang w:eastAsia="en-US" w:val="en-US"/>
    </w:rPr>
  </w:style>
  <w:style w:type="paragraph" w:styleId="Heading1">
    <w:name w:val="heading 1"/>
    <w:basedOn w:val="Normal"/>
    <w:next w:val="Normal"/>
    <w:qFormat w:val="1"/>
    <w:rsid w:val="00282A46"/>
    <w:pPr>
      <w:keepNext w:val="1"/>
      <w:outlineLvl w:val="0"/>
    </w:pPr>
    <w:rPr>
      <w:noProof w:val="1"/>
      <w:sz w:val="28"/>
    </w:rPr>
  </w:style>
  <w:style w:type="paragraph" w:styleId="Heading2">
    <w:name w:val="heading 2"/>
    <w:basedOn w:val="Normal"/>
    <w:next w:val="Normal"/>
    <w:qFormat w:val="1"/>
    <w:rsid w:val="00282A46"/>
    <w:pPr>
      <w:keepNext w:val="1"/>
      <w:outlineLvl w:val="1"/>
    </w:pPr>
    <w:rPr>
      <w:b w:val="1"/>
      <w:caps w:val="1"/>
      <w:noProof w:val="1"/>
      <w:sz w:val="18"/>
    </w:rPr>
  </w:style>
  <w:style w:type="paragraph" w:styleId="Heading3">
    <w:name w:val="heading 3"/>
    <w:basedOn w:val="Normal"/>
    <w:next w:val="Normal"/>
    <w:qFormat w:val="1"/>
    <w:rsid w:val="00282A46"/>
    <w:pPr>
      <w:keepNext w:val="1"/>
      <w:outlineLvl w:val="2"/>
    </w:pPr>
    <w:rPr>
      <w:rFonts w:ascii="Arial" w:eastAsia="Arial Unicode MS" w:hAnsi="Arial"/>
      <w:b w:val="1"/>
      <w:color w:val="3366ff"/>
      <w:sz w:val="18"/>
    </w:rPr>
  </w:style>
  <w:style w:type="paragraph" w:styleId="Heading4">
    <w:name w:val="heading 4"/>
    <w:basedOn w:val="Normal"/>
    <w:next w:val="Normal"/>
    <w:qFormat w:val="1"/>
    <w:rsid w:val="00282A46"/>
    <w:pPr>
      <w:keepNext w:val="1"/>
      <w:outlineLvl w:val="3"/>
    </w:pPr>
    <w:rPr>
      <w:b w:val="1"/>
      <w:caps w:val="1"/>
      <w:noProof w:val="1"/>
      <w:sz w:val="20"/>
    </w:rPr>
  </w:style>
  <w:style w:type="paragraph" w:styleId="Heading5">
    <w:name w:val="heading 5"/>
    <w:basedOn w:val="Normal"/>
    <w:next w:val="Normal"/>
    <w:qFormat w:val="1"/>
    <w:rsid w:val="00282A46"/>
    <w:pPr>
      <w:keepNext w:val="1"/>
      <w:spacing w:line="288" w:lineRule="auto"/>
      <w:outlineLvl w:val="4"/>
    </w:pPr>
    <w:rPr>
      <w:rFonts w:ascii="Arial" w:eastAsia="Arial Unicode MS" w:hAnsi="Arial"/>
      <w:b w:val="1"/>
      <w:sz w:val="16"/>
    </w:rPr>
  </w:style>
  <w:style w:type="paragraph" w:styleId="Heading6">
    <w:name w:val="heading 6"/>
    <w:basedOn w:val="Normal"/>
    <w:next w:val="Normal"/>
    <w:qFormat w:val="1"/>
    <w:rsid w:val="00282A46"/>
    <w:pPr>
      <w:keepNext w:val="1"/>
      <w:spacing w:line="288" w:lineRule="auto"/>
      <w:outlineLvl w:val="5"/>
    </w:pPr>
    <w:rPr>
      <w:rFonts w:ascii="Arial" w:eastAsia="Arial Unicode MS" w:hAnsi="Arial"/>
      <w:sz w:val="15"/>
      <w:u w:val="single"/>
    </w:rPr>
  </w:style>
  <w:style w:type="paragraph" w:styleId="Heading7">
    <w:name w:val="heading 7"/>
    <w:basedOn w:val="Normal"/>
    <w:next w:val="Normal"/>
    <w:qFormat w:val="1"/>
    <w:rsid w:val="00282A46"/>
    <w:pPr>
      <w:keepNext w:val="1"/>
      <w:spacing w:line="288" w:lineRule="auto"/>
      <w:outlineLvl w:val="6"/>
    </w:pPr>
    <w:rPr>
      <w:rFonts w:ascii="Arial" w:eastAsia="Arial Unicode MS" w:hAnsi="Arial"/>
      <w:color w:val="3366ff"/>
      <w:sz w:val="16"/>
      <w:u w:val="single"/>
    </w:rPr>
  </w:style>
  <w:style w:type="paragraph" w:styleId="Heading8">
    <w:name w:val="heading 8"/>
    <w:basedOn w:val="Normal"/>
    <w:next w:val="Normal"/>
    <w:qFormat w:val="1"/>
    <w:rsid w:val="00282A46"/>
    <w:pPr>
      <w:keepNext w:val="1"/>
      <w:spacing w:line="360" w:lineRule="auto"/>
      <w:outlineLvl w:val="7"/>
    </w:pPr>
    <w:rPr>
      <w:rFonts w:ascii="Arial" w:eastAsia="Arial Unicode MS" w:hAnsi="Arial"/>
      <w:b w:val="1"/>
      <w:sz w:val="15"/>
    </w:rPr>
  </w:style>
  <w:style w:type="paragraph" w:styleId="Heading9">
    <w:name w:val="heading 9"/>
    <w:basedOn w:val="Normal"/>
    <w:next w:val="Normal"/>
    <w:qFormat w:val="1"/>
    <w:rsid w:val="00282A46"/>
    <w:pPr>
      <w:keepNext w:val="1"/>
      <w:spacing w:line="288" w:lineRule="auto"/>
      <w:outlineLvl w:val="8"/>
    </w:pPr>
    <w:rPr>
      <w:rFonts w:ascii="Arial" w:hAnsi="Arial"/>
      <w:b w:val="1"/>
      <w:color w:val="000000"/>
      <w:sz w:val="1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rsid w:val="00282A46"/>
    <w:pPr>
      <w:jc w:val="both"/>
    </w:pPr>
    <w:rPr>
      <w:rFonts w:ascii="Arial" w:hAnsi="Arial"/>
      <w:sz w:val="22"/>
    </w:rPr>
  </w:style>
  <w:style w:type="paragraph" w:styleId="BodyText2">
    <w:name w:val="Body Text 2"/>
    <w:basedOn w:val="Normal"/>
    <w:semiHidden w:val="1"/>
    <w:rsid w:val="00282A46"/>
    <w:rPr>
      <w:noProof w:val="1"/>
      <w:sz w:val="18"/>
    </w:rPr>
  </w:style>
  <w:style w:type="paragraph" w:styleId="BodyTextIndent">
    <w:name w:val="Body Text Indent"/>
    <w:basedOn w:val="Normal"/>
    <w:semiHidden w:val="1"/>
    <w:rsid w:val="00282A46"/>
    <w:pPr>
      <w:ind w:left="720" w:hanging="720"/>
      <w:jc w:val="both"/>
    </w:pPr>
    <w:rPr>
      <w:sz w:val="22"/>
      <w:lang w:val="en-GB"/>
    </w:rPr>
  </w:style>
  <w:style w:type="paragraph" w:styleId="BodyTextIndent2">
    <w:name w:val="Body Text Indent 2"/>
    <w:basedOn w:val="Normal"/>
    <w:semiHidden w:val="1"/>
    <w:rsid w:val="00282A46"/>
    <w:pPr>
      <w:ind w:left="720" w:hanging="360"/>
    </w:pPr>
    <w:rPr>
      <w:sz w:val="20"/>
      <w:lang w:val="en-GB"/>
    </w:rPr>
  </w:style>
  <w:style w:type="paragraph" w:styleId="BodyText3">
    <w:name w:val="Body Text 3"/>
    <w:basedOn w:val="Normal"/>
    <w:semiHidden w:val="1"/>
    <w:rsid w:val="00282A46"/>
    <w:pPr>
      <w:jc w:val="both"/>
    </w:pPr>
    <w:rPr>
      <w:rFonts w:ascii="Arial Unicode MS" w:eastAsia="Arial Unicode MS" w:hAnsi="Arial Unicode MS"/>
      <w:sz w:val="16"/>
    </w:rPr>
  </w:style>
  <w:style w:type="paragraph" w:styleId="Header">
    <w:name w:val="header"/>
    <w:basedOn w:val="Normal"/>
    <w:link w:val="HeaderChar"/>
    <w:semiHidden w:val="1"/>
    <w:rsid w:val="00282A46"/>
    <w:pPr>
      <w:tabs>
        <w:tab w:val="center" w:pos="4320"/>
        <w:tab w:val="right" w:pos="8640"/>
      </w:tabs>
    </w:pPr>
    <w:rPr>
      <w:rFonts w:ascii="Arial" w:hAnsi="Arial"/>
      <w:sz w:val="22"/>
      <w:lang w:val="en-GB"/>
    </w:rPr>
  </w:style>
  <w:style w:type="paragraph" w:styleId="Title">
    <w:name w:val="Title"/>
    <w:basedOn w:val="Normal"/>
    <w:qFormat w:val="1"/>
    <w:rsid w:val="00282A46"/>
    <w:pPr>
      <w:jc w:val="center"/>
    </w:pPr>
    <w:rPr>
      <w:rFonts w:ascii="Tahoma" w:hAnsi="Tahoma"/>
      <w:b w:val="1"/>
      <w:color w:val="3366ff"/>
      <w:sz w:val="18"/>
    </w:rPr>
  </w:style>
  <w:style w:type="paragraph" w:styleId="BodyTextIndent3">
    <w:name w:val="Body Text Indent 3"/>
    <w:basedOn w:val="Normal"/>
    <w:semiHidden w:val="1"/>
    <w:rsid w:val="00282A46"/>
    <w:pPr>
      <w:ind w:left="-360" w:firstLine="720"/>
    </w:pPr>
    <w:rPr>
      <w:rFonts w:ascii="Arial" w:hAnsi="Arial"/>
      <w:color w:val="000000"/>
      <w:sz w:val="15"/>
    </w:rPr>
  </w:style>
  <w:style w:type="paragraph" w:styleId="Footer">
    <w:name w:val="footer"/>
    <w:basedOn w:val="Normal"/>
    <w:link w:val="FooterChar"/>
    <w:uiPriority w:val="99"/>
    <w:rsid w:val="00282A46"/>
    <w:pPr>
      <w:tabs>
        <w:tab w:val="center" w:pos="4320"/>
        <w:tab w:val="right" w:pos="8640"/>
      </w:tabs>
    </w:pPr>
  </w:style>
  <w:style w:type="character" w:styleId="PageNumber">
    <w:name w:val="page number"/>
    <w:semiHidden w:val="1"/>
    <w:rsid w:val="00282A46"/>
    <w:rPr>
      <w:rFonts w:ascii="Comic Sans MS" w:hAnsi="Comic Sans MS"/>
      <w:b w:val="1"/>
      <w:color w:val="666699"/>
      <w:sz w:val="14"/>
    </w:rPr>
  </w:style>
  <w:style w:type="paragraph" w:styleId="DocumentMap">
    <w:name w:val="Document Map"/>
    <w:basedOn w:val="Normal"/>
    <w:semiHidden w:val="1"/>
    <w:rsid w:val="00282A46"/>
    <w:pPr>
      <w:shd w:color="auto" w:fill="000080" w:val="clear"/>
    </w:pPr>
    <w:rPr>
      <w:rFonts w:ascii="Tahoma" w:hAnsi="Tahoma"/>
    </w:rPr>
  </w:style>
  <w:style w:type="character" w:styleId="Hyperlink">
    <w:name w:val="Hyperlink"/>
    <w:semiHidden w:val="1"/>
    <w:rsid w:val="00282A46"/>
    <w:rPr>
      <w:color w:val="0000ff"/>
      <w:u w:val="single"/>
    </w:rPr>
  </w:style>
  <w:style w:type="paragraph" w:styleId="NormalWeb">
    <w:name w:val="Normal (Web)"/>
    <w:basedOn w:val="Normal"/>
    <w:uiPriority w:val="99"/>
    <w:rsid w:val="00282A46"/>
    <w:pPr>
      <w:spacing w:after="100" w:afterAutospacing="1" w:before="100" w:beforeAutospacing="1"/>
    </w:pPr>
    <w:rPr>
      <w:rFonts w:eastAsia="SimSun"/>
      <w:lang w:eastAsia="zh-CN"/>
    </w:rPr>
  </w:style>
  <w:style w:type="character" w:styleId="Strong">
    <w:name w:val="Strong"/>
    <w:qFormat w:val="1"/>
    <w:rsid w:val="00282A46"/>
    <w:rPr>
      <w:b w:val="1"/>
    </w:rPr>
  </w:style>
  <w:style w:type="character" w:styleId="Emphasis">
    <w:name w:val="Emphasis"/>
    <w:qFormat w:val="1"/>
    <w:rsid w:val="00282A46"/>
    <w:rPr>
      <w:i w:val="1"/>
    </w:rPr>
  </w:style>
  <w:style w:type="paragraph" w:styleId="Index1">
    <w:name w:val="index 1"/>
    <w:basedOn w:val="Normal"/>
    <w:next w:val="Normal"/>
    <w:autoRedefine w:val="1"/>
    <w:semiHidden w:val="1"/>
    <w:rsid w:val="00282A46"/>
    <w:pPr>
      <w:ind w:left="240" w:hanging="240"/>
    </w:pPr>
  </w:style>
  <w:style w:type="paragraph" w:styleId="Index2">
    <w:name w:val="index 2"/>
    <w:basedOn w:val="Normal"/>
    <w:next w:val="Normal"/>
    <w:autoRedefine w:val="1"/>
    <w:semiHidden w:val="1"/>
    <w:rsid w:val="00282A46"/>
    <w:pPr>
      <w:ind w:left="480" w:hanging="240"/>
    </w:pPr>
  </w:style>
  <w:style w:type="paragraph" w:styleId="Index3">
    <w:name w:val="index 3"/>
    <w:basedOn w:val="Normal"/>
    <w:next w:val="Normal"/>
    <w:autoRedefine w:val="1"/>
    <w:semiHidden w:val="1"/>
    <w:rsid w:val="00282A46"/>
    <w:pPr>
      <w:ind w:left="720" w:hanging="240"/>
    </w:pPr>
  </w:style>
  <w:style w:type="paragraph" w:styleId="Index4">
    <w:name w:val="index 4"/>
    <w:basedOn w:val="Normal"/>
    <w:next w:val="Normal"/>
    <w:autoRedefine w:val="1"/>
    <w:semiHidden w:val="1"/>
    <w:rsid w:val="00282A46"/>
    <w:pPr>
      <w:ind w:left="960" w:hanging="240"/>
    </w:pPr>
  </w:style>
  <w:style w:type="paragraph" w:styleId="Index5">
    <w:name w:val="index 5"/>
    <w:basedOn w:val="Normal"/>
    <w:next w:val="Normal"/>
    <w:autoRedefine w:val="1"/>
    <w:semiHidden w:val="1"/>
    <w:rsid w:val="00282A46"/>
    <w:pPr>
      <w:ind w:left="1200" w:hanging="240"/>
    </w:pPr>
  </w:style>
  <w:style w:type="paragraph" w:styleId="Index6">
    <w:name w:val="index 6"/>
    <w:basedOn w:val="Normal"/>
    <w:next w:val="Normal"/>
    <w:autoRedefine w:val="1"/>
    <w:semiHidden w:val="1"/>
    <w:rsid w:val="00282A46"/>
    <w:pPr>
      <w:ind w:left="1440" w:hanging="240"/>
    </w:pPr>
  </w:style>
  <w:style w:type="paragraph" w:styleId="Index7">
    <w:name w:val="index 7"/>
    <w:basedOn w:val="Normal"/>
    <w:next w:val="Normal"/>
    <w:autoRedefine w:val="1"/>
    <w:semiHidden w:val="1"/>
    <w:rsid w:val="00282A46"/>
    <w:pPr>
      <w:ind w:left="1680" w:hanging="240"/>
    </w:pPr>
  </w:style>
  <w:style w:type="paragraph" w:styleId="Index8">
    <w:name w:val="index 8"/>
    <w:basedOn w:val="Normal"/>
    <w:next w:val="Normal"/>
    <w:autoRedefine w:val="1"/>
    <w:semiHidden w:val="1"/>
    <w:rsid w:val="00282A46"/>
    <w:pPr>
      <w:ind w:left="1920" w:hanging="240"/>
    </w:pPr>
  </w:style>
  <w:style w:type="paragraph" w:styleId="Index9">
    <w:name w:val="index 9"/>
    <w:basedOn w:val="Normal"/>
    <w:next w:val="Normal"/>
    <w:autoRedefine w:val="1"/>
    <w:semiHidden w:val="1"/>
    <w:rsid w:val="00282A46"/>
    <w:pPr>
      <w:ind w:left="2160" w:hanging="240"/>
    </w:pPr>
  </w:style>
  <w:style w:type="paragraph" w:styleId="IndexHeading">
    <w:name w:val="index heading"/>
    <w:basedOn w:val="Normal"/>
    <w:next w:val="Index1"/>
    <w:semiHidden w:val="1"/>
    <w:rsid w:val="00282A46"/>
  </w:style>
  <w:style w:type="paragraph" w:styleId="BalloonText">
    <w:name w:val="Balloon Text"/>
    <w:basedOn w:val="Normal"/>
    <w:link w:val="BalloonTextChar"/>
    <w:uiPriority w:val="99"/>
    <w:semiHidden w:val="1"/>
    <w:unhideWhenUsed w:val="1"/>
    <w:rsid w:val="00905571"/>
    <w:rPr>
      <w:rFonts w:ascii="Tahoma" w:hAnsi="Tahoma"/>
      <w:sz w:val="16"/>
      <w:szCs w:val="16"/>
      <w:lang w:eastAsia="x-none" w:val="x-none"/>
    </w:rPr>
  </w:style>
  <w:style w:type="character" w:styleId="BalloonTextChar" w:customStyle="1">
    <w:name w:val="Balloon Text Char"/>
    <w:link w:val="BalloonText"/>
    <w:uiPriority w:val="99"/>
    <w:semiHidden w:val="1"/>
    <w:rsid w:val="00905571"/>
    <w:rPr>
      <w:rFonts w:ascii="Tahoma" w:cs="Tahoma" w:hAnsi="Tahoma"/>
      <w:sz w:val="16"/>
      <w:szCs w:val="16"/>
    </w:rPr>
  </w:style>
  <w:style w:type="table" w:styleId="TableGrid">
    <w:name w:val="Table Grid"/>
    <w:basedOn w:val="TableNormal"/>
    <w:uiPriority w:val="59"/>
    <w:rsid w:val="00EC12E3"/>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ColorfulShading-Accent31" w:customStyle="1">
    <w:name w:val="Colorful Shading - Accent 31"/>
    <w:basedOn w:val="Normal"/>
    <w:uiPriority w:val="34"/>
    <w:qFormat w:val="1"/>
    <w:rsid w:val="008D7F38"/>
    <w:pPr>
      <w:spacing w:after="200" w:line="276" w:lineRule="auto"/>
      <w:ind w:left="720"/>
      <w:contextualSpacing w:val="1"/>
    </w:pPr>
    <w:rPr>
      <w:rFonts w:ascii="Calibri" w:eastAsia="Calibri" w:hAnsi="Calibri"/>
      <w:sz w:val="22"/>
      <w:szCs w:val="22"/>
    </w:rPr>
  </w:style>
  <w:style w:type="table" w:styleId="MediumShading1-Accent3">
    <w:name w:val="Medium Shading 1 Accent 3"/>
    <w:basedOn w:val="TableNormal"/>
    <w:uiPriority w:val="29"/>
    <w:qFormat w:val="1"/>
    <w:rsid w:val="008F7F89"/>
    <w:rPr>
      <w:color w:val="000000"/>
    </w:rPr>
    <w:tblPr>
      <w:tblStyleRowBandSize w:val="1"/>
      <w:tblStyleColBandSize w:val="1"/>
      <w:tblBorders>
        <w:insideH w:color="ffffff" w:space="0" w:sz="4" w:val="single"/>
      </w:tblBorders>
    </w:tblPr>
    <w:tcPr>
      <w:shd w:color="auto" w:fill="cccccc" w:val="clear"/>
    </w:tcPr>
    <w:tblStylePr w:type="firstRow">
      <w:rPr>
        <w:b w:val="1"/>
        <w:bCs w:val="1"/>
      </w:rPr>
      <w:tblPr/>
      <w:tcPr>
        <w:shd w:color="auto" w:fill="999999" w:val="clear"/>
      </w:tcPr>
    </w:tblStylePr>
    <w:tblStylePr w:type="lastRow">
      <w:rPr>
        <w:b w:val="1"/>
        <w:bCs w:val="1"/>
        <w:color w:val="000000"/>
      </w:rPr>
      <w:tblPr/>
      <w:tcPr>
        <w:shd w:color="auto" w:fill="999999" w:val="clear"/>
      </w:tcPr>
    </w:tblStylePr>
    <w:tblStylePr w:type="firstCol">
      <w:rPr>
        <w:color w:val="ffffff"/>
      </w:rPr>
      <w:tblPr/>
      <w:tcPr>
        <w:shd w:color="auto" w:fill="000000" w:val="clear"/>
      </w:tcPr>
    </w:tblStylePr>
    <w:tblStylePr w:type="lastCol">
      <w:rPr>
        <w:color w:val="ffffff"/>
      </w:rPr>
      <w:tblPr/>
      <w:tcPr>
        <w:shd w:color="auto" w:fill="000000" w:val="clear"/>
      </w:tcPr>
    </w:tblStylePr>
    <w:tblStylePr w:type="band1Vert">
      <w:tblPr/>
      <w:tcPr>
        <w:shd w:color="auto" w:fill="808080" w:val="clear"/>
      </w:tcPr>
    </w:tblStylePr>
    <w:tblStylePr w:type="band1Horz">
      <w:tblPr/>
      <w:tcPr>
        <w:shd w:color="auto" w:fill="808080" w:val="clear"/>
      </w:tcPr>
    </w:tblStylePr>
  </w:style>
  <w:style w:type="character" w:styleId="FooterChar" w:customStyle="1">
    <w:name w:val="Footer Char"/>
    <w:link w:val="Footer"/>
    <w:uiPriority w:val="99"/>
    <w:rsid w:val="00DA4AD7"/>
    <w:rPr>
      <w:sz w:val="24"/>
      <w:lang w:eastAsia="en-US"/>
    </w:rPr>
  </w:style>
  <w:style w:type="paragraph" w:styleId="ColorfulList-Accent11" w:customStyle="1">
    <w:name w:val="Colorful List - Accent 11"/>
    <w:basedOn w:val="Normal"/>
    <w:uiPriority w:val="34"/>
    <w:qFormat w:val="1"/>
    <w:rsid w:val="00A838D3"/>
    <w:pPr>
      <w:ind w:left="720"/>
      <w:contextualSpacing w:val="1"/>
    </w:pPr>
  </w:style>
  <w:style w:type="character" w:styleId="HeaderChar" w:customStyle="1">
    <w:name w:val="Header Char"/>
    <w:basedOn w:val="DefaultParagraphFont"/>
    <w:link w:val="Header"/>
    <w:semiHidden w:val="1"/>
    <w:rsid w:val="006F2AF3"/>
    <w:rPr>
      <w:rFonts w:ascii="Arial" w:hAnsi="Arial"/>
      <w:sz w:val="22"/>
      <w:lang w:eastAsia="en-US"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line="288" w:lineRule="auto"/>
    </w:pPr>
    <w:rPr>
      <w:rFonts w:ascii="Tahoma" w:cs="Tahoma" w:eastAsia="Tahoma" w:hAnsi="Tahoma"/>
      <w:sz w:val="16"/>
      <w:szCs w:val="16"/>
      <w:u w:val="single"/>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ermanentMarker-regular.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qZKN2IZW6qF2jtZT7wwjt0XAPg==">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2019-05-21T05:52:00Z</dcterms:created>
  <dc:creator>dr03268i</dc:creator>
</cp:coreProperties>
</file>