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ind w:right="68"/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ANTIBIOTIC PROPHYLAXIS FOR THE PREVENTION OF INFECTIVE ENDOCARDITIS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Risk factors for developing IE include: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Unrepaired cyanotic congenital heart defect (birth defects with oxygen levels lower than normal)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repaired congenital heart defect, with residual shunts or valvular regurgitation at the site adjacent to the site of a prosthetic patch or prosthetic device.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Previous </w:t>
      </w:r>
      <w:hyperlink r:id="rId7">
        <w:r w:rsidDel="00000000" w:rsidR="00000000" w:rsidRPr="00000000">
          <w:rPr>
            <w:rFonts w:ascii="Tahoma" w:cs="Tahoma" w:eastAsia="Tahoma" w:hAnsi="Tahoma"/>
            <w:sz w:val="16"/>
            <w:szCs w:val="16"/>
            <w:rtl w:val="0"/>
          </w:rPr>
          <w:t xml:space="preserve">heart valve surgery</w:t>
        </w:r>
      </w:hyperlink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including replacement  and  including transcatheter-implanted prostheses and homografts.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Previous history of IE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Hypertrophic cardiomyopathy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Heart transplant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Intravenous drug use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ind w:left="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left="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AHA Guidelines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People with the highest risk for poor outcomes from IE may be prescribed antibiotics (IE prophylaxis) prior to certain dental procedures including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procedures that involve manipulation of gingival (gum) tissue,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periapical region (area around the roots) of teeth,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perforation of the oral mucosa.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0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Except for the conditions listed above, antibiotic prophylaxis before dental procedures is not recommended for any other types of congenital heart disease.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Nice guidelines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Antibiotic prophylaxis against infective endocarditis is not recommended routinely: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people undergoing dental procedures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for people undergoing non-dental procedures at the following sites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upper and lower gastrointestinal tract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genitourinary tract; this includes urological, gynaecological and obstetric procedures, and childbirth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rPr>
          <w:rFonts w:ascii="Tahoma" w:cs="Tahoma" w:eastAsia="Tahoma" w:hAnsi="Tahoma"/>
          <w:sz w:val="16"/>
          <w:szCs w:val="16"/>
          <w:u w:val="non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upper and lower respiratory tract; this includes ear, nose and throat procedures and bronchoscopy. [2015] 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evidence reviews for this guideline covered only procedures at the sites listed in this recommendation. Procedures at other sites are outside the scope of the guideline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2655"/>
        <w:tblGridChange w:id="0">
          <w:tblGrid>
            <w:gridCol w:w="2550"/>
            <w:gridCol w:w="2655"/>
          </w:tblGrid>
        </w:tblGridChange>
      </w:tblGrid>
    </w:tbl>
    <w:p w:rsidR="00000000" w:rsidDel="00000000" w:rsidP="00000000" w:rsidRDefault="00000000" w:rsidRPr="00000000" w14:paraId="0000001F">
      <w:pPr>
        <w:spacing w:line="240" w:lineRule="auto"/>
        <w:rPr>
          <w:rFonts w:ascii="Tahoma" w:cs="Tahoma" w:eastAsia="Tahoma" w:hAnsi="Tahoma"/>
          <w:b w:val="1"/>
          <w:sz w:val="16"/>
          <w:szCs w:val="16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8641" w:w="5761" w:orient="portrait"/>
          <w:pgMar w:bottom="567" w:top="567" w:left="284" w:right="284" w:header="284" w:footer="2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56"/>
        </w:tabs>
        <w:spacing w:after="0" w:line="240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Antibiotic Regimens for a Dental Procedure Regimen: Single Dose 30-60 Minutes Before Procedure</w:t>
      </w: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2261.999999999999"/>
        <w:gridCol w:w="1263.0000000000007"/>
        <w:gridCol w:w="1755"/>
        <w:tblGridChange w:id="0">
          <w:tblGrid>
            <w:gridCol w:w="2775"/>
            <w:gridCol w:w="2261.999999999999"/>
            <w:gridCol w:w="1263.0000000000007"/>
            <w:gridCol w:w="1755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Situation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ahoma" w:cs="Tahoma" w:eastAsia="Tahoma" w:hAnsi="Tahoma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u w:val="single"/>
                <w:rtl w:val="0"/>
              </w:rPr>
              <w:t xml:space="preserve">Agent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ahoma" w:cs="Tahoma" w:eastAsia="Tahoma" w:hAnsi="Tahoma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u w:val="single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ahoma" w:cs="Tahoma" w:eastAsia="Tahoma" w:hAnsi="Tahoma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u w:val="single"/>
                <w:rtl w:val="0"/>
              </w:rPr>
              <w:t xml:space="preserve">Children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Oral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2256"/>
              </w:tabs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Amoxicillin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2256"/>
              </w:tabs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2256"/>
              </w:tabs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mg/kg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Unable to take oral medication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Ampicillin 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g IM or IV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mg/kg IM or IV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Cefazolin or Ceftriaxone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g IM or IV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mg/kg IM or IV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Allergic to Penicillin or Ampicillin - 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Cephalexin*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vertAlign w:val="superscript"/>
                    <w:rtl w:val="0"/>
                  </w:rPr>
                  <w:t xml:space="preserve">┿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mg/kg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Azithromycin or Clarithromycin 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100 mg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mg/kg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Doxycycline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100 mg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&lt;45 kg, 2.2 mg/kg</w:t>
              <w:br w:type="textWrapping"/>
              <w:t xml:space="preserve">&gt;45 kg, 100mg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Allergic to Pencillin or Ampicillin and unable to take oral medication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Cefazolin or Ceftriaxone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vertAlign w:val="superscript"/>
                    <w:rtl w:val="0"/>
                  </w:rPr>
                  <w:t xml:space="preserve">┿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g IM or IV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mg/kg IM or IV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Clindamycin is no longer recommended for antibiotic prophylaxis for a delta procedure.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IM indicates intramuscular and IV indicates intravenous.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*Or other first- or second-generation oral Cephalosporin in equivalent adult or pediatric dosing.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ahoma" w:cs="Tahoma" w:eastAsia="Tahoma" w:hAnsi="Tahoma"/>
          <w:sz w:val="14"/>
          <w:szCs w:val="14"/>
        </w:rPr>
        <w:sectPr>
          <w:type w:val="nextPage"/>
          <w:pgSz w:h="5761" w:w="8641" w:orient="landscape"/>
          <w:pgMar w:bottom="567" w:top="567" w:left="284" w:right="284" w:header="284" w:footer="284"/>
        </w:sect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4"/>
              <w:szCs w:val="14"/>
              <w:vertAlign w:val="superscript"/>
              <w:rtl w:val="0"/>
            </w:rPr>
            <w:t xml:space="preserve">┿</w:t>
          </w:r>
        </w:sdtContent>
      </w:sdt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Cephalosporins should not be used in an individual with a history of anaphylaxis, angioedema, or urticarial with a history of anaphylaxis, angiodema, or urticarial with penicillin or amppcillin.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Prophylaxis against infective endocarditis: antimicrobial prophylaxis against infective endocarditis in adults and children undergoing interventional procedures. London: National Institute for Health and Care Excellence (NICE); 2016 Jul. (NICE Clinical Guidelines, No. 64.)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Wilson WR;Gewitz M;Lockhart PB;Bolger AF;DeSimone DC;Kazi DS;Couper DJ;Beaton A;Kilmartin C;Miro JM;Sable C;Jackson MA;Baddour LM; ; (n.d.). Prevention of viridans group streptococcal infective endocarditis: A scientific statement from the American Heart Association. Circulation. https://pubmed.ncbi.nlm.nih.gov/33853363/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8641" w:w="5761" w:orient="portrait"/>
      <w:pgMar w:bottom="567" w:top="567" w:left="284" w:right="284" w:header="284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Arial Unicode MS"/>
  <w:font w:name="Comic Sans MS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 Anaesthesia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17v300i10ic2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215A24"/>
    <w:pPr>
      <w:keepNext w:val="1"/>
      <w:spacing w:after="0" w:line="240" w:lineRule="auto"/>
      <w:outlineLvl w:val="2"/>
    </w:pPr>
    <w:rPr>
      <w:rFonts w:ascii="Arial" w:cs="Times New Roman" w:eastAsia="Arial Unicode MS" w:hAnsi="Arial"/>
      <w:b w:val="1"/>
      <w:color w:val="3366ff"/>
      <w:sz w:val="18"/>
      <w:szCs w:val="20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31B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333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3Char" w:customStyle="1">
    <w:name w:val="Heading 3 Char"/>
    <w:basedOn w:val="DefaultParagraphFont"/>
    <w:link w:val="Heading3"/>
    <w:rsid w:val="00215A24"/>
    <w:rPr>
      <w:rFonts w:ascii="Arial" w:cs="Times New Roman" w:eastAsia="Arial Unicode MS" w:hAnsi="Arial"/>
      <w:b w:val="1"/>
      <w:color w:val="3366ff"/>
      <w:sz w:val="18"/>
      <w:szCs w:val="20"/>
      <w:lang w:eastAsia="zh-CN"/>
    </w:rPr>
  </w:style>
  <w:style w:type="paragraph" w:styleId="Default" w:customStyle="1">
    <w:name w:val="Default"/>
    <w:rsid w:val="00BD567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 w:val="1"/>
    <w:rsid w:val="00074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074689"/>
  </w:style>
  <w:style w:type="paragraph" w:styleId="Footer">
    <w:name w:val="footer"/>
    <w:basedOn w:val="Normal"/>
    <w:link w:val="FooterChar"/>
    <w:uiPriority w:val="99"/>
    <w:unhideWhenUsed w:val="1"/>
    <w:rsid w:val="00074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68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eart.org/en/health-topics/heart-valve-problems-and-disease/understanding-your-heart-valve-treatment-option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jrA1i9LGfaGxCgVPvRoCcRSvAQ==">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2016-11-21T09:04:00Z</dcterms:created>
  <dc:creator>Temp IT Installer Account</dc:creator>
</cp:coreProperties>
</file>