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13" w:right="-20" w:firstLine="0"/>
        <w:jc w:val="center"/>
        <w:rPr>
          <w:rFonts w:ascii="Tahoma" w:cs="Tahoma" w:eastAsia="Tahoma" w:hAnsi="Tahoma"/>
          <w:b w:val="1"/>
          <w:sz w:val="16"/>
          <w:szCs w:val="16"/>
        </w:rPr>
      </w:pPr>
      <w:r w:rsidDel="00000000" w:rsidR="00000000" w:rsidRPr="00000000">
        <w:rPr>
          <w:rFonts w:ascii="Tahoma" w:cs="Tahoma" w:eastAsia="Tahoma" w:hAnsi="Tahoma"/>
          <w:b w:val="1"/>
          <w:color w:val="3366ff"/>
          <w:sz w:val="16"/>
          <w:szCs w:val="16"/>
          <w:rtl w:val="0"/>
        </w:rPr>
        <w:t xml:space="preserve">LOCAL ANAESTHESIA SYSTEMIC TOXICITY (LAST)</w:t>
      </w: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sz w:val="16"/>
          <w:szCs w:val="16"/>
          <w:rtl w:val="0"/>
        </w:rPr>
        <w:t xml:space="preserve">                                                  </w:t>
      </w:r>
      <w:r w:rsidDel="00000000" w:rsidR="00000000" w:rsidRPr="00000000">
        <w:rPr>
          <w:rtl w:val="0"/>
        </w:rPr>
      </w:r>
    </w:p>
    <w:p w:rsidR="00000000" w:rsidDel="00000000" w:rsidP="00000000" w:rsidRDefault="00000000" w:rsidRPr="00000000" w14:paraId="00000002">
      <w:pPr>
        <w:widowControl w:val="1"/>
        <w:tabs>
          <w:tab w:val="left" w:leader="none" w:pos="2862"/>
          <w:tab w:val="center" w:leader="none" w:pos="4150"/>
        </w:tabs>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03">
      <w:pPr>
        <w:widowControl w:val="1"/>
        <w:tabs>
          <w:tab w:val="left" w:leader="none" w:pos="2862"/>
          <w:tab w:val="center" w:leader="none" w:pos="4150"/>
        </w:tabs>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Etiology:</w:t>
      </w:r>
    </w:p>
    <w:p w:rsidR="00000000" w:rsidDel="00000000" w:rsidP="00000000" w:rsidRDefault="00000000" w:rsidRPr="00000000" w14:paraId="00000004">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Intravascular injection or absorption of local anesthetics.</w:t>
      </w:r>
    </w:p>
    <w:p w:rsidR="00000000" w:rsidDel="00000000" w:rsidP="00000000" w:rsidRDefault="00000000" w:rsidRPr="00000000" w14:paraId="00000005">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6">
      <w:pPr>
        <w:widowControl w:val="1"/>
        <w:tabs>
          <w:tab w:val="left" w:leader="none" w:pos="2862"/>
          <w:tab w:val="center" w:leader="none" w:pos="4150"/>
        </w:tabs>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Pathophysiology:</w:t>
      </w:r>
    </w:p>
    <w:p w:rsidR="00000000" w:rsidDel="00000000" w:rsidP="00000000" w:rsidRDefault="00000000" w:rsidRPr="00000000" w14:paraId="00000007">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Local anesthetics bind to voltage gated sodium channels and inhibit conduction across fibers leading to cardiac conduction defects, contractile dysfunction and arrhythmias.</w:t>
      </w:r>
    </w:p>
    <w:p w:rsidR="00000000" w:rsidDel="00000000" w:rsidP="00000000" w:rsidRDefault="00000000" w:rsidRPr="00000000" w14:paraId="00000008">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Multiple theories have been proposed to Central nervous system toxicity.</w:t>
      </w:r>
    </w:p>
    <w:p w:rsidR="00000000" w:rsidDel="00000000" w:rsidP="00000000" w:rsidRDefault="00000000" w:rsidRPr="00000000" w14:paraId="00000009">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A">
      <w:pPr>
        <w:widowControl w:val="1"/>
        <w:tabs>
          <w:tab w:val="left" w:leader="none" w:pos="2862"/>
          <w:tab w:val="center" w:leader="none" w:pos="4150"/>
        </w:tabs>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Incidence:</w:t>
      </w:r>
    </w:p>
    <w:p w:rsidR="00000000" w:rsidDel="00000000" w:rsidP="00000000" w:rsidRDefault="00000000" w:rsidRPr="00000000" w14:paraId="0000000B">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In a recent French study by Schweitzer‑Chaput et al, of 512 cases reported LAST was seen in 64 cases.30 % in infants. Lidocaine was involved in 47% and ropivacaine in 14% cases.</w:t>
      </w:r>
    </w:p>
    <w:p w:rsidR="00000000" w:rsidDel="00000000" w:rsidP="00000000" w:rsidRDefault="00000000" w:rsidRPr="00000000" w14:paraId="0000000C">
      <w:pPr>
        <w:widowControl w:val="1"/>
        <w:tabs>
          <w:tab w:val="left" w:leader="none" w:pos="2862"/>
          <w:tab w:val="center" w:leader="none" w:pos="4150"/>
        </w:tabs>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D">
      <w:pPr>
        <w:widowControl w:val="1"/>
        <w:tabs>
          <w:tab w:val="left" w:leader="none" w:pos="2862"/>
          <w:tab w:val="center" w:leader="none" w:pos="4150"/>
        </w:tabs>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Risk factors:</w:t>
      </w:r>
    </w:p>
    <w:p w:rsidR="00000000" w:rsidDel="00000000" w:rsidP="00000000" w:rsidRDefault="00000000" w:rsidRPr="00000000" w14:paraId="0000000E">
      <w:pPr>
        <w:widowControl w:val="1"/>
        <w:numPr>
          <w:ilvl w:val="0"/>
          <w:numId w:val="1"/>
        </w:numPr>
        <w:tabs>
          <w:tab w:val="left" w:leader="none" w:pos="2862"/>
          <w:tab w:val="center" w:leader="none" w:pos="4150"/>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Patients at extremes of ages. More commonly reported in neonates and infants</w:t>
      </w:r>
    </w:p>
    <w:p w:rsidR="00000000" w:rsidDel="00000000" w:rsidP="00000000" w:rsidRDefault="00000000" w:rsidRPr="00000000" w14:paraId="0000000F">
      <w:pPr>
        <w:widowControl w:val="1"/>
        <w:numPr>
          <w:ilvl w:val="0"/>
          <w:numId w:val="1"/>
        </w:numPr>
        <w:tabs>
          <w:tab w:val="left" w:leader="none" w:pos="2862"/>
          <w:tab w:val="center" w:leader="none" w:pos="4150"/>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Penile block,) caudal analgesia and dental procedures</w:t>
      </w:r>
    </w:p>
    <w:p w:rsidR="00000000" w:rsidDel="00000000" w:rsidP="00000000" w:rsidRDefault="00000000" w:rsidRPr="00000000" w14:paraId="00000010">
      <w:pPr>
        <w:widowControl w:val="1"/>
        <w:numPr>
          <w:ilvl w:val="0"/>
          <w:numId w:val="1"/>
        </w:numPr>
        <w:tabs>
          <w:tab w:val="left" w:leader="none" w:pos="2862"/>
          <w:tab w:val="center" w:leader="none" w:pos="4150"/>
        </w:tabs>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Hepatic, renal or cardiac dysfunction</w:t>
      </w:r>
    </w:p>
    <w:p w:rsidR="00000000" w:rsidDel="00000000" w:rsidP="00000000" w:rsidRDefault="00000000" w:rsidRPr="00000000" w14:paraId="00000011">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2">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Signs of severe toxicity: </w:t>
      </w:r>
    </w:p>
    <w:p w:rsidR="00000000" w:rsidDel="00000000" w:rsidP="00000000" w:rsidRDefault="00000000" w:rsidRPr="00000000" w14:paraId="00000013">
      <w:pPr>
        <w:widowControl w:val="1"/>
        <w:numPr>
          <w:ilvl w:val="0"/>
          <w:numId w:val="2"/>
        </w:numP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Initially it presents with sudden alteration in mental status, metallic taste, tinnitus, severe agitation or loss of consciousness, with or without tonic-clonic convulsions. Minor signs are difficult to detect in children. In nonverbal children crying maybe the first sign.</w:t>
      </w:r>
    </w:p>
    <w:p w:rsidR="00000000" w:rsidDel="00000000" w:rsidP="00000000" w:rsidRDefault="00000000" w:rsidRPr="00000000" w14:paraId="00000014">
      <w:pPr>
        <w:widowControl w:val="1"/>
        <w:numPr>
          <w:ilvl w:val="0"/>
          <w:numId w:val="2"/>
        </w:numP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Cardiovascular signs: sinus bradycardia, conduction blocks, asystole and ventricular tachyarrhythmias leading to CVS collapse.</w:t>
      </w:r>
    </w:p>
    <w:p w:rsidR="00000000" w:rsidDel="00000000" w:rsidP="00000000" w:rsidRDefault="00000000" w:rsidRPr="00000000" w14:paraId="00000015">
      <w:pPr>
        <w:widowControl w:val="1"/>
        <w:numPr>
          <w:ilvl w:val="0"/>
          <w:numId w:val="2"/>
        </w:numP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Local anaesthetic toxicity may occur immediately or up to 60 minutes following the initial administration after an initial injection.</w:t>
      </w:r>
    </w:p>
    <w:p w:rsidR="00000000" w:rsidDel="00000000" w:rsidP="00000000" w:rsidRDefault="00000000" w:rsidRPr="00000000" w14:paraId="00000016">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7">
      <w:pPr>
        <w:widowControl w:val="1"/>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8">
      <w:pPr>
        <w:widowControl w:val="1"/>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9">
      <w:pPr>
        <w:widowControl w:val="1"/>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A">
      <w:pPr>
        <w:widowControl w:val="1"/>
        <w:spacing w:after="0" w:line="240"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1B">
      <w:pPr>
        <w:widowControl w:val="1"/>
        <w:spacing w:after="0"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w:t>
      </w:r>
    </w:p>
    <w:p w:rsidR="00000000" w:rsidDel="00000000" w:rsidP="00000000" w:rsidRDefault="00000000" w:rsidRPr="00000000" w14:paraId="0000001C">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Several non-specific guidelines are available. Association of Anaesthetist guidelines 2023 are one of the recent available guidelines. Link is available in references. An Infomatic more specific to children was published in Reg Anesth Pain Medicine 2021(revised 2023)</w:t>
      </w:r>
    </w:p>
    <w:p w:rsidR="00000000" w:rsidDel="00000000" w:rsidP="00000000" w:rsidRDefault="00000000" w:rsidRPr="00000000" w14:paraId="0000001D">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E">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Key points are</w:t>
      </w:r>
    </w:p>
    <w:p w:rsidR="00000000" w:rsidDel="00000000" w:rsidP="00000000" w:rsidRDefault="00000000" w:rsidRPr="00000000" w14:paraId="0000001F">
      <w:pPr>
        <w:widowControl w:val="1"/>
        <w:spacing w:after="0"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STOP injecting the local anaesthetic </w:t>
      </w:r>
    </w:p>
    <w:p w:rsidR="00000000" w:rsidDel="00000000" w:rsidP="00000000" w:rsidRDefault="00000000" w:rsidRPr="00000000" w14:paraId="00000020">
      <w:pPr>
        <w:widowControl w:val="1"/>
        <w:numPr>
          <w:ilvl w:val="0"/>
          <w:numId w:val="3"/>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Call for help</w:t>
      </w:r>
    </w:p>
    <w:p w:rsidR="00000000" w:rsidDel="00000000" w:rsidP="00000000" w:rsidRDefault="00000000" w:rsidRPr="00000000" w14:paraId="00000021">
      <w:pPr>
        <w:widowControl w:val="1"/>
        <w:numPr>
          <w:ilvl w:val="0"/>
          <w:numId w:val="3"/>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Call for cardiac arrest trolley and LAST cart, if available</w:t>
      </w:r>
    </w:p>
    <w:p w:rsidR="00000000" w:rsidDel="00000000" w:rsidP="00000000" w:rsidRDefault="00000000" w:rsidRPr="00000000" w14:paraId="00000022">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Give 100% oxygen and ensure adequate lung ventilation</w:t>
      </w:r>
    </w:p>
    <w:p w:rsidR="00000000" w:rsidDel="00000000" w:rsidP="00000000" w:rsidRDefault="00000000" w:rsidRPr="00000000" w14:paraId="00000023">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Confirm or establish intravenous access</w:t>
      </w:r>
    </w:p>
    <w:p w:rsidR="00000000" w:rsidDel="00000000" w:rsidP="00000000" w:rsidRDefault="00000000" w:rsidRPr="00000000" w14:paraId="00000024">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Control seizures (small incremental doses of benzodiazepines,</w:t>
      </w:r>
    </w:p>
    <w:p w:rsidR="00000000" w:rsidDel="00000000" w:rsidP="00000000" w:rsidRDefault="00000000" w:rsidRPr="00000000" w14:paraId="00000025">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If circulatory arrest, follow CPR guidelines in addition give IV lipid emulsion</w:t>
      </w:r>
    </w:p>
    <w:p w:rsidR="00000000" w:rsidDel="00000000" w:rsidP="00000000" w:rsidRDefault="00000000" w:rsidRPr="00000000" w14:paraId="00000026">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If no circulatory arrest treat hypotension, brady- and tachyarrhythmia and give IV lipid emulsion</w:t>
      </w:r>
    </w:p>
    <w:p w:rsidR="00000000" w:rsidDel="00000000" w:rsidP="00000000" w:rsidRDefault="00000000" w:rsidRPr="00000000" w14:paraId="00000027">
      <w:pPr>
        <w:widowControl w:val="1"/>
        <w:numPr>
          <w:ilvl w:val="0"/>
          <w:numId w:val="6"/>
        </w:numPr>
        <w:spacing w:after="0" w:line="240" w:lineRule="auto"/>
        <w:ind w:left="720" w:hanging="360"/>
        <w:rPr>
          <w:rFonts w:ascii="Tahoma" w:cs="Tahoma" w:eastAsia="Tahoma" w:hAnsi="Tahoma"/>
          <w:sz w:val="16"/>
          <w:szCs w:val="16"/>
        </w:rPr>
      </w:pPr>
      <w:r w:rsidDel="00000000" w:rsidR="00000000" w:rsidRPr="00000000">
        <w:rPr>
          <w:rFonts w:ascii="Tahoma" w:cs="Tahoma" w:eastAsia="Tahoma" w:hAnsi="Tahoma"/>
          <w:sz w:val="16"/>
          <w:szCs w:val="16"/>
          <w:rtl w:val="0"/>
        </w:rPr>
        <w:t xml:space="preserve">Lipid emulsion. See protocol below.</w:t>
      </w:r>
    </w:p>
    <w:p w:rsidR="00000000" w:rsidDel="00000000" w:rsidP="00000000" w:rsidRDefault="00000000" w:rsidRPr="00000000" w14:paraId="00000028">
      <w:pPr>
        <w:widowControl w:val="1"/>
        <w:spacing w:after="0" w:line="240" w:lineRule="auto"/>
        <w:ind w:left="720"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9">
      <w:pPr>
        <w:widowControl w:val="1"/>
        <w:spacing w:after="0" w:line="240" w:lineRule="auto"/>
        <w:ind w:left="720" w:firstLine="0"/>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LIPID EMULSION 20%</w:t>
      </w:r>
    </w:p>
    <w:p w:rsidR="00000000" w:rsidDel="00000000" w:rsidP="00000000" w:rsidRDefault="00000000" w:rsidRPr="00000000" w14:paraId="0000002A">
      <w:pPr>
        <w:widowControl w:val="1"/>
        <w:spacing w:after="0" w:line="240" w:lineRule="auto"/>
        <w:ind w:left="72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Bolus: 1.5 mls/kg over 2 – 3 minutes</w:t>
      </w:r>
    </w:p>
    <w:p w:rsidR="00000000" w:rsidDel="00000000" w:rsidP="00000000" w:rsidRDefault="00000000" w:rsidRPr="00000000" w14:paraId="0000002B">
      <w:pPr>
        <w:widowControl w:val="1"/>
        <w:spacing w:after="0" w:line="240" w:lineRule="auto"/>
        <w:ind w:left="72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Continuous infusion:0.25 mls/kg/min (15 mls / kg / hr.), for a minimum of 10 and up to 60 minutes after ROSC is achieved.</w:t>
      </w:r>
    </w:p>
    <w:p w:rsidR="00000000" w:rsidDel="00000000" w:rsidP="00000000" w:rsidRDefault="00000000" w:rsidRPr="00000000" w14:paraId="0000002C">
      <w:pPr>
        <w:widowControl w:val="1"/>
        <w:spacing w:after="0" w:line="240" w:lineRule="auto"/>
        <w:ind w:left="720" w:firstLine="0"/>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DO NOT USE PROPOFOL AS A SUBSTITUTE FOR LIPID EMULSION</w:t>
      </w:r>
    </w:p>
    <w:p w:rsidR="00000000" w:rsidDel="00000000" w:rsidP="00000000" w:rsidRDefault="00000000" w:rsidRPr="00000000" w14:paraId="0000002D">
      <w:pPr>
        <w:widowControl w:val="1"/>
        <w:spacing w:after="0" w:line="240" w:lineRule="auto"/>
        <w:ind w:left="72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hemodynamic stability not achieved in 3 minutes repeat bolus dose or double infusion rate</w:t>
      </w:r>
    </w:p>
    <w:p w:rsidR="00000000" w:rsidDel="00000000" w:rsidP="00000000" w:rsidRDefault="00000000" w:rsidRPr="00000000" w14:paraId="0000002E">
      <w:pPr>
        <w:widowControl w:val="1"/>
        <w:spacing w:after="0" w:line="240" w:lineRule="auto"/>
        <w:ind w:left="720" w:firstLine="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It is recommended to administer lipid emulsion at the first sign of arrhythmia, rapid clinical deterioration or prolonged seizure.</w:t>
      </w:r>
    </w:p>
    <w:p w:rsidR="00000000" w:rsidDel="00000000" w:rsidP="00000000" w:rsidRDefault="00000000" w:rsidRPr="00000000" w14:paraId="0000002F">
      <w:pPr>
        <w:widowControl w:val="1"/>
        <w:spacing w:after="0"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0">
      <w:pPr>
        <w:widowControl w:val="1"/>
        <w:spacing w:after="0"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Post Event Care</w:t>
      </w:r>
    </w:p>
    <w:p w:rsidR="00000000" w:rsidDel="00000000" w:rsidP="00000000" w:rsidRDefault="00000000" w:rsidRPr="00000000" w14:paraId="00000031">
      <w:pPr>
        <w:widowControl w:val="1"/>
        <w:numPr>
          <w:ilvl w:val="0"/>
          <w:numId w:val="4"/>
        </w:numPr>
        <w:spacing w:after="0" w:line="240"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Regular clinical review, daily amylase or lipase to rule out pancreatitis</w:t>
      </w:r>
    </w:p>
    <w:p w:rsidR="00000000" w:rsidDel="00000000" w:rsidP="00000000" w:rsidRDefault="00000000" w:rsidRPr="00000000" w14:paraId="00000032">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3">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4">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5">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6">
      <w:pPr>
        <w:widowControl w:val="1"/>
        <w:spacing w:after="0" w:line="240"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7">
      <w:pPr>
        <w:widowControl w:val="1"/>
        <w:spacing w:after="0" w:line="240" w:lineRule="auto"/>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38">
      <w:pPr>
        <w:widowControl w:val="1"/>
        <w:numPr>
          <w:ilvl w:val="0"/>
          <w:numId w:val="5"/>
        </w:numPr>
        <w:spacing w:after="0" w:line="240" w:lineRule="auto"/>
        <w:ind w:left="720" w:hanging="360"/>
        <w:rPr>
          <w:rFonts w:ascii="Tahoma" w:cs="Tahoma" w:eastAsia="Tahoma" w:hAnsi="Tahoma"/>
          <w:sz w:val="16"/>
          <w:szCs w:val="16"/>
          <w:highlight w:val="white"/>
          <w:u w:val="none"/>
        </w:rPr>
      </w:pPr>
      <w:r w:rsidDel="00000000" w:rsidR="00000000" w:rsidRPr="00000000">
        <w:rPr>
          <w:rFonts w:ascii="Tahoma" w:cs="Tahoma" w:eastAsia="Tahoma" w:hAnsi="Tahoma"/>
          <w:sz w:val="16"/>
          <w:szCs w:val="16"/>
          <w:highlight w:val="white"/>
          <w:rtl w:val="0"/>
        </w:rPr>
        <w:t xml:space="preserve">Bina B, Hersh EV, Hilario M, Alvarez K, McLaughlin B. True Allergy to Amide Local Anesthetics: A Review and Case Presentation. Anesth Prog. 2018 Summer;65(2):119-123.</w:t>
      </w:r>
    </w:p>
    <w:p w:rsidR="00000000" w:rsidDel="00000000" w:rsidP="00000000" w:rsidRDefault="00000000" w:rsidRPr="00000000" w14:paraId="00000039">
      <w:pPr>
        <w:widowControl w:val="1"/>
        <w:numPr>
          <w:ilvl w:val="0"/>
          <w:numId w:val="5"/>
        </w:numPr>
        <w:spacing w:after="0" w:line="240" w:lineRule="auto"/>
        <w:ind w:left="720" w:hanging="360"/>
        <w:rPr>
          <w:rFonts w:ascii="Tahoma" w:cs="Tahoma" w:eastAsia="Tahoma" w:hAnsi="Tahoma"/>
          <w:color w:val="303030"/>
          <w:sz w:val="16"/>
          <w:szCs w:val="16"/>
          <w:highlight w:val="white"/>
          <w:u w:val="none"/>
        </w:rPr>
      </w:pPr>
      <w:r w:rsidDel="00000000" w:rsidR="00000000" w:rsidRPr="00000000">
        <w:rPr>
          <w:rFonts w:ascii="Tahoma" w:cs="Tahoma" w:eastAsia="Tahoma" w:hAnsi="Tahoma"/>
          <w:color w:val="303030"/>
          <w:sz w:val="16"/>
          <w:szCs w:val="16"/>
          <w:highlight w:val="white"/>
          <w:rtl w:val="0"/>
        </w:rPr>
        <w:t xml:space="preserve">Haskins SC, Tanaka CY, Boublik J, Wu CL, Sloth E. Focused Cardiac Ultrasound for the Regional Anesthesiologist and Pain Specialist. Reg Anesth Pain Med. 2017 Sep/Oct;42(5):632-644.</w:t>
      </w:r>
      <w:r w:rsidDel="00000000" w:rsidR="00000000" w:rsidRPr="00000000">
        <w:rPr>
          <w:rtl w:val="0"/>
        </w:rPr>
      </w:r>
    </w:p>
    <w:p w:rsidR="00000000" w:rsidDel="00000000" w:rsidP="00000000" w:rsidRDefault="00000000" w:rsidRPr="00000000" w14:paraId="0000003A">
      <w:pPr>
        <w:widowControl w:val="1"/>
        <w:numPr>
          <w:ilvl w:val="0"/>
          <w:numId w:val="5"/>
        </w:numP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Association of Anaesthetists Quick Reference Handbook 2023. Available at: </w:t>
      </w:r>
      <w:hyperlink r:id="rId7">
        <w:r w:rsidDel="00000000" w:rsidR="00000000" w:rsidRPr="00000000">
          <w:rPr>
            <w:rFonts w:ascii="Tahoma" w:cs="Tahoma" w:eastAsia="Tahoma" w:hAnsi="Tahoma"/>
            <w:color w:val="0000ff"/>
            <w:sz w:val="16"/>
            <w:szCs w:val="16"/>
            <w:u w:val="single"/>
            <w:rtl w:val="0"/>
          </w:rPr>
          <w:t xml:space="preserve">https://anaesthetists.org/Home/Resources-publications/Safety-alerts/Anaesthesia-emergencies/Quick-Reference-Handbook</w:t>
        </w:r>
      </w:hyperlink>
      <w:r w:rsidDel="00000000" w:rsidR="00000000" w:rsidRPr="00000000">
        <w:rPr>
          <w:rFonts w:ascii="Tahoma" w:cs="Tahoma" w:eastAsia="Tahoma" w:hAnsi="Tahoma"/>
          <w:sz w:val="16"/>
          <w:szCs w:val="16"/>
          <w:rtl w:val="0"/>
        </w:rPr>
        <w:t xml:space="preserve">. Accessed on April 27, 2024. </w:t>
      </w:r>
    </w:p>
    <w:p w:rsidR="00000000" w:rsidDel="00000000" w:rsidP="00000000" w:rsidRDefault="00000000" w:rsidRPr="00000000" w14:paraId="0000003B">
      <w:pPr>
        <w:widowControl w:val="1"/>
        <w:numPr>
          <w:ilvl w:val="0"/>
          <w:numId w:val="5"/>
        </w:numP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sz w:val="16"/>
          <w:szCs w:val="16"/>
          <w:rtl w:val="0"/>
        </w:rPr>
        <w:t xml:space="preserve">Gupta RK, Schwenk ES. </w:t>
      </w:r>
      <w:r w:rsidDel="00000000" w:rsidR="00000000" w:rsidRPr="00000000">
        <w:rPr>
          <w:rFonts w:ascii="Tahoma" w:cs="Tahoma" w:eastAsia="Tahoma" w:hAnsi="Tahoma"/>
          <w:i w:val="1"/>
          <w:sz w:val="16"/>
          <w:szCs w:val="16"/>
          <w:rtl w:val="0"/>
        </w:rPr>
        <w:t xml:space="preserve">Reg Anesth Pain Med </w:t>
      </w: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b w:val="1"/>
          <w:sz w:val="16"/>
          <w:szCs w:val="16"/>
          <w:rtl w:val="0"/>
        </w:rPr>
        <w:t xml:space="preserve">46</w:t>
      </w:r>
      <w:r w:rsidDel="00000000" w:rsidR="00000000" w:rsidRPr="00000000">
        <w:rPr>
          <w:rFonts w:ascii="Tahoma" w:cs="Tahoma" w:eastAsia="Tahoma" w:hAnsi="Tahoma"/>
          <w:sz w:val="16"/>
          <w:szCs w:val="16"/>
          <w:rtl w:val="0"/>
        </w:rPr>
        <w:t xml:space="preserve">:915. </w:t>
      </w:r>
    </w:p>
    <w:p w:rsidR="00000000" w:rsidDel="00000000" w:rsidP="00000000" w:rsidRDefault="00000000" w:rsidRPr="00000000" w14:paraId="0000003C">
      <w:pPr>
        <w:widowControl w:val="1"/>
        <w:spacing w:after="0" w:line="240" w:lineRule="auto"/>
        <w:ind w:left="720"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Local anesthetic systemic toxicity in children: a review of recent case reports and current literature - an infographic.</w:t>
      </w:r>
    </w:p>
    <w:p w:rsidR="00000000" w:rsidDel="00000000" w:rsidP="00000000" w:rsidRDefault="00000000" w:rsidRPr="00000000" w14:paraId="0000003D">
      <w:pPr>
        <w:widowControl w:val="1"/>
        <w:shd w:fill="ffffff" w:val="clear"/>
        <w:spacing w:after="0" w:line="240" w:lineRule="auto"/>
        <w:ind w:left="720" w:firstLine="0"/>
        <w:rPr>
          <w:rFonts w:ascii="Tahoma" w:cs="Tahoma" w:eastAsia="Tahoma" w:hAnsi="Tahoma"/>
          <w:color w:val="333333"/>
          <w:sz w:val="16"/>
          <w:szCs w:val="16"/>
        </w:rPr>
      </w:pPr>
      <w:hyperlink r:id="rId8">
        <w:r w:rsidDel="00000000" w:rsidR="00000000" w:rsidRPr="00000000">
          <w:rPr>
            <w:rFonts w:ascii="Tahoma" w:cs="Tahoma" w:eastAsia="Tahoma" w:hAnsi="Tahoma"/>
            <w:color w:val="2a6ebb"/>
            <w:sz w:val="16"/>
            <w:szCs w:val="16"/>
            <w:u w:val="single"/>
            <w:rtl w:val="0"/>
          </w:rPr>
          <w:t xml:space="preserve">https://doi.org/10.1136/rapm-2021-102993</w:t>
        </w:r>
      </w:hyperlink>
      <w:r w:rsidDel="00000000" w:rsidR="00000000" w:rsidRPr="00000000">
        <w:rPr>
          <w:rFonts w:ascii="Tahoma" w:cs="Tahoma" w:eastAsia="Tahoma" w:hAnsi="Tahoma"/>
          <w:color w:val="2a6ebb"/>
          <w:sz w:val="16"/>
          <w:szCs w:val="16"/>
          <w:u w:val="single"/>
          <w:rtl w:val="0"/>
        </w:rPr>
        <w:t xml:space="preserve">. </w:t>
      </w:r>
      <w:r w:rsidDel="00000000" w:rsidR="00000000" w:rsidRPr="00000000">
        <w:rPr>
          <w:rFonts w:ascii="Tahoma" w:cs="Tahoma" w:eastAsia="Tahoma" w:hAnsi="Tahoma"/>
          <w:sz w:val="16"/>
          <w:szCs w:val="16"/>
          <w:u w:val="single"/>
          <w:rtl w:val="0"/>
        </w:rPr>
        <w:t xml:space="preserve">(site accessed September 24)</w:t>
      </w:r>
      <w:r w:rsidDel="00000000" w:rsidR="00000000" w:rsidRPr="00000000">
        <w:rPr>
          <w:rtl w:val="0"/>
        </w:rPr>
      </w:r>
    </w:p>
    <w:p w:rsidR="00000000" w:rsidDel="00000000" w:rsidP="00000000" w:rsidRDefault="00000000" w:rsidRPr="00000000" w14:paraId="0000003E">
      <w:pPr>
        <w:widowControl w:val="1"/>
        <w:numPr>
          <w:ilvl w:val="0"/>
          <w:numId w:val="5"/>
        </w:numPr>
        <w:shd w:fill="ffffff" w:val="clear"/>
        <w:spacing w:after="0" w:line="240" w:lineRule="auto"/>
        <w:ind w:left="720" w:hanging="360"/>
        <w:rPr>
          <w:rFonts w:ascii="Tahoma" w:cs="Tahoma" w:eastAsia="Tahoma" w:hAnsi="Tahoma"/>
          <w:sz w:val="16"/>
          <w:szCs w:val="16"/>
          <w:u w:val="none"/>
        </w:rPr>
      </w:pPr>
      <w:r w:rsidDel="00000000" w:rsidR="00000000" w:rsidRPr="00000000">
        <w:rPr>
          <w:rFonts w:ascii="Tahoma" w:cs="Tahoma" w:eastAsia="Tahoma" w:hAnsi="Tahoma"/>
          <w:color w:val="333333"/>
          <w:sz w:val="16"/>
          <w:szCs w:val="16"/>
          <w:rtl w:val="0"/>
        </w:rPr>
        <w:t xml:space="preserve">Schweitzer-Chaput, A., Callot, D., Bouazza, N. </w:t>
      </w:r>
      <w:r w:rsidDel="00000000" w:rsidR="00000000" w:rsidRPr="00000000">
        <w:rPr>
          <w:rFonts w:ascii="Tahoma" w:cs="Tahoma" w:eastAsia="Tahoma" w:hAnsi="Tahoma"/>
          <w:i w:val="1"/>
          <w:color w:val="333333"/>
          <w:sz w:val="16"/>
          <w:szCs w:val="16"/>
          <w:rtl w:val="0"/>
        </w:rPr>
        <w:t xml:space="preserve">et al.</w:t>
      </w:r>
      <w:r w:rsidDel="00000000" w:rsidR="00000000" w:rsidRPr="00000000">
        <w:rPr>
          <w:rFonts w:ascii="Tahoma" w:cs="Tahoma" w:eastAsia="Tahoma" w:hAnsi="Tahoma"/>
          <w:color w:val="333333"/>
          <w:sz w:val="16"/>
          <w:szCs w:val="16"/>
          <w:rtl w:val="0"/>
        </w:rPr>
        <w:t xml:space="preserve"> Local anesthetics systemic toxicity in children: analysis of the French pharmacovigilance database. </w:t>
      </w:r>
      <w:r w:rsidDel="00000000" w:rsidR="00000000" w:rsidRPr="00000000">
        <w:rPr>
          <w:rFonts w:ascii="Tahoma" w:cs="Tahoma" w:eastAsia="Tahoma" w:hAnsi="Tahoma"/>
          <w:i w:val="1"/>
          <w:color w:val="333333"/>
          <w:sz w:val="16"/>
          <w:szCs w:val="16"/>
          <w:rtl w:val="0"/>
        </w:rPr>
        <w:t xml:space="preserve">BMC Pediatr</w:t>
      </w:r>
      <w:r w:rsidDel="00000000" w:rsidR="00000000" w:rsidRPr="00000000">
        <w:rPr>
          <w:rFonts w:ascii="Tahoma" w:cs="Tahoma" w:eastAsia="Tahoma" w:hAnsi="Tahoma"/>
          <w:color w:val="333333"/>
          <w:sz w:val="16"/>
          <w:szCs w:val="16"/>
          <w:rtl w:val="0"/>
        </w:rPr>
        <w:t xml:space="preserve"> </w:t>
      </w:r>
      <w:r w:rsidDel="00000000" w:rsidR="00000000" w:rsidRPr="00000000">
        <w:rPr>
          <w:rFonts w:ascii="Tahoma" w:cs="Tahoma" w:eastAsia="Tahoma" w:hAnsi="Tahoma"/>
          <w:b w:val="1"/>
          <w:color w:val="333333"/>
          <w:sz w:val="16"/>
          <w:szCs w:val="16"/>
          <w:rtl w:val="0"/>
        </w:rPr>
        <w:t xml:space="preserve">23</w:t>
      </w:r>
      <w:r w:rsidDel="00000000" w:rsidR="00000000" w:rsidRPr="00000000">
        <w:rPr>
          <w:rFonts w:ascii="Tahoma" w:cs="Tahoma" w:eastAsia="Tahoma" w:hAnsi="Tahoma"/>
          <w:color w:val="333333"/>
          <w:sz w:val="16"/>
          <w:szCs w:val="16"/>
          <w:rtl w:val="0"/>
        </w:rPr>
        <w:t xml:space="preserve">, 321 (2023). </w:t>
      </w:r>
      <w:hyperlink r:id="rId9">
        <w:r w:rsidDel="00000000" w:rsidR="00000000" w:rsidRPr="00000000">
          <w:rPr>
            <w:rFonts w:ascii="Tahoma" w:cs="Tahoma" w:eastAsia="Tahoma" w:hAnsi="Tahoma"/>
            <w:color w:val="0000ff"/>
            <w:sz w:val="16"/>
            <w:szCs w:val="16"/>
            <w:u w:val="single"/>
            <w:rtl w:val="0"/>
          </w:rPr>
          <w:t xml:space="preserve">https://doi.org/10.1186/s12887-023-04126-7</w:t>
        </w:r>
      </w:hyperlink>
      <w:r w:rsidDel="00000000" w:rsidR="00000000" w:rsidRPr="00000000">
        <w:rPr>
          <w:rFonts w:ascii="Tahoma" w:cs="Tahoma" w:eastAsia="Tahoma" w:hAnsi="Tahoma"/>
          <w:color w:val="0000ff"/>
          <w:sz w:val="16"/>
          <w:szCs w:val="16"/>
          <w:u w:val="single"/>
          <w:rtl w:val="0"/>
        </w:rPr>
        <w:t xml:space="preserve"> </w:t>
      </w:r>
      <w:r w:rsidDel="00000000" w:rsidR="00000000" w:rsidRPr="00000000">
        <w:rPr>
          <w:rFonts w:ascii="Tahoma" w:cs="Tahoma" w:eastAsia="Tahoma" w:hAnsi="Tahoma"/>
          <w:sz w:val="16"/>
          <w:szCs w:val="16"/>
          <w:u w:val="single"/>
          <w:rtl w:val="0"/>
        </w:rPr>
        <w:t xml:space="preserve">(site accessed September 24)</w:t>
      </w:r>
      <w:r w:rsidDel="00000000" w:rsidR="00000000" w:rsidRPr="00000000">
        <w:rPr>
          <w:rtl w:val="0"/>
        </w:rPr>
      </w:r>
    </w:p>
    <w:p w:rsidR="00000000" w:rsidDel="00000000" w:rsidP="00000000" w:rsidRDefault="00000000" w:rsidRPr="00000000" w14:paraId="0000003F">
      <w:pPr>
        <w:widowControl w:val="1"/>
        <w:numPr>
          <w:ilvl w:val="0"/>
          <w:numId w:val="5"/>
        </w:numPr>
        <w:shd w:fill="ffffff" w:val="clear"/>
        <w:spacing w:after="0" w:line="240" w:lineRule="auto"/>
        <w:ind w:left="720" w:hanging="360"/>
        <w:rPr>
          <w:rFonts w:ascii="Tahoma" w:cs="Tahoma" w:eastAsia="Tahoma" w:hAnsi="Tahoma"/>
          <w:color w:val="333333"/>
          <w:sz w:val="16"/>
          <w:szCs w:val="16"/>
          <w:u w:val="none"/>
        </w:rPr>
      </w:pPr>
      <w:r w:rsidDel="00000000" w:rsidR="00000000" w:rsidRPr="00000000">
        <w:rPr>
          <w:rFonts w:ascii="Tahoma" w:cs="Tahoma" w:eastAsia="Tahoma" w:hAnsi="Tahoma"/>
          <w:color w:val="333333"/>
          <w:sz w:val="16"/>
          <w:szCs w:val="16"/>
          <w:rtl w:val="0"/>
        </w:rPr>
        <w:t xml:space="preserve">Dontukurthy S, Tobias JD. Update on Local Anesthetic Toxicity, Prevention and Treatment During Regional Anesthesia in Infants and Children. J Pediatr Pharmacol Ther. 2021;26(5):445-454. doi: 10.5863/1551-6776-26.5.445. Epub 2021 Jun 28. PMID: 34239395; PMCID: PMC8244955.</w:t>
      </w:r>
    </w:p>
    <w:p w:rsidR="00000000" w:rsidDel="00000000" w:rsidP="00000000" w:rsidRDefault="00000000" w:rsidRPr="00000000" w14:paraId="00000040">
      <w:pPr>
        <w:widowControl w:val="1"/>
        <w:spacing w:after="0" w:line="240" w:lineRule="auto"/>
        <w:ind w:left="1080" w:firstLine="0"/>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41">
      <w:pPr>
        <w:tabs>
          <w:tab w:val="left" w:leader="none" w:pos="820"/>
        </w:tabs>
        <w:spacing w:after="0" w:before="1" w:line="240" w:lineRule="auto"/>
        <w:ind w:left="833" w:right="71" w:hanging="360"/>
        <w:jc w:val="both"/>
        <w:rPr>
          <w:rFonts w:ascii="Tahoma" w:cs="Tahoma" w:eastAsia="Tahoma" w:hAnsi="Tahoma"/>
          <w:sz w:val="16"/>
          <w:szCs w:val="16"/>
        </w:rPr>
      </w:pPr>
      <w:r w:rsidDel="00000000" w:rsidR="00000000" w:rsidRPr="00000000">
        <w:rPr>
          <w:rtl w:val="0"/>
        </w:rPr>
      </w:r>
    </w:p>
    <w:sectPr>
      <w:headerReference r:id="rId10" w:type="default"/>
      <w:footerReference r:id="rId11" w:type="default"/>
      <w:pgSz w:h="8640" w:w="5760" w:orient="portrait"/>
      <w:pgMar w:bottom="480" w:top="460" w:left="180" w:right="160" w:header="270"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after="0" w:line="200" w:lineRule="auto"/>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1625600</wp:posOffset>
              </wp:positionH>
              <wp:positionV relativeFrom="paragraph">
                <wp:posOffset>5118100</wp:posOffset>
              </wp:positionV>
              <wp:extent cx="133350" cy="142240"/>
              <wp:effectExtent b="0" l="0" r="0" t="0"/>
              <wp:wrapNone/>
              <wp:docPr id="7" name=""/>
              <a:graphic>
                <a:graphicData uri="http://schemas.microsoft.com/office/word/2010/wordprocessingShape">
                  <wps:wsp>
                    <wps:cNvSpPr/>
                    <wps:cNvPr id="2" name="Shape 2"/>
                    <wps:spPr>
                      <a:xfrm>
                        <a:off x="5293613" y="3723168"/>
                        <a:ext cx="104775" cy="113665"/>
                      </a:xfrm>
                      <a:prstGeom prst="rect">
                        <a:avLst/>
                      </a:prstGeom>
                      <a:noFill/>
                      <a:ln>
                        <a:noFill/>
                      </a:ln>
                    </wps:spPr>
                    <wps:txbx>
                      <w:txbxContent>
                        <w:p w:rsidR="00000000" w:rsidDel="00000000" w:rsidP="00000000" w:rsidRDefault="00000000" w:rsidRPr="00000000">
                          <w:pPr>
                            <w:spacing w:after="0" w:before="0" w:line="180"/>
                            <w:ind w:left="40" w:right="-20" w:firstLine="120"/>
                            <w:jc w:val="left"/>
                            <w:textDirection w:val="btLr"/>
                          </w:pPr>
                          <w:r w:rsidDel="00000000" w:rsidR="00000000" w:rsidRPr="00000000">
                            <w:rPr>
                              <w:rFonts w:ascii="Comic Sans MS" w:cs="Comic Sans MS" w:eastAsia="Comic Sans MS" w:hAnsi="Comic Sans MS"/>
                              <w:b w:val="1"/>
                              <w:i w:val="0"/>
                              <w:smallCaps w:val="0"/>
                              <w:strike w:val="0"/>
                              <w:color w:val="000000"/>
                              <w:sz w:val="14"/>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1625600</wp:posOffset>
              </wp:positionH>
              <wp:positionV relativeFrom="paragraph">
                <wp:posOffset>5118100</wp:posOffset>
              </wp:positionV>
              <wp:extent cx="133350" cy="14224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3350" cy="1422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43">
    <w:pPr>
      <w:spacing w:after="0"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8">
    <w:name w:val="heading 8"/>
    <w:basedOn w:val="Normal"/>
    <w:next w:val="Normal"/>
    <w:link w:val="Heading8Char"/>
    <w:uiPriority w:val="9"/>
    <w:semiHidden w:val="1"/>
    <w:unhideWhenUsed w:val="1"/>
    <w:qFormat w:val="1"/>
    <w:rsid w:val="00665557"/>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34BC6"/>
    <w:pPr>
      <w:tabs>
        <w:tab w:val="center" w:pos="4513"/>
        <w:tab w:val="right" w:pos="9026"/>
      </w:tabs>
      <w:spacing w:after="0" w:line="240" w:lineRule="auto"/>
    </w:pPr>
  </w:style>
  <w:style w:type="character" w:styleId="HeaderChar" w:customStyle="1">
    <w:name w:val="Header Char"/>
    <w:basedOn w:val="DefaultParagraphFont"/>
    <w:link w:val="Header"/>
    <w:uiPriority w:val="99"/>
    <w:rsid w:val="00434BC6"/>
  </w:style>
  <w:style w:type="paragraph" w:styleId="Footer">
    <w:name w:val="footer"/>
    <w:basedOn w:val="Normal"/>
    <w:link w:val="FooterChar"/>
    <w:uiPriority w:val="99"/>
    <w:unhideWhenUsed w:val="1"/>
    <w:rsid w:val="00434BC6"/>
    <w:pPr>
      <w:tabs>
        <w:tab w:val="center" w:pos="4513"/>
        <w:tab w:val="right" w:pos="9026"/>
      </w:tabs>
      <w:spacing w:after="0" w:line="240" w:lineRule="auto"/>
    </w:pPr>
  </w:style>
  <w:style w:type="character" w:styleId="FooterChar" w:customStyle="1">
    <w:name w:val="Footer Char"/>
    <w:basedOn w:val="DefaultParagraphFont"/>
    <w:link w:val="Footer"/>
    <w:uiPriority w:val="99"/>
    <w:rsid w:val="00434BC6"/>
  </w:style>
  <w:style w:type="paragraph" w:styleId="BalloonText">
    <w:name w:val="Balloon Text"/>
    <w:basedOn w:val="Normal"/>
    <w:link w:val="BalloonTextChar"/>
    <w:uiPriority w:val="99"/>
    <w:semiHidden w:val="1"/>
    <w:unhideWhenUsed w:val="1"/>
    <w:rsid w:val="00461A5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1A55"/>
    <w:rPr>
      <w:rFonts w:ascii="Segoe UI" w:cs="Segoe UI" w:hAnsi="Segoe UI"/>
      <w:sz w:val="18"/>
      <w:szCs w:val="18"/>
    </w:rPr>
  </w:style>
  <w:style w:type="paragraph" w:styleId="ListParagraph">
    <w:name w:val="List Paragraph"/>
    <w:basedOn w:val="Normal"/>
    <w:uiPriority w:val="34"/>
    <w:qFormat w:val="1"/>
    <w:rsid w:val="00461A55"/>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B579D4"/>
    <w:pPr>
      <w:widowControl w:val="1"/>
      <w:spacing w:after="0" w:line="240" w:lineRule="auto"/>
    </w:pPr>
  </w:style>
  <w:style w:type="paragraph" w:styleId="NormalWeb">
    <w:name w:val="Normal (Web)"/>
    <w:basedOn w:val="Normal"/>
    <w:uiPriority w:val="99"/>
    <w:unhideWhenUsed w:val="1"/>
    <w:rsid w:val="00AB2086"/>
    <w:pPr>
      <w:widowControl w:val="1"/>
      <w:spacing w:after="100" w:afterAutospacing="1" w:before="100" w:beforeAutospacing="1" w:line="240" w:lineRule="auto"/>
    </w:pPr>
    <w:rPr>
      <w:rFonts w:ascii="Times New Roman" w:cs="Times New Roman" w:hAnsi="Times New Roman" w:eastAsiaTheme="minorEastAsia"/>
      <w:sz w:val="24"/>
      <w:szCs w:val="24"/>
      <w:lang w:val="en-PK"/>
    </w:rPr>
  </w:style>
  <w:style w:type="character" w:styleId="Heading8Char" w:customStyle="1">
    <w:name w:val="Heading 8 Char"/>
    <w:basedOn w:val="DefaultParagraphFont"/>
    <w:link w:val="Heading8"/>
    <w:uiPriority w:val="9"/>
    <w:semiHidden w:val="1"/>
    <w:rsid w:val="00665557"/>
    <w:rPr>
      <w:rFonts w:asciiTheme="majorHAnsi" w:cstheme="majorBidi" w:eastAsiaTheme="majorEastAsia" w:hAnsiTheme="majorHAnsi"/>
      <w:color w:val="272727" w:themeColor="text1" w:themeTint="0000D8"/>
      <w:sz w:val="21"/>
      <w:szCs w:val="21"/>
    </w:rPr>
  </w:style>
  <w:style w:type="character" w:styleId="Hyperlink">
    <w:name w:val="Hyperlink"/>
    <w:basedOn w:val="DefaultParagraphFont"/>
    <w:uiPriority w:val="99"/>
    <w:unhideWhenUsed w:val="1"/>
    <w:rsid w:val="00665557"/>
    <w:rPr>
      <w:color w:val="0000ff" w:themeColor="hyperlink"/>
      <w:u w:val="single"/>
    </w:rPr>
  </w:style>
  <w:style w:type="character" w:styleId="UnresolvedMention">
    <w:name w:val="Unresolved Mention"/>
    <w:basedOn w:val="DefaultParagraphFont"/>
    <w:uiPriority w:val="99"/>
    <w:semiHidden w:val="1"/>
    <w:unhideWhenUsed w:val="1"/>
    <w:rsid w:val="00665557"/>
    <w:rPr>
      <w:color w:val="605e5c"/>
      <w:shd w:color="auto" w:fill="e1dfdd" w:val="clear"/>
    </w:rPr>
  </w:style>
  <w:style w:type="character" w:styleId="FollowedHyperlink">
    <w:name w:val="FollowedHyperlink"/>
    <w:basedOn w:val="DefaultParagraphFont"/>
    <w:uiPriority w:val="99"/>
    <w:semiHidden w:val="1"/>
    <w:unhideWhenUsed w:val="1"/>
    <w:rsid w:val="00A8684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3kX2kLWImy0mapOEf7H2l8z+g==">CgMxLjA4AHIhMVM1TlE1SEJMQk81ZHI1cWc5WjVjeFRUeFBEcFZGcE8w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2019-05-02T08:36:00Z</dcterms:created>
  <dc:creator>C L Bong</dc:creator>
</cp:coreProperties>
</file>