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Haematology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08.0" w:type="dxa"/>
        <w:jc w:val="left"/>
        <w:tblLayout w:type="fixed"/>
        <w:tblLook w:val="0400"/>
      </w:tblPr>
      <w:tblGrid>
        <w:gridCol w:w="1555"/>
        <w:gridCol w:w="1381"/>
        <w:gridCol w:w="1170"/>
        <w:gridCol w:w="1559"/>
        <w:gridCol w:w="1843"/>
        <w:tblGridChange w:id="0">
          <w:tblGrid>
            <w:gridCol w:w="1555"/>
            <w:gridCol w:w="1381"/>
            <w:gridCol w:w="1170"/>
            <w:gridCol w:w="1559"/>
            <w:gridCol w:w="184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Age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WBC x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10(9)/L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  <w:rtl w:val="0"/>
              </w:rPr>
              <w:t xml:space="preserve">Hb (g/dL)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  <w:rtl w:val="0"/>
              </w:rPr>
              <w:t xml:space="preserve">Haematocrit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666666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  <w:rtl w:val="0"/>
              </w:rPr>
              <w:t xml:space="preserve">Platelets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x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10(9)/L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 mins - 2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10 – 26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14 – 22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45 – 75</w:t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140 – 440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 days - 30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7 – 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15 – 21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45 – 67</w:t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1 - 3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 – 19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11.5 – 16.5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33 – 53</w:t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 month - 1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6 – 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11.1 – 14.1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30 – 40</w:t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 years - 2 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6 – 16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11.1 – 14.1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30 – 38</w:t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 years - 7 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5.22 – 13.35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11.4 – 14.2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32.8 – 41.1</w:t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7 years – 12 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5.26 – 12.25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11.7 – 14.6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34.5 – 42.2</w:t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ahoma" w:cs="Tahoma" w:eastAsia="Tahoma" w:hAnsi="Tahoma"/>
          <w:b w:val="1"/>
          <w:color w:val="ff0000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Coagulation tests</w:t>
      </w:r>
    </w:p>
    <w:p w:rsidR="00000000" w:rsidDel="00000000" w:rsidP="00000000" w:rsidRDefault="00000000" w:rsidRPr="00000000" w14:paraId="0000002F">
      <w:pPr>
        <w:rPr>
          <w:rFonts w:ascii="Tahoma" w:cs="Tahoma" w:eastAsia="Tahoma" w:hAnsi="Tahoma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77.0" w:type="dxa"/>
        <w:jc w:val="left"/>
        <w:tblLayout w:type="fixed"/>
        <w:tblLook w:val="0400"/>
      </w:tblPr>
      <w:tblGrid>
        <w:gridCol w:w="1555"/>
        <w:gridCol w:w="1701"/>
        <w:gridCol w:w="2160"/>
        <w:gridCol w:w="2161"/>
        <w:tblGridChange w:id="0">
          <w:tblGrid>
            <w:gridCol w:w="1555"/>
            <w:gridCol w:w="1701"/>
            <w:gridCol w:w="2160"/>
            <w:gridCol w:w="21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Age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Prothrombin time (PT) (secs)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  <w:rtl w:val="0"/>
              </w:rPr>
              <w:t xml:space="preserve">APTT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  <w:rtl w:val="0"/>
              </w:rPr>
              <w:t xml:space="preserve">(secs)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  <w:rtl w:val="0"/>
              </w:rPr>
              <w:t xml:space="preserve">Fibrinogen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  <w:rtl w:val="0"/>
              </w:rPr>
              <w:t xml:space="preserve"> (g/L)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 mins - 2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14.4 - 16.4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34.3 - 44.8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1.92 - 3.74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 days - 30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13.5 - 16.4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29.5 - 42.2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2.83 - 4.01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31 days - 11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11.5 - 15.3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35.1 - 46.3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0.82 - 3.83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 years - 5 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12.1 - 14.5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33.6 - 43.8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1.62 - 4.01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6 years - 10 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11.7 - 15.1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31.8 - 43.7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1.99 - 4.09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11 years - 16 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12.7 - 16.1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33.9 - 46.1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2.12 - 4.33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17 years and 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11.6 - 14.2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29.7 - 45.6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rtl w:val="0"/>
              </w:rPr>
              <w:t xml:space="preserve">2.06 - 4.92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hd w:fill="ffffff" w:val="clear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shd w:fill="ffffff" w:val="clear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Recommended INR range for oral anticoagulation (warfarin): 2.0 - 3.5</w:t>
      </w:r>
    </w:p>
    <w:p w:rsidR="00000000" w:rsidDel="00000000" w:rsidP="00000000" w:rsidRDefault="00000000" w:rsidRPr="00000000" w14:paraId="00000054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ahoma" w:cs="Tahoma" w:eastAsia="Tahoma" w:hAnsi="Tahoma"/>
          <w:b w:val="1"/>
          <w:color w:val="ff0000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Biochemistry</w:t>
      </w:r>
    </w:p>
    <w:p w:rsidR="00000000" w:rsidDel="00000000" w:rsidP="00000000" w:rsidRDefault="00000000" w:rsidRPr="00000000" w14:paraId="00000057">
      <w:pPr>
        <w:rPr>
          <w:rFonts w:ascii="Tahoma" w:cs="Tahoma" w:eastAsia="Tahoma" w:hAnsi="Tahoma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50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992"/>
        <w:gridCol w:w="993"/>
        <w:gridCol w:w="1134"/>
        <w:gridCol w:w="992"/>
        <w:gridCol w:w="992"/>
        <w:gridCol w:w="1276"/>
        <w:tblGridChange w:id="0">
          <w:tblGrid>
            <w:gridCol w:w="1271"/>
            <w:gridCol w:w="992"/>
            <w:gridCol w:w="993"/>
            <w:gridCol w:w="1134"/>
            <w:gridCol w:w="992"/>
            <w:gridCol w:w="992"/>
            <w:gridCol w:w="1276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Age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Sodium (mmol/L)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Potassium (mmol/L)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Bicarbonate (mmol/L)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Chloride (mmol/L)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Calcium, total (mmol/L)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Calcium, ionized (mmol/L)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&lt;1 month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133 – 146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3.7 – 5.9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13.5 – 22.1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98 – 113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2.13 – 2.75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1.15 – 1.33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 to 11 month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139 – 146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4.1 – 5.3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98 – 107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 to 13 years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138 – 145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3.4 – 4.7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13.7 – 24.6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2.30 – 2.63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Above 13 years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136 – 145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3.5 – 5.1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14.8 – 24.6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Tahoma" w:cs="Tahoma" w:eastAsia="Tahoma" w:hAnsi="Tahoma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619.818181818183" w:type="dxa"/>
        <w:jc w:val="left"/>
        <w:tblLayout w:type="fixed"/>
        <w:tblLook w:val="0400"/>
      </w:tblPr>
      <w:tblGrid>
        <w:gridCol w:w="1838"/>
        <w:gridCol w:w="3490.909090909091"/>
        <w:gridCol w:w="2290.909090909091"/>
        <w:tblGridChange w:id="0">
          <w:tblGrid>
            <w:gridCol w:w="1838"/>
            <w:gridCol w:w="3490.909090909091"/>
            <w:gridCol w:w="2290.90909090909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Age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434343" w:space="0" w:sz="6" w:val="single"/>
            </w:tcBorders>
            <w:shd w:fill="d9d9d9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Phosphate (mmol/L)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shd w:fill="d9d9d9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Magnesium (mmol/L)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&lt; 15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434343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1.8 – 3.4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0.82 – 1.62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15 days to 11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434343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1.6 – 2.7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0.81 – 1.27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 to 4 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434343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1.4 – 2.2</w:t>
            </w:r>
          </w:p>
        </w:tc>
        <w:tc>
          <w:tcPr>
            <w:vMerge w:val="restart"/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0.86 – 1.17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 to 12 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434343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1.3 – 1.9</w:t>
            </w:r>
          </w:p>
        </w:tc>
        <w:tc>
          <w:tcPr>
            <w:vMerge w:val="continue"/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13 – 15 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434343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– 1.8 (female) /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2.0  </w:t>
            </w: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1.1 – 2.0 (male)</w:t>
            </w:r>
          </w:p>
        </w:tc>
        <w:tc>
          <w:tcPr>
            <w:vMerge w:val="continue"/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15 – 18 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434343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0.9 – 1.6</w:t>
            </w:r>
          </w:p>
        </w:tc>
        <w:tc>
          <w:tcPr>
            <w:vMerge w:val="continue"/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Renal function</w:t>
      </w:r>
    </w:p>
    <w:p w:rsidR="00000000" w:rsidDel="00000000" w:rsidP="00000000" w:rsidRDefault="00000000" w:rsidRPr="00000000" w14:paraId="00000092">
      <w:pPr>
        <w:rPr>
          <w:rFonts w:ascii="Tahoma" w:cs="Tahoma" w:eastAsia="Tahoma" w:hAnsi="Tahoma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16.36363636363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6.363636363636"/>
        <w:gridCol w:w="4440"/>
        <w:tblGridChange w:id="0">
          <w:tblGrid>
            <w:gridCol w:w="3076.363636363636"/>
            <w:gridCol w:w="44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Age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Creatinine (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  <w:rtl w:val="0"/>
              </w:rPr>
              <w:t xml:space="preserve">µmol/L)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&lt; 15 days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29 - 82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15 days to &lt;2 years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9 - 32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 to &lt;5 years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18 – 38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 to &lt;12 years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27 – 54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12 to &lt;15 years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40 - 72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15 to &lt;19 years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43 – 74 (female) / 55 – 96 (male)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Tahoma" w:cs="Tahoma" w:eastAsia="Tahoma" w:hAnsi="Tahoma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16.36363636363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6.363636363636"/>
        <w:gridCol w:w="4440"/>
        <w:tblGridChange w:id="0">
          <w:tblGrid>
            <w:gridCol w:w="3076.363636363636"/>
            <w:gridCol w:w="44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Age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Urea (mmol/L)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highlight w:val="white"/>
                <w:rtl w:val="0"/>
              </w:rPr>
              <w:t xml:space="preserve">&lt; 15th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highlight w:val="white"/>
                <w:rtl w:val="0"/>
              </w:rPr>
              <w:t xml:space="preserve">1.0 – 8.2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highlight w:val="white"/>
                <w:rtl w:val="0"/>
              </w:rPr>
              <w:t xml:space="preserve">15th day - 11th 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highlight w:val="white"/>
                <w:rtl w:val="0"/>
              </w:rPr>
              <w:t xml:space="preserve">1.2 – 6.0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highlight w:val="white"/>
                <w:rtl w:val="0"/>
              </w:rPr>
              <w:t xml:space="preserve">1 - 9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highlight w:val="white"/>
                <w:rtl w:val="0"/>
              </w:rPr>
              <w:t xml:space="preserve">3.2 – 7.9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highlight w:val="white"/>
                <w:rtl w:val="0"/>
              </w:rPr>
              <w:t xml:space="preserve">10 - 18year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highlight w:val="white"/>
                <w:rtl w:val="0"/>
              </w:rPr>
              <w:t xml:space="preserve">2.6 – 6.8 (female)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highlight w:val="white"/>
                <w:rtl w:val="0"/>
              </w:rPr>
              <w:t xml:space="preserve"> /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2.6 – 7.5 (male)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highlight w:val="white"/>
                <w:rtl w:val="0"/>
              </w:rPr>
              <w:t xml:space="preserve">&gt; 18th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2.4 – 7.0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Tahoma" w:cs="Tahoma" w:eastAsia="Tahoma" w:hAnsi="Tahoma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highlight w:val="white"/>
          <w:rtl w:val="0"/>
        </w:rPr>
        <w:t xml:space="preserve">Lactate: 0.5 - 2.2 mmol/L</w:t>
      </w:r>
    </w:p>
    <w:p w:rsidR="00000000" w:rsidDel="00000000" w:rsidP="00000000" w:rsidRDefault="00000000" w:rsidRPr="00000000" w14:paraId="000000AF">
      <w:pPr>
        <w:rPr>
          <w:rFonts w:ascii="Tahoma" w:cs="Tahoma" w:eastAsia="Tahoma" w:hAnsi="Tahoma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ahoma" w:cs="Tahoma" w:eastAsia="Tahoma" w:hAnsi="Tahoma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highlight w:val="white"/>
          <w:rtl w:val="0"/>
        </w:rPr>
        <w:t xml:space="preserve">C-reactive protein: 0-5.0 mg/L</w:t>
      </w:r>
    </w:p>
    <w:p w:rsidR="00000000" w:rsidDel="00000000" w:rsidP="00000000" w:rsidRDefault="00000000" w:rsidRPr="00000000" w14:paraId="000000B1">
      <w:pPr>
        <w:rPr>
          <w:rFonts w:ascii="Tahoma" w:cs="Tahoma" w:eastAsia="Tahoma" w:hAnsi="Tahoma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highlight w:val="white"/>
          <w:rtl w:val="0"/>
        </w:rPr>
        <w:t xml:space="preserve">Serum osmolality: 275 - 300 mOSM/kg</w:t>
      </w:r>
    </w:p>
    <w:p w:rsidR="00000000" w:rsidDel="00000000" w:rsidP="00000000" w:rsidRDefault="00000000" w:rsidRPr="00000000" w14:paraId="000000B2">
      <w:pPr>
        <w:rPr>
          <w:rFonts w:ascii="Tahoma" w:cs="Tahoma" w:eastAsia="Tahoma" w:hAnsi="Tahoma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highlight w:val="white"/>
          <w:rtl w:val="0"/>
        </w:rPr>
        <w:t xml:space="preserve">Urine osmolality: 50-1200 mOSM/kg</w:t>
      </w:r>
    </w:p>
    <w:p w:rsidR="00000000" w:rsidDel="00000000" w:rsidP="00000000" w:rsidRDefault="00000000" w:rsidRPr="00000000" w14:paraId="000000B3">
      <w:pPr>
        <w:rPr>
          <w:rFonts w:ascii="Tahoma" w:cs="Tahoma" w:eastAsia="Tahoma" w:hAnsi="Tahoma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6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6095"/>
        <w:tblGridChange w:id="0">
          <w:tblGrid>
            <w:gridCol w:w="1555"/>
            <w:gridCol w:w="60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Procalcitonin (ug/L)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highlight w:val="white"/>
                <w:rtl w:val="0"/>
              </w:rPr>
              <w:t xml:space="preserve">&lt;0.50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ind w:left="113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highlight w:val="white"/>
                <w:rtl w:val="0"/>
              </w:rPr>
              <w:t xml:space="preserve">low risk of severe systemic infection (sepsis) but cannot exclude any infection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ahoma" w:cs="Tahoma" w:eastAsia="Tahoma" w:hAnsi="Tahoma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highlight w:val="white"/>
                <w:rtl w:val="0"/>
              </w:rPr>
              <w:t xml:space="preserve">0.50 – 2.00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ind w:left="113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highlight w:val="white"/>
                <w:rtl w:val="0"/>
              </w:rPr>
              <w:t xml:space="preserve">may require repeat testing in 6 to 24hrs if sepsis is clinically suspected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ahoma" w:cs="Tahoma" w:eastAsia="Tahoma" w:hAnsi="Tahoma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highlight w:val="white"/>
                <w:rtl w:val="0"/>
              </w:rPr>
              <w:t xml:space="preserve">2.00 - &lt;10.00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ind w:left="113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highlight w:val="white"/>
                <w:rtl w:val="0"/>
              </w:rPr>
              <w:t xml:space="preserve">high risk of sepsis or progression in sepsis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ahoma" w:cs="Tahoma" w:eastAsia="Tahoma" w:hAnsi="Tahoma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highlight w:val="white"/>
                <w:rtl w:val="0"/>
              </w:rPr>
              <w:t xml:space="preserve">&gt;=10.00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ind w:left="113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6"/>
                <w:szCs w:val="16"/>
                <w:highlight w:val="white"/>
                <w:rtl w:val="0"/>
              </w:rPr>
              <w:t xml:space="preserve">high likelihood of severe sepsis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5760" w:w="8640" w:orient="landscape"/>
      <w:pgMar w:bottom="170" w:top="284" w:left="567" w:right="567" w:header="284" w:footer="12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mic Sans MS"/>
  <w:font w:name="Tahoma">
    <w:embedRegular w:fontKey="{00000000-0000-0000-0000-000000000000}" r:id="rId1" w:subsetted="0"/>
    <w:embedBold w:fontKey="{00000000-0000-0000-0000-000000000000}" r:id="rId2" w:subsetted="0"/>
  </w:font>
  <w:font w:name="Permanent Marker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center"/>
      <w:rPr>
        <w:rFonts w:ascii="Comic Sans MS" w:cs="Comic Sans MS" w:eastAsia="Comic Sans MS" w:hAnsi="Comic Sans MS"/>
        <w:b w:val="1"/>
        <w:color w:val="666699"/>
        <w:sz w:val="14"/>
        <w:szCs w:val="14"/>
      </w:rPr>
    </w:pPr>
    <w:r w:rsidDel="00000000" w:rsidR="00000000" w:rsidRPr="00000000">
      <w:rPr>
        <w:rFonts w:ascii="Comic Sans MS" w:cs="Comic Sans MS" w:eastAsia="Comic Sans MS" w:hAnsi="Comic Sans MS"/>
        <w:b w:val="1"/>
        <w:color w:val="666699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center"/>
      <w:rPr>
        <w:rFonts w:ascii="Comic Sans MS" w:cs="Comic Sans MS" w:eastAsia="Comic Sans MS" w:hAnsi="Comic Sans MS"/>
        <w:b w:val="1"/>
        <w:color w:val="666699"/>
        <w:sz w:val="14"/>
        <w:szCs w:val="14"/>
      </w:rPr>
    </w:pPr>
    <w:r w:rsidDel="00000000" w:rsidR="00000000" w:rsidRPr="00000000">
      <w:rPr>
        <w:rFonts w:ascii="Comic Sans MS" w:cs="Comic Sans MS" w:eastAsia="Comic Sans MS" w:hAnsi="Comic Sans MS"/>
        <w:b w:val="1"/>
        <w:color w:val="666699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Comic Sans MS" w:cs="Comic Sans MS" w:eastAsia="Comic Sans MS" w:hAnsi="Comic Sans MS"/>
        <w:color w:val="000000"/>
        <w:sz w:val="14"/>
        <w:szCs w:val="1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center"/>
      <w:rPr>
        <w:rFonts w:ascii="Permanent Marker" w:cs="Permanent Marker" w:eastAsia="Permanent Marker" w:hAnsi="Permanent Marker"/>
        <w:b w:val="1"/>
        <w:smallCaps w:val="1"/>
        <w:color w:val="808080"/>
        <w:sz w:val="16"/>
        <w:szCs w:val="16"/>
      </w:rPr>
    </w:pPr>
    <w:bookmarkStart w:colFirst="0" w:colLast="0" w:name="_heading=h.gjdgxs" w:id="0"/>
    <w:bookmarkEnd w:id="0"/>
    <w:r w:rsidDel="00000000" w:rsidR="00000000" w:rsidRPr="00000000">
      <w:rPr>
        <w:rFonts w:ascii="Permanent Marker" w:cs="Permanent Marker" w:eastAsia="Permanent Marker" w:hAnsi="Permanent Marker"/>
        <w:b w:val="1"/>
        <w:smallCaps w:val="1"/>
        <w:color w:val="808080"/>
        <w:sz w:val="16"/>
        <w:szCs w:val="16"/>
        <w:rtl w:val="0"/>
      </w:rPr>
      <w:t xml:space="preserve">Paediatric Anaesthesia</w:t>
    </w:r>
  </w:p>
  <w:p w:rsidR="00000000" w:rsidDel="00000000" w:rsidP="00000000" w:rsidRDefault="00000000" w:rsidRPr="00000000" w14:paraId="000000C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center"/>
      <w:rPr>
        <w:rFonts w:ascii="Permanent Marker" w:cs="Permanent Marker" w:eastAsia="Permanent Marker" w:hAnsi="Permanent Marker"/>
        <w:b w:val="1"/>
        <w:smallCaps w:val="1"/>
        <w:color w:val="808080"/>
        <w:sz w:val="16"/>
        <w:szCs w:val="16"/>
      </w:rPr>
    </w:pPr>
    <w:bookmarkStart w:colFirst="0" w:colLast="0" w:name="_heading=h.ymm0xy7nxwv" w:id="1"/>
    <w:bookmarkEnd w:id="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0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600" w:hanging="72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400" w:hanging="108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20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smallCaps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color w:val="3366ff"/>
      <w:sz w:val="18"/>
      <w:szCs w:val="18"/>
    </w:rPr>
  </w:style>
  <w:style w:type="paragraph" w:styleId="Heading4">
    <w:name w:val="heading 4"/>
    <w:basedOn w:val="Normal"/>
    <w:next w:val="Normal"/>
    <w:pPr>
      <w:keepNext w:val="1"/>
    </w:pPr>
    <w:rPr>
      <w:b w:val="1"/>
      <w:smallCaps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</w:pPr>
    <w:rPr>
      <w:rFonts w:ascii="Arial" w:cs="Arial" w:eastAsia="Arial" w:hAnsi="Arial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spacing w:line="288" w:lineRule="auto"/>
    </w:pPr>
    <w:rPr>
      <w:rFonts w:ascii="Arial" w:cs="Arial" w:eastAsia="Arial" w:hAnsi="Arial"/>
      <w:sz w:val="15"/>
      <w:szCs w:val="15"/>
      <w:u w:val="single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  <w:color w:val="3366ff"/>
      <w:sz w:val="18"/>
      <w:szCs w:val="18"/>
    </w:rPr>
  </w:style>
  <w:style w:type="paragraph" w:styleId="Normal" w:default="1">
    <w:name w:val="Normal"/>
    <w:qFormat w:val="1"/>
    <w:rsid w:val="00AD320A"/>
  </w:style>
  <w:style w:type="paragraph" w:styleId="Heading1">
    <w:name w:val="heading 1"/>
    <w:basedOn w:val="Normal"/>
    <w:next w:val="Normal"/>
    <w:uiPriority w:val="9"/>
    <w:qFormat w:val="1"/>
    <w:rsid w:val="00AD320A"/>
    <w:pPr>
      <w:keepNext w:val="1"/>
      <w:outlineLvl w:val="0"/>
    </w:pPr>
    <w:rPr>
      <w:noProof w:val="1"/>
      <w:sz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AD320A"/>
    <w:pPr>
      <w:keepNext w:val="1"/>
      <w:outlineLvl w:val="1"/>
    </w:pPr>
    <w:rPr>
      <w:b w:val="1"/>
      <w:caps w:val="1"/>
      <w:noProof w:val="1"/>
      <w:sz w:val="1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AD320A"/>
    <w:pPr>
      <w:keepNext w:val="1"/>
      <w:outlineLvl w:val="2"/>
    </w:pPr>
    <w:rPr>
      <w:rFonts w:ascii="Arial" w:eastAsia="Arial Unicode MS" w:hAnsi="Arial"/>
      <w:b w:val="1"/>
      <w:color w:val="3366ff"/>
      <w:sz w:val="1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AD320A"/>
    <w:pPr>
      <w:keepNext w:val="1"/>
      <w:outlineLvl w:val="3"/>
    </w:pPr>
    <w:rPr>
      <w:b w:val="1"/>
      <w:caps w:val="1"/>
      <w:noProof w:val="1"/>
      <w:sz w:val="20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AD320A"/>
    <w:pPr>
      <w:keepNext w:val="1"/>
      <w:spacing w:line="288" w:lineRule="auto"/>
      <w:outlineLvl w:val="4"/>
    </w:pPr>
    <w:rPr>
      <w:rFonts w:ascii="Arial" w:eastAsia="Arial Unicode MS" w:hAnsi="Arial"/>
      <w:b w:val="1"/>
      <w:sz w:val="1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AD320A"/>
    <w:pPr>
      <w:keepNext w:val="1"/>
      <w:spacing w:line="288" w:lineRule="auto"/>
      <w:outlineLvl w:val="5"/>
    </w:pPr>
    <w:rPr>
      <w:rFonts w:ascii="Arial" w:eastAsia="Arial Unicode MS" w:hAnsi="Arial"/>
      <w:sz w:val="15"/>
      <w:u w:val="single"/>
    </w:rPr>
  </w:style>
  <w:style w:type="paragraph" w:styleId="Heading7">
    <w:name w:val="heading 7"/>
    <w:basedOn w:val="Normal"/>
    <w:next w:val="Normal"/>
    <w:qFormat w:val="1"/>
    <w:rsid w:val="00AD320A"/>
    <w:pPr>
      <w:keepNext w:val="1"/>
      <w:spacing w:line="288" w:lineRule="auto"/>
      <w:outlineLvl w:val="6"/>
    </w:pPr>
    <w:rPr>
      <w:rFonts w:ascii="Arial" w:eastAsia="Arial Unicode MS" w:hAnsi="Arial"/>
      <w:color w:val="3366ff"/>
      <w:sz w:val="16"/>
      <w:u w:val="single"/>
    </w:rPr>
  </w:style>
  <w:style w:type="paragraph" w:styleId="Heading8">
    <w:name w:val="heading 8"/>
    <w:basedOn w:val="Normal"/>
    <w:next w:val="Normal"/>
    <w:qFormat w:val="1"/>
    <w:rsid w:val="00AD320A"/>
    <w:pPr>
      <w:keepNext w:val="1"/>
      <w:spacing w:line="360" w:lineRule="auto"/>
      <w:outlineLvl w:val="7"/>
    </w:pPr>
    <w:rPr>
      <w:rFonts w:ascii="Arial" w:eastAsia="Arial Unicode MS" w:hAnsi="Arial"/>
      <w:b w:val="1"/>
      <w:sz w:val="15"/>
    </w:rPr>
  </w:style>
  <w:style w:type="paragraph" w:styleId="Heading9">
    <w:name w:val="heading 9"/>
    <w:basedOn w:val="Normal"/>
    <w:next w:val="Normal"/>
    <w:qFormat w:val="1"/>
    <w:rsid w:val="00AD320A"/>
    <w:pPr>
      <w:keepNext w:val="1"/>
      <w:spacing w:line="288" w:lineRule="auto"/>
      <w:outlineLvl w:val="8"/>
    </w:pPr>
    <w:rPr>
      <w:rFonts w:ascii="Arial" w:hAnsi="Arial"/>
      <w:b w:val="1"/>
      <w:color w:val="000000"/>
      <w:sz w:val="1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uiPriority w:val="10"/>
    <w:qFormat w:val="1"/>
    <w:rsid w:val="00AD320A"/>
    <w:pPr>
      <w:jc w:val="center"/>
    </w:pPr>
    <w:rPr>
      <w:rFonts w:ascii="Tahoma" w:hAnsi="Tahoma"/>
      <w:b w:val="1"/>
      <w:color w:val="3366ff"/>
      <w:sz w:val="18"/>
    </w:rPr>
  </w:style>
  <w:style w:type="paragraph" w:styleId="BodyText">
    <w:name w:val="Body Text"/>
    <w:basedOn w:val="Normal"/>
    <w:semiHidden w:val="1"/>
    <w:rsid w:val="00AD320A"/>
    <w:pPr>
      <w:jc w:val="both"/>
    </w:pPr>
    <w:rPr>
      <w:rFonts w:ascii="Arial" w:hAnsi="Arial"/>
      <w:sz w:val="22"/>
    </w:rPr>
  </w:style>
  <w:style w:type="paragraph" w:styleId="BodyText2">
    <w:name w:val="Body Text 2"/>
    <w:basedOn w:val="Normal"/>
    <w:semiHidden w:val="1"/>
    <w:rsid w:val="00AD320A"/>
    <w:rPr>
      <w:noProof w:val="1"/>
      <w:sz w:val="18"/>
    </w:rPr>
  </w:style>
  <w:style w:type="paragraph" w:styleId="BodyTextIndent">
    <w:name w:val="Body Text Indent"/>
    <w:basedOn w:val="Normal"/>
    <w:semiHidden w:val="1"/>
    <w:rsid w:val="00AD320A"/>
    <w:pPr>
      <w:ind w:left="720" w:hanging="720"/>
      <w:jc w:val="both"/>
    </w:pPr>
    <w:rPr>
      <w:sz w:val="22"/>
      <w:lang w:val="en-GB"/>
    </w:rPr>
  </w:style>
  <w:style w:type="paragraph" w:styleId="BodyTextIndent2">
    <w:name w:val="Body Text Indent 2"/>
    <w:basedOn w:val="Normal"/>
    <w:semiHidden w:val="1"/>
    <w:rsid w:val="00AD320A"/>
    <w:pPr>
      <w:ind w:left="720" w:hanging="360"/>
    </w:pPr>
    <w:rPr>
      <w:sz w:val="20"/>
      <w:lang w:val="en-GB"/>
    </w:rPr>
  </w:style>
  <w:style w:type="paragraph" w:styleId="BodyText3">
    <w:name w:val="Body Text 3"/>
    <w:basedOn w:val="Normal"/>
    <w:semiHidden w:val="1"/>
    <w:rsid w:val="00AD320A"/>
    <w:pPr>
      <w:jc w:val="both"/>
    </w:pPr>
    <w:rPr>
      <w:rFonts w:ascii="Arial Unicode MS" w:eastAsia="Arial Unicode MS" w:hAnsi="Arial Unicode MS"/>
      <w:sz w:val="16"/>
    </w:rPr>
  </w:style>
  <w:style w:type="paragraph" w:styleId="Header">
    <w:name w:val="header"/>
    <w:basedOn w:val="Normal"/>
    <w:semiHidden w:val="1"/>
    <w:rsid w:val="00AD320A"/>
    <w:pPr>
      <w:tabs>
        <w:tab w:val="center" w:pos="4320"/>
        <w:tab w:val="right" w:pos="8640"/>
      </w:tabs>
    </w:pPr>
    <w:rPr>
      <w:rFonts w:ascii="Arial" w:hAnsi="Arial"/>
      <w:sz w:val="22"/>
      <w:lang w:val="en-GB"/>
    </w:rPr>
  </w:style>
  <w:style w:type="paragraph" w:styleId="BodyTextIndent3">
    <w:name w:val="Body Text Indent 3"/>
    <w:basedOn w:val="Normal"/>
    <w:semiHidden w:val="1"/>
    <w:rsid w:val="00AD320A"/>
    <w:pPr>
      <w:ind w:left="-360" w:firstLine="720"/>
    </w:pPr>
    <w:rPr>
      <w:rFonts w:ascii="Arial" w:hAnsi="Arial"/>
      <w:color w:val="000000"/>
      <w:sz w:val="15"/>
    </w:rPr>
  </w:style>
  <w:style w:type="paragraph" w:styleId="Footer">
    <w:name w:val="footer"/>
    <w:basedOn w:val="Normal"/>
    <w:semiHidden w:val="1"/>
    <w:rsid w:val="00AD32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  <w:rsid w:val="00AD320A"/>
    <w:rPr>
      <w:rFonts w:ascii="Comic Sans MS" w:hAnsi="Comic Sans MS"/>
      <w:b w:val="1"/>
      <w:color w:val="666699"/>
      <w:sz w:val="14"/>
    </w:rPr>
  </w:style>
  <w:style w:type="paragraph" w:styleId="DocumentMap">
    <w:name w:val="Document Map"/>
    <w:basedOn w:val="Normal"/>
    <w:semiHidden w:val="1"/>
    <w:rsid w:val="00AD320A"/>
    <w:pPr>
      <w:shd w:color="auto" w:fill="000080" w:val="clear"/>
    </w:pPr>
    <w:rPr>
      <w:rFonts w:ascii="Tahoma" w:hAnsi="Tahoma"/>
    </w:rPr>
  </w:style>
  <w:style w:type="character" w:styleId="Hyperlink">
    <w:name w:val="Hyperlink"/>
    <w:basedOn w:val="DefaultParagraphFont"/>
    <w:semiHidden w:val="1"/>
    <w:rsid w:val="00AD320A"/>
    <w:rPr>
      <w:color w:val="0000ff"/>
      <w:u w:val="single"/>
    </w:rPr>
  </w:style>
  <w:style w:type="paragraph" w:styleId="NormalWeb">
    <w:name w:val="Normal (Web)"/>
    <w:basedOn w:val="Normal"/>
    <w:semiHidden w:val="1"/>
    <w:rsid w:val="00AD320A"/>
    <w:pPr>
      <w:spacing w:after="100" w:afterAutospacing="1" w:before="100" w:beforeAutospacing="1"/>
    </w:pPr>
    <w:rPr>
      <w:rFonts w:eastAsia="SimSun"/>
    </w:rPr>
  </w:style>
  <w:style w:type="character" w:styleId="Strong">
    <w:name w:val="Strong"/>
    <w:basedOn w:val="DefaultParagraphFont"/>
    <w:qFormat w:val="1"/>
    <w:rsid w:val="00AD320A"/>
    <w:rPr>
      <w:b w:val="1"/>
    </w:rPr>
  </w:style>
  <w:style w:type="character" w:styleId="Emphasis">
    <w:name w:val="Emphasis"/>
    <w:basedOn w:val="DefaultParagraphFont"/>
    <w:qFormat w:val="1"/>
    <w:rsid w:val="00AD320A"/>
    <w:rPr>
      <w:i w:val="1"/>
    </w:rPr>
  </w:style>
  <w:style w:type="paragraph" w:styleId="Index1">
    <w:name w:val="index 1"/>
    <w:basedOn w:val="Normal"/>
    <w:next w:val="Normal"/>
    <w:autoRedefine w:val="1"/>
    <w:semiHidden w:val="1"/>
    <w:rsid w:val="00AD320A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rsid w:val="00AD320A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rsid w:val="00AD320A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rsid w:val="00AD320A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rsid w:val="00AD320A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rsid w:val="00AD320A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rsid w:val="00AD320A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rsid w:val="00AD320A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rsid w:val="00AD320A"/>
    <w:pPr>
      <w:ind w:left="2160" w:hanging="240"/>
    </w:pPr>
  </w:style>
  <w:style w:type="paragraph" w:styleId="IndexHeading">
    <w:name w:val="index heading"/>
    <w:basedOn w:val="Normal"/>
    <w:next w:val="Index1"/>
    <w:semiHidden w:val="1"/>
    <w:rsid w:val="00AD320A"/>
  </w:style>
  <w:style w:type="paragraph" w:styleId="ListParagraph">
    <w:name w:val="List Paragraph"/>
    <w:basedOn w:val="Normal"/>
    <w:uiPriority w:val="34"/>
    <w:qFormat w:val="1"/>
    <w:rsid w:val="00A678C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E3C8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E3C86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272D79"/>
    <w:rPr>
      <w:rFonts w:eastAsia="SimSun" w:asciiTheme="minorHAnsi" w:cstheme="minorBid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PermanentMark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B62LsxFGa2Bgq1sok+I9LAnBxQ==">CgMxLjAyCGguZ2pkZ3hzMg1oLnltbTB4eTdueHd2OAByITE2cEJmc3FfUXpBd0VWU1RZa1UtWkNNODlKNGpUWHhSNw==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2023-08-21T04:00:00Z</dcterms:created>
  <dc:creator>dr03268i</dc:creator>
</cp:coreProperties>
</file>