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ff"/>
          <w:sz w:val="16"/>
          <w:szCs w:val="16"/>
          <w:u w:val="none"/>
          <w:shd w:fill="auto" w:val="clear"/>
          <w:vertAlign w:val="baseline"/>
        </w:rPr>
      </w:pPr>
      <w:r w:rsidDel="00000000" w:rsidR="00000000" w:rsidRPr="00000000">
        <w:rPr>
          <w:rFonts w:ascii="Tahoma" w:cs="Tahoma" w:eastAsia="Tahoma" w:hAnsi="Tahoma"/>
          <w:b w:val="1"/>
          <w:i w:val="0"/>
          <w:smallCaps w:val="0"/>
          <w:strike w:val="0"/>
          <w:color w:val="0000ff"/>
          <w:sz w:val="16"/>
          <w:szCs w:val="16"/>
          <w:u w:val="none"/>
          <w:shd w:fill="auto" w:val="clear"/>
          <w:vertAlign w:val="baseline"/>
          <w:rtl w:val="0"/>
        </w:rPr>
        <w:t xml:space="preserve">PHARMACOLOGICAL APPROACH TO PAIN MANAGEMENT</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Good Prescription Practices:</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single"/>
          <w:shd w:fill="auto" w:val="clear"/>
          <w:vertAlign w:val="baseline"/>
          <w:rtl w:val="0"/>
        </w:rPr>
        <w:t xml:space="preserve">Effective analgesia (through </w:t>
      </w:r>
      <w:r w:rsidDel="00000000" w:rsidR="00000000" w:rsidRPr="00000000">
        <w:rPr>
          <w:rFonts w:ascii="Tahoma" w:cs="Tahoma" w:eastAsia="Tahoma" w:hAnsi="Tahoma"/>
          <w:b w:val="0"/>
          <w:i w:val="0"/>
          <w:smallCaps w:val="0"/>
          <w:strike w:val="0"/>
          <w:color w:val="000000"/>
          <w:sz w:val="16"/>
          <w:szCs w:val="16"/>
          <w:u w:val="single"/>
          <w:shd w:fill="auto" w:val="clear"/>
          <w:vertAlign w:val="baseline"/>
          <w:rtl w:val="0"/>
        </w:rPr>
        <w:t xml:space="preserve">standardised</w:t>
      </w:r>
      <w:r w:rsidDel="00000000" w:rsidR="00000000" w:rsidRPr="00000000">
        <w:rPr>
          <w:rFonts w:ascii="Tahoma" w:cs="Tahoma" w:eastAsia="Tahoma" w:hAnsi="Tahoma"/>
          <w:b w:val="0"/>
          <w:i w:val="0"/>
          <w:smallCaps w:val="0"/>
          <w:strike w:val="0"/>
          <w:color w:val="000000"/>
          <w:sz w:val="16"/>
          <w:szCs w:val="16"/>
          <w:u w:val="single"/>
          <w:shd w:fill="auto" w:val="clear"/>
          <w:vertAlign w:val="baseline"/>
          <w:rtl w:val="0"/>
        </w:rPr>
        <w:t xml:space="preserve"> logical prescription):</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By the Ladder (WHO Analgesic Ladder - see below)</w:t>
      </w:r>
    </w:p>
    <w:p w:rsidR="00000000" w:rsidDel="00000000" w:rsidP="00000000" w:rsidRDefault="00000000" w:rsidRPr="00000000" w14:paraId="0000000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By the Clock Strictly for baseline analgesia</w:t>
      </w:r>
    </w:p>
    <w:p w:rsidR="00000000" w:rsidDel="00000000" w:rsidP="00000000" w:rsidRDefault="00000000" w:rsidRPr="00000000" w14:paraId="0000000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26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Serve on time and regularly</w:t>
      </w:r>
    </w:p>
    <w:p w:rsidR="00000000" w:rsidDel="00000000" w:rsidP="00000000" w:rsidRDefault="00000000" w:rsidRPr="00000000" w14:paraId="00000009">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26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Prescribe strictly if immediate post surgery or if there is a persistent pain stimulus</w:t>
      </w:r>
    </w:p>
    <w:p w:rsidR="00000000" w:rsidDel="00000000" w:rsidP="00000000" w:rsidRDefault="00000000" w:rsidRPr="00000000" w14:paraId="0000000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By the Child: age-specific weight-based dosing</w:t>
      </w:r>
    </w:p>
    <w:p w:rsidR="00000000" w:rsidDel="00000000" w:rsidP="00000000" w:rsidRDefault="00000000" w:rsidRPr="00000000" w14:paraId="0000000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By the Appropriate route</w:t>
      </w:r>
    </w:p>
    <w:p w:rsidR="00000000" w:rsidDel="00000000" w:rsidP="00000000" w:rsidRDefault="00000000" w:rsidRPr="00000000" w14:paraId="0000000C">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26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Prescribe IV pain reliever if patient is NBM</w:t>
      </w:r>
    </w:p>
    <w:p w:rsidR="00000000" w:rsidDel="00000000" w:rsidP="00000000" w:rsidRDefault="00000000" w:rsidRPr="00000000" w14:paraId="0000000D">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26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Prescribe IV for rapid onset if pain is severe and dynamic</w:t>
      </w:r>
    </w:p>
    <w:p w:rsidR="00000000" w:rsidDel="00000000" w:rsidP="00000000" w:rsidRDefault="00000000" w:rsidRPr="00000000" w14:paraId="0000000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By Patient's Request (PRN rescue for unexpected pain)</w:t>
      </w:r>
    </w:p>
    <w:p w:rsidR="00000000" w:rsidDel="00000000" w:rsidP="00000000" w:rsidRDefault="00000000" w:rsidRPr="00000000" w14:paraId="0000000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By Risk Status (constraints of age, disease, post-op status requiring dose reduction or route restrictions)</w:t>
      </w:r>
    </w:p>
    <w:p w:rsidR="00000000" w:rsidDel="00000000" w:rsidP="00000000" w:rsidRDefault="00000000" w:rsidRPr="00000000" w14:paraId="0000001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Select a drug based on potency to match pain intensity. Include an opiate if moderate to severe pain exists (escalate as per the WHO Ladder, using Multi-modal Therapy &amp; Analgesics round the clock (strictly served) to maintain within the “Analgesic Corridor”</w:t>
      </w:r>
    </w:p>
    <w:p w:rsidR="00000000" w:rsidDel="00000000" w:rsidP="00000000" w:rsidRDefault="00000000" w:rsidRPr="00000000" w14:paraId="0000001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Appreciate that Pain is dynamic, not static. Proactive treatment dictates provision of PRN analgesics for breakthrough/incident pain. Appreciate that pain is strongly influenced by anxiety</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6"/>
          <w:szCs w:val="16"/>
          <w:u w:val="singl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single"/>
          <w:shd w:fill="auto" w:val="clear"/>
          <w:vertAlign w:val="baseline"/>
          <w:rtl w:val="0"/>
        </w:rPr>
        <w:t xml:space="preserve">Safety</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Individualise doses on a per kg body weight basis</w:t>
      </w:r>
    </w:p>
    <w:p w:rsidR="00000000" w:rsidDel="00000000" w:rsidP="00000000" w:rsidRDefault="00000000" w:rsidRPr="00000000" w14:paraId="0000001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Be aware of the maximum allowable single dose limit</w:t>
      </w:r>
    </w:p>
    <w:p w:rsidR="00000000" w:rsidDel="00000000" w:rsidP="00000000" w:rsidRDefault="00000000" w:rsidRPr="00000000" w14:paraId="0000001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Stay within recommended 24h daily dose limit</w:t>
      </w:r>
    </w:p>
    <w:p w:rsidR="00000000" w:rsidDel="00000000" w:rsidP="00000000" w:rsidRDefault="00000000" w:rsidRPr="00000000" w14:paraId="0000001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Limit duration of prescription to 3-7 days &amp; reassess</w:t>
      </w:r>
    </w:p>
    <w:p w:rsidR="00000000" w:rsidDel="00000000" w:rsidP="00000000" w:rsidRDefault="00000000" w:rsidRPr="00000000" w14:paraId="0000001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Daily CLMM review &amp; with adjustments for age, disease, risk profile &amp; response to therapy</w:t>
      </w:r>
    </w:p>
    <w:p w:rsidR="00000000" w:rsidDel="00000000" w:rsidP="00000000" w:rsidRDefault="00000000" w:rsidRPr="00000000" w14:paraId="0000001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When pain is more than what is expected for the patient, think of alternative causes of pain e.g. compartment syndrome, pressure necrosis or surgical complications</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single"/>
          <w:shd w:fill="auto" w:val="clear"/>
          <w:vertAlign w:val="baseline"/>
          <w:rtl w:val="0"/>
        </w:rPr>
        <w:t xml:space="preserve">Analgesic Modalities</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Simple Analgesia : Paracetamol and NSAIDS (enteral or parenteral)</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Specialized Analgesia :</w:t>
      </w:r>
    </w:p>
    <w:p w:rsidR="00000000" w:rsidDel="00000000" w:rsidP="00000000" w:rsidRDefault="00000000" w:rsidRPr="00000000" w14:paraId="0000001D">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26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Oral opioids</w:t>
      </w:r>
    </w:p>
    <w:p w:rsidR="00000000" w:rsidDel="00000000" w:rsidP="00000000" w:rsidRDefault="00000000" w:rsidRPr="00000000" w14:paraId="0000001E">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26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IV Morphine infusions</w:t>
      </w:r>
    </w:p>
    <w:p w:rsidR="00000000" w:rsidDel="00000000" w:rsidP="00000000" w:rsidRDefault="00000000" w:rsidRPr="00000000" w14:paraId="0000001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26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Patient Controlled Analgesia (PCA) / Nurse Controlled Analgesia (NCA)</w:t>
      </w:r>
    </w:p>
    <w:p w:rsidR="00000000" w:rsidDel="00000000" w:rsidP="00000000" w:rsidRDefault="00000000" w:rsidRPr="00000000" w14:paraId="0000002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26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Continuous Epidural / Caudal Infusions or Regional /Plexus Blocks</w:t>
      </w:r>
    </w:p>
    <w:p w:rsidR="00000000" w:rsidDel="00000000" w:rsidP="00000000" w:rsidRDefault="00000000" w:rsidRPr="00000000" w14:paraId="0000002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26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Continuous Wound Infusion</w:t>
      </w:r>
    </w:p>
    <w:p w:rsidR="00000000" w:rsidDel="00000000" w:rsidP="00000000" w:rsidRDefault="00000000" w:rsidRPr="00000000" w14:paraId="00000022">
      <w:pPr>
        <w:jc w:val="both"/>
        <w:rPr>
          <w:rFonts w:ascii="Tahoma" w:cs="Tahoma" w:eastAsia="Tahoma" w:hAnsi="Tahoma"/>
          <w:b w:val="1"/>
          <w:color w:val="000000"/>
          <w:sz w:val="16"/>
          <w:szCs w:val="16"/>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Simple Analgesia: Where to start</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Pr>
        <w:drawing>
          <wp:inline distB="0" distT="0" distL="0" distR="0">
            <wp:extent cx="2896286" cy="2628900"/>
            <wp:effectExtent b="0" l="0" r="0" t="0"/>
            <wp:docPr descr="A diagram of pain and other pain&#10;&#10;Description automatically generated with medium confidence" id="1400627280" name="image2.png"/>
            <a:graphic>
              <a:graphicData uri="http://schemas.openxmlformats.org/drawingml/2006/picture">
                <pic:pic>
                  <pic:nvPicPr>
                    <pic:cNvPr descr="A diagram of pain and other pain&#10;&#10;Description automatically generated with medium confidence" id="0" name="image2.png"/>
                    <pic:cNvPicPr preferRelativeResize="0"/>
                  </pic:nvPicPr>
                  <pic:blipFill>
                    <a:blip r:embed="rId7"/>
                    <a:srcRect b="0" l="0" r="0" t="0"/>
                    <a:stretch>
                      <a:fillRect/>
                    </a:stretch>
                  </pic:blipFill>
                  <pic:spPr>
                    <a:xfrm>
                      <a:off x="0" y="0"/>
                      <a:ext cx="2896286"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16"/>
          <w:szCs w:val="16"/>
        </w:rPr>
        <w:sectPr>
          <w:headerReference r:id="rId8" w:type="default"/>
          <w:headerReference r:id="rId9" w:type="first"/>
          <w:headerReference r:id="rId10" w:type="even"/>
          <w:footerReference r:id="rId11" w:type="default"/>
          <w:footerReference r:id="rId12" w:type="first"/>
          <w:footerReference r:id="rId13" w:type="even"/>
          <w:pgSz w:h="8640" w:w="5760" w:orient="portrait"/>
          <w:pgMar w:bottom="567" w:top="567" w:left="284" w:right="284" w:header="284" w:footer="284"/>
          <w:pgNumType w:start="1"/>
        </w:sect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Modified WHO pain ladder figure </w:t>
      </w:r>
      <w:hyperlink r:id="rId14">
        <w:r w:rsidDel="00000000" w:rsidR="00000000" w:rsidRPr="00000000">
          <w:rPr>
            <w:rFonts w:ascii="Tahoma" w:cs="Tahoma" w:eastAsia="Tahoma" w:hAnsi="Tahoma"/>
            <w:b w:val="0"/>
            <w:i w:val="0"/>
            <w:smallCaps w:val="0"/>
            <w:strike w:val="0"/>
            <w:color w:val="1155cc"/>
            <w:sz w:val="16"/>
            <w:szCs w:val="16"/>
            <w:u w:val="single"/>
            <w:shd w:fill="auto" w:val="clear"/>
            <w:vertAlign w:val="baseline"/>
            <w:rtl w:val="0"/>
          </w:rPr>
          <w:t xml:space="preserve">(Gai et al. 202</w:t>
        </w:r>
      </w:hyperlink>
      <w:r w:rsidDel="00000000" w:rsidR="00000000" w:rsidRPr="00000000">
        <w:rPr>
          <w:rtl w:val="0"/>
        </w:rPr>
      </w:r>
    </w:p>
    <w:p w:rsidR="00000000" w:rsidDel="00000000" w:rsidP="00000000" w:rsidRDefault="00000000" w:rsidRPr="00000000" w14:paraId="00000027">
      <w:pPr>
        <w:jc w:val="both"/>
        <w:rPr>
          <w:rFonts w:ascii="Tahoma" w:cs="Tahoma" w:eastAsia="Tahoma" w:hAnsi="Tahoma"/>
          <w:sz w:val="16"/>
          <w:szCs w:val="16"/>
        </w:rPr>
      </w:pPr>
      <w:r w:rsidDel="00000000" w:rsidR="00000000" w:rsidRPr="00000000">
        <w:rPr>
          <w:rtl w:val="0"/>
        </w:rPr>
      </w:r>
    </w:p>
    <w:tbl>
      <w:tblPr>
        <w:tblStyle w:val="Table1"/>
        <w:tblW w:w="53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5"/>
        <w:gridCol w:w="1755"/>
        <w:gridCol w:w="1815"/>
        <w:tblGridChange w:id="0">
          <w:tblGrid>
            <w:gridCol w:w="1785"/>
            <w:gridCol w:w="1755"/>
            <w:gridCol w:w="1815"/>
          </w:tblGrid>
        </w:tblGridChange>
      </w:tblGrid>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4f81bd" w:val="clear"/>
            <w:tcMar>
              <w:top w:w="60.0" w:type="dxa"/>
              <w:left w:w="120.0" w:type="dxa"/>
              <w:bottom w:w="60.0" w:type="dxa"/>
              <w:right w:w="120.0" w:type="dxa"/>
            </w:tcMar>
            <w:vAlign w:val="cente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1"/>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For patients more than 6 months</w:t>
            </w:r>
          </w:p>
        </w:tc>
        <w:tc>
          <w:tcPr>
            <w:tcBorders>
              <w:top w:color="000000" w:space="0" w:sz="6" w:val="single"/>
              <w:left w:color="000000" w:space="0" w:sz="6" w:val="single"/>
              <w:bottom w:color="000000" w:space="0" w:sz="6" w:val="single"/>
              <w:right w:color="000000" w:space="0" w:sz="6" w:val="single"/>
            </w:tcBorders>
            <w:shd w:fill="7030a0" w:val="clear"/>
            <w:tcMar>
              <w:top w:w="60.0" w:type="dxa"/>
              <w:left w:w="120.0" w:type="dxa"/>
              <w:bottom w:w="60.0" w:type="dxa"/>
              <w:right w:w="120.0" w:type="dxa"/>
            </w:tcMar>
            <w:vAlign w:val="center"/>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1"/>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For patients 1 to 6 months</w:t>
            </w:r>
          </w:p>
        </w:tc>
        <w:tc>
          <w:tcPr>
            <w:tcBorders>
              <w:top w:color="000000" w:space="0" w:sz="6" w:val="single"/>
              <w:left w:color="000000" w:space="0" w:sz="6" w:val="single"/>
              <w:bottom w:color="000000" w:space="0" w:sz="6" w:val="single"/>
              <w:right w:color="000000" w:space="0" w:sz="6" w:val="single"/>
            </w:tcBorders>
            <w:shd w:fill="984807" w:val="clear"/>
            <w:tcMar>
              <w:top w:w="60.0" w:type="dxa"/>
              <w:left w:w="120.0" w:type="dxa"/>
              <w:bottom w:w="60.0" w:type="dxa"/>
              <w:right w:w="120.0" w:type="dxa"/>
            </w:tcMar>
            <w:vAlign w:val="center"/>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1"/>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For patients less than 1 month</w:t>
            </w:r>
          </w:p>
        </w:tc>
      </w:tr>
      <w:tr>
        <w:trPr>
          <w:cantSplit w:val="0"/>
          <w:trHeight w:val="1275" w:hRule="atLeast"/>
          <w:tblHeader w:val="0"/>
        </w:trPr>
        <w:tc>
          <w:tcPr>
            <w:tcBorders>
              <w:top w:color="000000" w:space="0" w:sz="6" w:val="single"/>
              <w:left w:color="000000" w:space="0" w:sz="6" w:val="single"/>
              <w:bottom w:color="000000" w:space="0" w:sz="6" w:val="single"/>
              <w:right w:color="000000" w:space="0" w:sz="6" w:val="single"/>
            </w:tcBorders>
            <w:shd w:fill="d0d8e8" w:val="clear"/>
            <w:tcMar>
              <w:top w:w="60.0" w:type="dxa"/>
              <w:left w:w="120.0" w:type="dxa"/>
              <w:bottom w:w="60.0" w:type="dxa"/>
              <w:right w:w="120.0" w:type="dxa"/>
            </w:tcMar>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rPr>
                <w:rFonts w:ascii="Tahoma" w:cs="Tahoma" w:eastAsia="Tahoma" w:hAnsi="Tahoma"/>
                <w:smallCaps w:val="0"/>
                <w:strike w:val="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The first line: </w:t>
            </w: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Paracetamol</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PO/IV 15 mg per kg Q6H maximum of 1 g Q6H</w:t>
            </w:r>
            <w:r w:rsidDel="00000000" w:rsidR="00000000" w:rsidRPr="00000000">
              <w:rPr>
                <w:rFonts w:ascii="Tahoma" w:cs="Tahoma" w:eastAsia="Tahoma" w:hAnsi="Tahoma"/>
                <w:b w:val="0"/>
                <w:i w:val="1"/>
                <w:smallCaps w:val="0"/>
                <w:strike w:val="0"/>
                <w:color w:val="e46c0a"/>
                <w:sz w:val="16"/>
                <w:szCs w:val="16"/>
                <w:u w:val="none"/>
                <w:shd w:fill="auto" w:val="clear"/>
                <w:vertAlign w:val="baseline"/>
                <w:rtl w:val="0"/>
              </w:rPr>
              <w:t xml:space="preserve"> strictly given, reassess thereafter</w:t>
            </w:r>
            <w:r w:rsidDel="00000000" w:rsidR="00000000" w:rsidRPr="00000000">
              <w:rPr>
                <w:rFonts w:ascii="Tahoma" w:cs="Tahoma" w:eastAsia="Tahoma" w:hAnsi="Tahoma"/>
                <w:b w:val="0"/>
                <w:i w:val="1"/>
                <w:smallCaps w:val="0"/>
                <w:strike w:val="0"/>
                <w:color w:val="7030a0"/>
                <w:sz w:val="16"/>
                <w:szCs w:val="1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425.1968503937008" w:right="0" w:hanging="360"/>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IV for patients who are NBM/ rectal route is not feasible</w:t>
            </w:r>
          </w:p>
          <w:p w:rsidR="00000000" w:rsidDel="00000000" w:rsidP="00000000" w:rsidRDefault="00000000" w:rsidRPr="00000000" w14:paraId="0000002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425.1968503937008" w:right="0" w:hanging="360"/>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Prescribe for 7 days, then reassess.</w:t>
            </w:r>
          </w:p>
        </w:tc>
        <w:tc>
          <w:tcPr>
            <w:tcBorders>
              <w:top w:color="000000" w:space="0" w:sz="6" w:val="single"/>
              <w:left w:color="000000" w:space="0" w:sz="6" w:val="single"/>
              <w:bottom w:color="000000" w:space="0" w:sz="6" w:val="single"/>
              <w:right w:color="000000" w:space="0" w:sz="6" w:val="single"/>
            </w:tcBorders>
            <w:shd w:fill="ccc1da" w:val="clear"/>
            <w:tcMar>
              <w:top w:w="60.0" w:type="dxa"/>
              <w:left w:w="120.0" w:type="dxa"/>
              <w:bottom w:w="60.0" w:type="dxa"/>
              <w:right w:w="120.0" w:type="dxa"/>
            </w:tcMar>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first line: </w:t>
            </w: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Paracetamol</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PO/IV 10 mg per kg Q6H </w:t>
            </w:r>
            <w:r w:rsidDel="00000000" w:rsidR="00000000" w:rsidRPr="00000000">
              <w:rPr>
                <w:rFonts w:ascii="Tahoma" w:cs="Tahoma" w:eastAsia="Tahoma" w:hAnsi="Tahoma"/>
                <w:b w:val="0"/>
                <w:i w:val="1"/>
                <w:smallCaps w:val="0"/>
                <w:strike w:val="0"/>
                <w:color w:val="e46c0a"/>
                <w:sz w:val="16"/>
                <w:szCs w:val="16"/>
                <w:u w:val="none"/>
                <w:shd w:fill="auto" w:val="clear"/>
                <w:vertAlign w:val="baseline"/>
                <w:rtl w:val="0"/>
              </w:rPr>
              <w:t xml:space="preserve">strictly given, reassess thereafter.</w:t>
            </w:r>
            <w:r w:rsidDel="00000000" w:rsidR="00000000" w:rsidRPr="00000000">
              <w:rPr>
                <w:rtl w:val="0"/>
              </w:rPr>
            </w:r>
          </w:p>
          <w:p w:rsidR="00000000" w:rsidDel="00000000" w:rsidP="00000000" w:rsidRDefault="00000000" w:rsidRPr="00000000" w14:paraId="0000002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425.1968503937008" w:right="0"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IV for patients who are NBM/ rectal route is not feasible</w:t>
            </w:r>
          </w:p>
          <w:p w:rsidR="00000000" w:rsidDel="00000000" w:rsidP="00000000" w:rsidRDefault="00000000" w:rsidRPr="00000000" w14:paraId="0000003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425.1968503937008" w:right="0"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Prescribe for 7 days, then reassess.</w:t>
            </w:r>
          </w:p>
        </w:tc>
        <w:tc>
          <w:tcPr>
            <w:tcBorders>
              <w:top w:color="000000" w:space="0" w:sz="6" w:val="single"/>
              <w:left w:color="000000" w:space="0" w:sz="6" w:val="single"/>
              <w:bottom w:color="000000" w:space="0" w:sz="6" w:val="single"/>
              <w:right w:color="000000" w:space="0" w:sz="6" w:val="single"/>
            </w:tcBorders>
            <w:shd w:fill="fac090" w:val="clear"/>
            <w:tcMar>
              <w:top w:w="60.0" w:type="dxa"/>
              <w:left w:w="120.0" w:type="dxa"/>
              <w:bottom w:w="60.0" w:type="dxa"/>
              <w:right w:w="120.0" w:type="dxa"/>
            </w:tcMa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rPr>
                <w:rFonts w:ascii="Tahoma" w:cs="Tahoma" w:eastAsia="Tahoma" w:hAnsi="Tahoma"/>
                <w:sz w:val="16"/>
                <w:szCs w:val="16"/>
              </w:rPr>
            </w:pPr>
            <w:r w:rsidDel="00000000" w:rsidR="00000000" w:rsidRPr="00000000">
              <w:rPr>
                <w:rFonts w:ascii="Tahoma" w:cs="Tahoma" w:eastAsia="Tahoma" w:hAnsi="Tahoma"/>
                <w:sz w:val="16"/>
                <w:szCs w:val="16"/>
                <w:rtl w:val="0"/>
              </w:rPr>
              <w:t xml:space="preserve">The</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first line: </w:t>
            </w: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Paracetamol</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PO/IV 7.5 mg per kg Q6H </w:t>
            </w:r>
            <w:r w:rsidDel="00000000" w:rsidR="00000000" w:rsidRPr="00000000">
              <w:rPr>
                <w:rFonts w:ascii="Tahoma" w:cs="Tahoma" w:eastAsia="Tahoma" w:hAnsi="Tahoma"/>
                <w:b w:val="0"/>
                <w:i w:val="1"/>
                <w:smallCaps w:val="0"/>
                <w:strike w:val="0"/>
                <w:color w:val="e46c0a"/>
                <w:sz w:val="16"/>
                <w:szCs w:val="16"/>
                <w:u w:val="none"/>
                <w:shd w:fill="auto" w:val="clear"/>
                <w:vertAlign w:val="baseline"/>
                <w:rtl w:val="0"/>
              </w:rPr>
              <w:t xml:space="preserve">strictly given, reassess thereafter.</w:t>
            </w:r>
            <w:r w:rsidDel="00000000" w:rsidR="00000000" w:rsidRPr="00000000">
              <w:rPr>
                <w:rtl w:val="0"/>
              </w:rPr>
            </w:r>
          </w:p>
          <w:p w:rsidR="00000000" w:rsidDel="00000000" w:rsidP="00000000" w:rsidRDefault="00000000" w:rsidRPr="00000000" w14:paraId="0000003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425.1968503937008" w:right="0"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IV for patients who are NBM/ rectal route is not feasible</w:t>
            </w:r>
          </w:p>
          <w:p w:rsidR="00000000" w:rsidDel="00000000" w:rsidP="00000000" w:rsidRDefault="00000000" w:rsidRPr="00000000" w14:paraId="0000003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425.1968503937008" w:right="0"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Prescribe for 7 days, then reassess</w:t>
            </w:r>
            <w:r w:rsidDel="00000000" w:rsidR="00000000" w:rsidRPr="00000000">
              <w:rPr>
                <w:rFonts w:ascii="Tahoma" w:cs="Tahoma" w:eastAsia="Tahoma" w:hAnsi="Tahoma"/>
                <w:sz w:val="16"/>
                <w:szCs w:val="16"/>
                <w:rtl w:val="0"/>
              </w:rPr>
              <w:t xml:space="preserve">.</w:t>
            </w:r>
          </w:p>
        </w:tc>
      </w:tr>
      <w:tr>
        <w:trPr>
          <w:cantSplit w:val="0"/>
          <w:trHeight w:val="1767.9390625" w:hRule="atLeast"/>
          <w:tblHeader w:val="0"/>
        </w:trPr>
        <w:tc>
          <w:tcPr>
            <w:vMerge w:val="restart"/>
            <w:tcBorders>
              <w:top w:color="000000" w:space="0" w:sz="6" w:val="single"/>
              <w:left w:color="000000" w:space="0" w:sz="6" w:val="single"/>
              <w:bottom w:color="000000" w:space="0" w:sz="6" w:val="single"/>
              <w:right w:color="000000" w:space="0" w:sz="6" w:val="single"/>
            </w:tcBorders>
            <w:shd w:fill="d0d8e8" w:val="clear"/>
            <w:tcMar>
              <w:top w:w="60.0" w:type="dxa"/>
              <w:left w:w="120.0" w:type="dxa"/>
              <w:bottom w:w="60.0" w:type="dxa"/>
              <w:right w:w="120.0" w:type="dxa"/>
            </w:tcMar>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rPr>
                <w:rFonts w:ascii="Tahoma" w:cs="Tahoma" w:eastAsia="Tahoma" w:hAnsi="Tahoma"/>
                <w:sz w:val="16"/>
                <w:szCs w:val="16"/>
              </w:rPr>
            </w:pPr>
            <w:r w:rsidDel="00000000" w:rsidR="00000000" w:rsidRPr="00000000">
              <w:rPr>
                <w:rFonts w:ascii="Tahoma" w:cs="Tahoma" w:eastAsia="Tahoma" w:hAnsi="Tahoma"/>
                <w:sz w:val="16"/>
                <w:szCs w:val="16"/>
                <w:rtl w:val="0"/>
              </w:rPr>
              <w:t xml:space="preserve">If the patient is still in pain</w:t>
            </w:r>
          </w:p>
          <w:p w:rsidR="00000000" w:rsidDel="00000000" w:rsidP="00000000" w:rsidRDefault="00000000" w:rsidRPr="00000000" w14:paraId="00000035">
            <w:pPr>
              <w:rPr>
                <w:rFonts w:ascii="Tahoma" w:cs="Tahoma" w:eastAsia="Tahoma" w:hAnsi="Tahoma"/>
                <w:sz w:val="16"/>
                <w:szCs w:val="16"/>
              </w:rPr>
            </w:pPr>
            <w:r w:rsidDel="00000000" w:rsidR="00000000" w:rsidRPr="00000000">
              <w:rPr>
                <w:rFonts w:ascii="Tahoma" w:cs="Tahoma" w:eastAsia="Tahoma" w:hAnsi="Tahoma"/>
                <w:sz w:val="16"/>
                <w:szCs w:val="16"/>
                <w:rtl w:val="0"/>
              </w:rPr>
              <w:t xml:space="preserve">and/or pain is anticipated to require more than Paracetamol for intervention.</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rPr>
                <w:rFonts w:ascii="Tahoma" w:cs="Tahoma" w:eastAsia="Tahoma" w:hAnsi="Tahoma"/>
                <w:sz w:val="16"/>
                <w:szCs w:val="16"/>
              </w:rPr>
            </w:pPr>
            <w:r w:rsidDel="00000000" w:rsidR="00000000" w:rsidRPr="00000000">
              <w:rPr>
                <w:rFonts w:ascii="Tahoma" w:cs="Tahoma" w:eastAsia="Tahoma" w:hAnsi="Tahoma"/>
                <w:sz w:val="16"/>
                <w:szCs w:val="16"/>
                <w:rtl w:val="0"/>
              </w:rPr>
              <w:t xml:space="preserve">No contraindication to NSAIDs (e.g. asthma):</w:t>
            </w:r>
          </w:p>
          <w:p w:rsidR="00000000" w:rsidDel="00000000" w:rsidP="00000000" w:rsidRDefault="00000000" w:rsidRPr="00000000" w14:paraId="00000037">
            <w:pPr>
              <w:rPr>
                <w:rFonts w:ascii="Tahoma" w:cs="Tahoma" w:eastAsia="Tahoma" w:hAnsi="Tahoma"/>
                <w:sz w:val="16"/>
                <w:szCs w:val="16"/>
              </w:rPr>
            </w:pPr>
            <w:r w:rsidDel="00000000" w:rsidR="00000000" w:rsidRPr="00000000">
              <w:rPr>
                <w:rFonts w:ascii="Tahoma" w:cs="Tahoma" w:eastAsia="Tahoma" w:hAnsi="Tahoma"/>
                <w:sz w:val="16"/>
                <w:szCs w:val="16"/>
                <w:rtl w:val="0"/>
              </w:rPr>
              <w:t xml:space="preserve">Add </w:t>
            </w:r>
            <w:r w:rsidDel="00000000" w:rsidR="00000000" w:rsidRPr="00000000">
              <w:rPr>
                <w:rFonts w:ascii="Tahoma" w:cs="Tahoma" w:eastAsia="Tahoma" w:hAnsi="Tahoma"/>
                <w:b w:val="1"/>
                <w:sz w:val="16"/>
                <w:szCs w:val="16"/>
                <w:rtl w:val="0"/>
              </w:rPr>
              <w:t xml:space="preserve">Ibuprofen</w:t>
            </w:r>
            <w:r w:rsidDel="00000000" w:rsidR="00000000" w:rsidRPr="00000000">
              <w:rPr>
                <w:rFonts w:ascii="Tahoma" w:cs="Tahoma" w:eastAsia="Tahoma" w:hAnsi="Tahoma"/>
                <w:sz w:val="16"/>
                <w:szCs w:val="16"/>
                <w:rtl w:val="0"/>
              </w:rPr>
              <w:t xml:space="preserve"> PO/IV 5-10 mg/kg Q8H maximum 40 mg/kg/day, 400mg/dose  </w:t>
            </w:r>
            <w:r w:rsidDel="00000000" w:rsidR="00000000" w:rsidRPr="00000000">
              <w:rPr>
                <w:rFonts w:ascii="Tahoma" w:cs="Tahoma" w:eastAsia="Tahoma" w:hAnsi="Tahoma"/>
                <w:color w:val="e46c0a"/>
                <w:sz w:val="16"/>
                <w:szCs w:val="16"/>
                <w:rtl w:val="0"/>
              </w:rPr>
              <w:t xml:space="preserve">strictly or PRN, </w:t>
            </w:r>
            <w:r w:rsidDel="00000000" w:rsidR="00000000" w:rsidRPr="00000000">
              <w:rPr>
                <w:rFonts w:ascii="Tahoma" w:cs="Tahoma" w:eastAsia="Tahoma" w:hAnsi="Tahoma"/>
                <w:i w:val="1"/>
                <w:color w:val="e46c0a"/>
                <w:sz w:val="16"/>
                <w:szCs w:val="16"/>
                <w:rtl w:val="0"/>
              </w:rPr>
              <w:t xml:space="preserve">reassess thereafter</w:t>
            </w:r>
            <w:r w:rsidDel="00000000" w:rsidR="00000000" w:rsidRPr="00000000">
              <w:rPr>
                <w:rtl w:val="0"/>
              </w:rPr>
            </w:r>
          </w:p>
          <w:p w:rsidR="00000000" w:rsidDel="00000000" w:rsidP="00000000" w:rsidRDefault="00000000" w:rsidRPr="00000000" w14:paraId="0000003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425.1968503937008" w:right="0"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IV for patients who are NBM/ rectal route is not feasible</w:t>
            </w:r>
          </w:p>
          <w:p w:rsidR="00000000" w:rsidDel="00000000" w:rsidP="00000000" w:rsidRDefault="00000000" w:rsidRPr="00000000" w14:paraId="0000003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425.1968503937008" w:right="0"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Consider adding PPI/antacids as indicated.</w:t>
            </w:r>
          </w:p>
          <w:p w:rsidR="00000000" w:rsidDel="00000000" w:rsidP="00000000" w:rsidRDefault="00000000" w:rsidRPr="00000000" w14:paraId="0000003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425.1968503937008" w:right="0"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Prescribe for 3 days, reassess thereafter.</w:t>
            </w:r>
          </w:p>
        </w:tc>
        <w:tc>
          <w:tcPr>
            <w:vMerge w:val="restart"/>
            <w:tcBorders>
              <w:top w:color="000000" w:space="0" w:sz="6" w:val="single"/>
              <w:left w:color="000000" w:space="0" w:sz="6" w:val="single"/>
              <w:bottom w:color="000000" w:space="0" w:sz="6" w:val="single"/>
              <w:right w:color="000000" w:space="0" w:sz="6" w:val="single"/>
            </w:tcBorders>
            <w:shd w:fill="e6e0ec" w:val="clear"/>
            <w:tcMar>
              <w:top w:w="60.0" w:type="dxa"/>
              <w:left w:w="120.0" w:type="dxa"/>
              <w:bottom w:w="60.0" w:type="dxa"/>
              <w:right w:w="120.0" w:type="dxa"/>
            </w:tcMa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rPr>
                <w:rFonts w:ascii="Tahoma" w:cs="Tahoma" w:eastAsia="Tahoma" w:hAnsi="Tahoma"/>
                <w:sz w:val="16"/>
                <w:szCs w:val="16"/>
              </w:rPr>
            </w:pPr>
            <w:r w:rsidDel="00000000" w:rsidR="00000000" w:rsidRPr="00000000">
              <w:rPr>
                <w:rFonts w:ascii="Tahoma" w:cs="Tahoma" w:eastAsia="Tahoma" w:hAnsi="Tahoma"/>
                <w:sz w:val="16"/>
                <w:szCs w:val="16"/>
                <w:rtl w:val="0"/>
              </w:rPr>
              <w:t xml:space="preserve">If the patient is still in pain and/or pain is anticipated to require more than Paracetamol for intervention, add the following:</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rPr>
                <w:rFonts w:ascii="Tahoma" w:cs="Tahoma" w:eastAsia="Tahoma" w:hAnsi="Tahoma"/>
                <w:sz w:val="16"/>
                <w:szCs w:val="16"/>
              </w:rPr>
            </w:pPr>
            <w:r w:rsidDel="00000000" w:rsidR="00000000" w:rsidRPr="00000000">
              <w:rPr>
                <w:rFonts w:ascii="Tahoma" w:cs="Tahoma" w:eastAsia="Tahoma" w:hAnsi="Tahoma"/>
                <w:sz w:val="16"/>
                <w:szCs w:val="16"/>
                <w:rtl w:val="0"/>
              </w:rPr>
              <w:t xml:space="preserve">For</w:t>
            </w:r>
            <w:r w:rsidDel="00000000" w:rsidR="00000000" w:rsidRPr="00000000">
              <w:rPr>
                <w:rFonts w:ascii="Tahoma" w:cs="Tahoma" w:eastAsia="Tahoma" w:hAnsi="Tahoma"/>
                <w:i w:val="1"/>
                <w:sz w:val="16"/>
                <w:szCs w:val="16"/>
                <w:rtl w:val="0"/>
              </w:rPr>
              <w:t xml:space="preserve"> patients on regular diet and no gastro-intestinal issues, consider the following after discussion with senior doctor:</w:t>
            </w:r>
            <w:r w:rsidDel="00000000" w:rsidR="00000000" w:rsidRPr="00000000">
              <w:rPr>
                <w:rtl w:val="0"/>
              </w:rPr>
            </w:r>
          </w:p>
          <w:p w:rsidR="00000000" w:rsidDel="00000000" w:rsidP="00000000" w:rsidRDefault="00000000" w:rsidRPr="00000000" w14:paraId="0000003D">
            <w:pPr>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3E">
            <w:pPr>
              <w:rPr>
                <w:rFonts w:ascii="Tahoma" w:cs="Tahoma" w:eastAsia="Tahoma" w:hAnsi="Tahoma"/>
                <w:sz w:val="16"/>
                <w:szCs w:val="16"/>
              </w:rPr>
            </w:pPr>
            <w:r w:rsidDel="00000000" w:rsidR="00000000" w:rsidRPr="00000000">
              <w:rPr>
                <w:rFonts w:ascii="Tahoma" w:cs="Tahoma" w:eastAsia="Tahoma" w:hAnsi="Tahoma"/>
                <w:b w:val="1"/>
                <w:sz w:val="16"/>
                <w:szCs w:val="16"/>
                <w:rtl w:val="0"/>
              </w:rPr>
              <w:t xml:space="preserve">Morphine syrup</w:t>
            </w:r>
            <w:r w:rsidDel="00000000" w:rsidR="00000000" w:rsidRPr="00000000">
              <w:rPr>
                <w:rFonts w:ascii="Tahoma" w:cs="Tahoma" w:eastAsia="Tahoma" w:hAnsi="Tahoma"/>
                <w:sz w:val="16"/>
                <w:szCs w:val="16"/>
                <w:rtl w:val="0"/>
              </w:rPr>
              <w:t xml:space="preserve"> 0.2-0.3 mg/kg/dose Q6H </w:t>
            </w:r>
            <w:r w:rsidDel="00000000" w:rsidR="00000000" w:rsidRPr="00000000">
              <w:rPr>
                <w:rFonts w:ascii="Tahoma" w:cs="Tahoma" w:eastAsia="Tahoma" w:hAnsi="Tahoma"/>
                <w:color w:val="e46c0a"/>
                <w:sz w:val="16"/>
                <w:szCs w:val="16"/>
                <w:rtl w:val="0"/>
              </w:rPr>
              <w:t xml:space="preserve">(strictly or PRN)</w:t>
            </w:r>
            <w:r w:rsidDel="00000000" w:rsidR="00000000" w:rsidRPr="00000000">
              <w:rPr>
                <w:rtl w:val="0"/>
              </w:rPr>
            </w:r>
          </w:p>
          <w:p w:rsidR="00000000" w:rsidDel="00000000" w:rsidP="00000000" w:rsidRDefault="00000000" w:rsidRPr="00000000" w14:paraId="0000003F">
            <w:pPr>
              <w:rPr>
                <w:rFonts w:ascii="Tahoma" w:cs="Tahoma" w:eastAsia="Tahoma" w:hAnsi="Tahoma"/>
                <w:sz w:val="16"/>
                <w:szCs w:val="16"/>
                <w:u w:val="single"/>
              </w:rPr>
            </w:pPr>
            <w:r w:rsidDel="00000000" w:rsidR="00000000" w:rsidRPr="00000000">
              <w:rPr>
                <w:rtl w:val="0"/>
              </w:rPr>
            </w:r>
          </w:p>
          <w:p w:rsidR="00000000" w:rsidDel="00000000" w:rsidP="00000000" w:rsidRDefault="00000000" w:rsidRPr="00000000" w14:paraId="00000040">
            <w:pPr>
              <w:rPr>
                <w:rFonts w:ascii="Tahoma" w:cs="Tahoma" w:eastAsia="Tahoma" w:hAnsi="Tahoma"/>
                <w:sz w:val="16"/>
                <w:szCs w:val="16"/>
              </w:rPr>
            </w:pPr>
            <w:r w:rsidDel="00000000" w:rsidR="00000000" w:rsidRPr="00000000">
              <w:rPr>
                <w:rFonts w:ascii="Tahoma" w:cs="Tahoma" w:eastAsia="Tahoma" w:hAnsi="Tahoma"/>
                <w:sz w:val="16"/>
                <w:szCs w:val="16"/>
                <w:u w:val="single"/>
                <w:rtl w:val="0"/>
              </w:rPr>
              <w:t xml:space="preserve">or </w:t>
            </w:r>
            <w:r w:rsidDel="00000000" w:rsidR="00000000" w:rsidRPr="00000000">
              <w:rPr>
                <w:rFonts w:ascii="Tahoma" w:cs="Tahoma" w:eastAsia="Tahoma" w:hAnsi="Tahoma"/>
                <w:color w:val="c00000"/>
                <w:sz w:val="16"/>
                <w:szCs w:val="16"/>
                <w:rtl w:val="0"/>
              </w:rPr>
              <w:t xml:space="preserve">(NO opioid duplication)</w:t>
            </w:r>
            <w:r w:rsidDel="00000000" w:rsidR="00000000" w:rsidRPr="00000000">
              <w:rPr>
                <w:rtl w:val="0"/>
              </w:rPr>
            </w:r>
          </w:p>
          <w:p w:rsidR="00000000" w:rsidDel="00000000" w:rsidP="00000000" w:rsidRDefault="00000000" w:rsidRPr="00000000" w14:paraId="00000041">
            <w:pPr>
              <w:rPr>
                <w:rFonts w:ascii="Tahoma" w:cs="Tahoma" w:eastAsia="Tahoma" w:hAnsi="Tahoma"/>
                <w:color w:val="625b48"/>
                <w:sz w:val="16"/>
                <w:szCs w:val="16"/>
              </w:rPr>
            </w:pPr>
            <w:r w:rsidDel="00000000" w:rsidR="00000000" w:rsidRPr="00000000">
              <w:rPr>
                <w:rtl w:val="0"/>
              </w:rPr>
            </w:r>
          </w:p>
          <w:p w:rsidR="00000000" w:rsidDel="00000000" w:rsidP="00000000" w:rsidRDefault="00000000" w:rsidRPr="00000000" w14:paraId="00000042">
            <w:pPr>
              <w:rPr>
                <w:rFonts w:ascii="Tahoma" w:cs="Tahoma" w:eastAsia="Tahoma" w:hAnsi="Tahoma"/>
                <w:color w:val="e46c0a"/>
                <w:sz w:val="16"/>
                <w:szCs w:val="16"/>
              </w:rPr>
            </w:pPr>
            <w:r w:rsidDel="00000000" w:rsidR="00000000" w:rsidRPr="00000000">
              <w:rPr>
                <w:rFonts w:ascii="Tahoma" w:cs="Tahoma" w:eastAsia="Tahoma" w:hAnsi="Tahoma"/>
                <w:b w:val="1"/>
                <w:sz w:val="16"/>
                <w:szCs w:val="16"/>
                <w:rtl w:val="0"/>
              </w:rPr>
              <w:t xml:space="preserve">Oxycodone</w:t>
            </w:r>
            <w:r w:rsidDel="00000000" w:rsidR="00000000" w:rsidRPr="00000000">
              <w:rPr>
                <w:rFonts w:ascii="Tahoma" w:cs="Tahoma" w:eastAsia="Tahoma" w:hAnsi="Tahoma"/>
                <w:sz w:val="16"/>
                <w:szCs w:val="16"/>
                <w:rtl w:val="0"/>
              </w:rPr>
              <w:t xml:space="preserve"> 0.1-0.2 mg/kg/dose Q6H </w:t>
            </w:r>
            <w:r w:rsidDel="00000000" w:rsidR="00000000" w:rsidRPr="00000000">
              <w:rPr>
                <w:rFonts w:ascii="Tahoma" w:cs="Tahoma" w:eastAsia="Tahoma" w:hAnsi="Tahoma"/>
                <w:color w:val="e46c0a"/>
                <w:sz w:val="16"/>
                <w:szCs w:val="16"/>
                <w:rtl w:val="0"/>
              </w:rPr>
              <w:t xml:space="preserve">(strictly or PRN)</w:t>
            </w:r>
          </w:p>
          <w:p w:rsidR="00000000" w:rsidDel="00000000" w:rsidP="00000000" w:rsidRDefault="00000000" w:rsidRPr="00000000" w14:paraId="00000043">
            <w:pPr>
              <w:rPr>
                <w:rFonts w:ascii="Tahoma" w:cs="Tahoma" w:eastAsia="Tahoma" w:hAnsi="Tahoma"/>
                <w:color w:val="e46c0a"/>
                <w:sz w:val="16"/>
                <w:szCs w:val="16"/>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Prescribe for 3 days, reassess thereafter.</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Tahoma" w:cs="Tahoma" w:eastAsia="Tahoma" w:hAnsi="Tahoma"/>
                <w:sz w:val="16"/>
                <w:szCs w:val="16"/>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fdeada" w:val="clear"/>
            <w:tcMar>
              <w:top w:w="60.0" w:type="dxa"/>
              <w:left w:w="120.0" w:type="dxa"/>
              <w:bottom w:w="60.0" w:type="dxa"/>
              <w:right w:w="120.0" w:type="dxa"/>
            </w:tcMar>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rPr>
                <w:rFonts w:ascii="Tahoma" w:cs="Tahoma" w:eastAsia="Tahoma" w:hAnsi="Tahoma"/>
                <w:sz w:val="16"/>
                <w:szCs w:val="16"/>
              </w:rPr>
            </w:pPr>
            <w:r w:rsidDel="00000000" w:rsidR="00000000" w:rsidRPr="00000000">
              <w:rPr>
                <w:rFonts w:ascii="Tahoma" w:cs="Tahoma" w:eastAsia="Tahoma" w:hAnsi="Tahoma"/>
                <w:sz w:val="16"/>
                <w:szCs w:val="16"/>
                <w:rtl w:val="0"/>
              </w:rPr>
              <w:t xml:space="preserve">If the patient is still in pain and/or pain is anticipated to require more than Paracetamol for intervention. Add the following:</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rPr>
                <w:rFonts w:ascii="Tahoma" w:cs="Tahoma" w:eastAsia="Tahoma" w:hAnsi="Tahoma"/>
                <w:sz w:val="16"/>
                <w:szCs w:val="16"/>
              </w:rPr>
            </w:pPr>
            <w:r w:rsidDel="00000000" w:rsidR="00000000" w:rsidRPr="00000000">
              <w:rPr>
                <w:rFonts w:ascii="Tahoma" w:cs="Tahoma" w:eastAsia="Tahoma" w:hAnsi="Tahoma"/>
                <w:sz w:val="16"/>
                <w:szCs w:val="16"/>
                <w:rtl w:val="0"/>
              </w:rPr>
              <w:t xml:space="preserve">For patients on regular diet and no gastro-intesti</w:t>
            </w:r>
            <w:r w:rsidDel="00000000" w:rsidR="00000000" w:rsidRPr="00000000">
              <w:rPr>
                <w:rFonts w:ascii="Tahoma" w:cs="Tahoma" w:eastAsia="Tahoma" w:hAnsi="Tahoma"/>
                <w:i w:val="1"/>
                <w:sz w:val="16"/>
                <w:szCs w:val="16"/>
                <w:rtl w:val="0"/>
              </w:rPr>
              <w:t xml:space="preserve">nal issues, consider the following after discussion with senior doctor:</w:t>
            </w:r>
            <w:r w:rsidDel="00000000" w:rsidR="00000000" w:rsidRPr="00000000">
              <w:rPr>
                <w:rtl w:val="0"/>
              </w:rPr>
            </w:r>
          </w:p>
          <w:p w:rsidR="00000000" w:rsidDel="00000000" w:rsidP="00000000" w:rsidRDefault="00000000" w:rsidRPr="00000000" w14:paraId="00000048">
            <w:pPr>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49">
            <w:pPr>
              <w:rPr>
                <w:rFonts w:ascii="Tahoma" w:cs="Tahoma" w:eastAsia="Tahoma" w:hAnsi="Tahoma"/>
                <w:color w:val="e46c0a"/>
                <w:sz w:val="16"/>
                <w:szCs w:val="16"/>
              </w:rPr>
            </w:pPr>
            <w:r w:rsidDel="00000000" w:rsidR="00000000" w:rsidRPr="00000000">
              <w:rPr>
                <w:rFonts w:ascii="Tahoma" w:cs="Tahoma" w:eastAsia="Tahoma" w:hAnsi="Tahoma"/>
                <w:b w:val="1"/>
                <w:sz w:val="16"/>
                <w:szCs w:val="16"/>
                <w:rtl w:val="0"/>
              </w:rPr>
              <w:t xml:space="preserve">Morphine syrup</w:t>
            </w:r>
            <w:r w:rsidDel="00000000" w:rsidR="00000000" w:rsidRPr="00000000">
              <w:rPr>
                <w:rFonts w:ascii="Tahoma" w:cs="Tahoma" w:eastAsia="Tahoma" w:hAnsi="Tahoma"/>
                <w:sz w:val="16"/>
                <w:szCs w:val="16"/>
                <w:rtl w:val="0"/>
              </w:rPr>
              <w:t xml:space="preserve"> 0.1-0.2 mg/kg/dose Q6H </w:t>
            </w:r>
            <w:r w:rsidDel="00000000" w:rsidR="00000000" w:rsidRPr="00000000">
              <w:rPr>
                <w:rFonts w:ascii="Tahoma" w:cs="Tahoma" w:eastAsia="Tahoma" w:hAnsi="Tahoma"/>
                <w:color w:val="e46c0a"/>
                <w:sz w:val="16"/>
                <w:szCs w:val="16"/>
                <w:rtl w:val="0"/>
              </w:rPr>
              <w:t xml:space="preserve">(strictly or PRN)                       </w:t>
            </w:r>
          </w:p>
          <w:p w:rsidR="00000000" w:rsidDel="00000000" w:rsidP="00000000" w:rsidRDefault="00000000" w:rsidRPr="00000000" w14:paraId="0000004A">
            <w:pPr>
              <w:rPr>
                <w:rFonts w:ascii="Tahoma" w:cs="Tahoma" w:eastAsia="Tahoma" w:hAnsi="Tahoma"/>
                <w:sz w:val="16"/>
                <w:szCs w:val="16"/>
                <w:u w:val="single"/>
              </w:rPr>
            </w:pPr>
            <w:r w:rsidDel="00000000" w:rsidR="00000000" w:rsidRPr="00000000">
              <w:rPr>
                <w:rtl w:val="0"/>
              </w:rPr>
            </w:r>
          </w:p>
          <w:p w:rsidR="00000000" w:rsidDel="00000000" w:rsidP="00000000" w:rsidRDefault="00000000" w:rsidRPr="00000000" w14:paraId="0000004B">
            <w:pPr>
              <w:rPr>
                <w:rFonts w:ascii="Tahoma" w:cs="Tahoma" w:eastAsia="Tahoma" w:hAnsi="Tahoma"/>
                <w:sz w:val="16"/>
                <w:szCs w:val="16"/>
              </w:rPr>
            </w:pPr>
            <w:r w:rsidDel="00000000" w:rsidR="00000000" w:rsidRPr="00000000">
              <w:rPr>
                <w:rFonts w:ascii="Tahoma" w:cs="Tahoma" w:eastAsia="Tahoma" w:hAnsi="Tahoma"/>
                <w:sz w:val="16"/>
                <w:szCs w:val="16"/>
                <w:u w:val="single"/>
                <w:rtl w:val="0"/>
              </w:rPr>
              <w:t xml:space="preserve">or </w:t>
            </w:r>
            <w:r w:rsidDel="00000000" w:rsidR="00000000" w:rsidRPr="00000000">
              <w:rPr>
                <w:rFonts w:ascii="Tahoma" w:cs="Tahoma" w:eastAsia="Tahoma" w:hAnsi="Tahoma"/>
                <w:color w:val="c00000"/>
                <w:sz w:val="16"/>
                <w:szCs w:val="16"/>
                <w:rtl w:val="0"/>
              </w:rPr>
              <w:t xml:space="preserve">(NO opioid duplication)</w:t>
            </w:r>
            <w:r w:rsidDel="00000000" w:rsidR="00000000" w:rsidRPr="00000000">
              <w:rPr>
                <w:rtl w:val="0"/>
              </w:rPr>
            </w:r>
          </w:p>
          <w:p w:rsidR="00000000" w:rsidDel="00000000" w:rsidP="00000000" w:rsidRDefault="00000000" w:rsidRPr="00000000" w14:paraId="0000004C">
            <w:pPr>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4D">
            <w:pPr>
              <w:rPr>
                <w:rFonts w:ascii="Tahoma" w:cs="Tahoma" w:eastAsia="Tahoma" w:hAnsi="Tahoma"/>
                <w:sz w:val="16"/>
                <w:szCs w:val="16"/>
              </w:rPr>
            </w:pPr>
            <w:r w:rsidDel="00000000" w:rsidR="00000000" w:rsidRPr="00000000">
              <w:rPr>
                <w:rFonts w:ascii="Tahoma" w:cs="Tahoma" w:eastAsia="Tahoma" w:hAnsi="Tahoma"/>
                <w:b w:val="1"/>
                <w:sz w:val="16"/>
                <w:szCs w:val="16"/>
                <w:rtl w:val="0"/>
              </w:rPr>
              <w:t xml:space="preserve">Oxycodone</w:t>
            </w:r>
            <w:r w:rsidDel="00000000" w:rsidR="00000000" w:rsidRPr="00000000">
              <w:rPr>
                <w:rFonts w:ascii="Tahoma" w:cs="Tahoma" w:eastAsia="Tahoma" w:hAnsi="Tahoma"/>
                <w:sz w:val="16"/>
                <w:szCs w:val="16"/>
                <w:rtl w:val="0"/>
              </w:rPr>
              <w:t xml:space="preserve"> 0.05-0.1 mg/kg/dose Q6H </w:t>
            </w:r>
            <w:r w:rsidDel="00000000" w:rsidR="00000000" w:rsidRPr="00000000">
              <w:rPr>
                <w:rFonts w:ascii="Tahoma" w:cs="Tahoma" w:eastAsia="Tahoma" w:hAnsi="Tahoma"/>
                <w:color w:val="e46c0a"/>
                <w:sz w:val="16"/>
                <w:szCs w:val="16"/>
                <w:rtl w:val="0"/>
              </w:rPr>
              <w:t xml:space="preserve">(strictly or PRN)</w:t>
            </w:r>
            <w:r w:rsidDel="00000000" w:rsidR="00000000" w:rsidRPr="00000000">
              <w:rPr>
                <w:rtl w:val="0"/>
              </w:rPr>
            </w:r>
          </w:p>
          <w:p w:rsidR="00000000" w:rsidDel="00000000" w:rsidP="00000000" w:rsidRDefault="00000000" w:rsidRPr="00000000" w14:paraId="0000004E">
            <w:pPr>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4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Tahoma" w:cs="Tahoma" w:eastAsia="Tahoma" w:hAnsi="Tahoma"/>
                <w:sz w:val="16"/>
                <w:szCs w:val="16"/>
              </w:rPr>
            </w:pPr>
            <w:r w:rsidDel="00000000" w:rsidR="00000000" w:rsidRPr="00000000">
              <w:rPr>
                <w:rFonts w:ascii="Tahoma" w:cs="Tahoma" w:eastAsia="Tahoma" w:hAnsi="Tahoma"/>
                <w:sz w:val="16"/>
                <w:szCs w:val="16"/>
                <w:rtl w:val="0"/>
              </w:rPr>
              <w:t xml:space="preserve">Prescribe for 3 days, reassess thereafter.</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Tahoma" w:cs="Tahoma" w:eastAsia="Tahoma" w:hAnsi="Tahoma"/>
                <w:sz w:val="16"/>
                <w:szCs w:val="16"/>
              </w:rPr>
            </w:pPr>
            <w:r w:rsidDel="00000000" w:rsidR="00000000" w:rsidRPr="00000000">
              <w:rPr>
                <w:rtl w:val="0"/>
              </w:rPr>
            </w:r>
          </w:p>
        </w:tc>
      </w:tr>
      <w:tr>
        <w:trPr>
          <w:cantSplit w:val="0"/>
          <w:trHeight w:val="990" w:hRule="atLeast"/>
          <w:tblHeader w:val="0"/>
        </w:trPr>
        <w:tc>
          <w:tcPr>
            <w:vMerge w:val="continue"/>
            <w:tcBorders>
              <w:top w:color="000000" w:space="0" w:sz="6" w:val="single"/>
              <w:left w:color="000000" w:space="0" w:sz="6" w:val="single"/>
              <w:bottom w:color="000000" w:space="0" w:sz="6" w:val="single"/>
              <w:right w:color="000000" w:space="0" w:sz="6" w:val="single"/>
            </w:tcBorders>
            <w:shd w:fill="d0d8e8" w:val="clear"/>
            <w:tcMar>
              <w:top w:w="60.0" w:type="dxa"/>
              <w:left w:w="120.0" w:type="dxa"/>
              <w:bottom w:w="60.0" w:type="dxa"/>
              <w:right w:w="120.0" w:type="dxa"/>
            </w:tcMa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sz w:val="16"/>
                <w:szCs w:val="16"/>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e6e0ec" w:val="clear"/>
            <w:tcMar>
              <w:top w:w="60.0" w:type="dxa"/>
              <w:left w:w="120.0" w:type="dxa"/>
              <w:bottom w:w="60.0" w:type="dxa"/>
              <w:right w:w="120.0" w:type="dxa"/>
            </w:tcMa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sz w:val="16"/>
                <w:szCs w:val="16"/>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fdeada" w:val="clear"/>
            <w:tcMar>
              <w:top w:w="60.0" w:type="dxa"/>
              <w:left w:w="120.0" w:type="dxa"/>
              <w:bottom w:w="60.0" w:type="dxa"/>
              <w:right w:w="120.0" w:type="dxa"/>
            </w:tcMa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sz w:val="16"/>
                <w:szCs w:val="16"/>
              </w:rPr>
            </w:pPr>
            <w:r w:rsidDel="00000000" w:rsidR="00000000" w:rsidRPr="00000000">
              <w:rPr>
                <w:rtl w:val="0"/>
              </w:rPr>
            </w:r>
          </w:p>
        </w:tc>
      </w:tr>
      <w:tr>
        <w:trPr>
          <w:cantSplit w:val="0"/>
          <w:trHeight w:val="630" w:hRule="atLeast"/>
          <w:tblHeader w:val="0"/>
        </w:trPr>
        <w:tc>
          <w:tcPr>
            <w:vMerge w:val="restart"/>
            <w:tcBorders>
              <w:top w:color="000000" w:space="0" w:sz="6" w:val="single"/>
              <w:left w:color="000000" w:space="0" w:sz="6" w:val="single"/>
              <w:bottom w:color="000000" w:space="0" w:sz="6" w:val="single"/>
              <w:right w:color="000000" w:space="0" w:sz="6" w:val="single"/>
            </w:tcBorders>
            <w:shd w:fill="d0d8e8" w:val="clear"/>
            <w:tcMar>
              <w:top w:w="60.0" w:type="dxa"/>
              <w:left w:w="120.0" w:type="dxa"/>
              <w:bottom w:w="60.0" w:type="dxa"/>
              <w:right w:w="120.0" w:type="dxa"/>
            </w:tcMar>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rPr>
                <w:rFonts w:ascii="Tahoma" w:cs="Tahoma" w:eastAsia="Tahoma" w:hAnsi="Tahoma"/>
                <w:sz w:val="16"/>
                <w:szCs w:val="16"/>
              </w:rPr>
            </w:pPr>
            <w:r w:rsidDel="00000000" w:rsidR="00000000" w:rsidRPr="00000000">
              <w:rPr>
                <w:rFonts w:ascii="Tahoma" w:cs="Tahoma" w:eastAsia="Tahoma" w:hAnsi="Tahoma"/>
                <w:sz w:val="16"/>
                <w:szCs w:val="16"/>
                <w:rtl w:val="0"/>
              </w:rPr>
              <w:t xml:space="preserve">If the patient is still in pain and/or pain is anticipated to require more than Paracetamol and Ibuprofen for intervention. Add the following:</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rPr>
                <w:rFonts w:ascii="Tahoma" w:cs="Tahoma" w:eastAsia="Tahoma" w:hAnsi="Tahoma"/>
                <w:sz w:val="16"/>
                <w:szCs w:val="16"/>
              </w:rPr>
            </w:pPr>
            <w:r w:rsidDel="00000000" w:rsidR="00000000" w:rsidRPr="00000000">
              <w:rPr>
                <w:rFonts w:ascii="Tahoma" w:cs="Tahoma" w:eastAsia="Tahoma" w:hAnsi="Tahoma"/>
                <w:sz w:val="16"/>
                <w:szCs w:val="16"/>
                <w:rtl w:val="0"/>
              </w:rPr>
              <w:t xml:space="preserve">For patients on regular diet and no gastro-intestinal issues, start consider the following after discussion with senior doctor:</w:t>
            </w:r>
          </w:p>
          <w:p w:rsidR="00000000" w:rsidDel="00000000" w:rsidP="00000000" w:rsidRDefault="00000000" w:rsidRPr="00000000" w14:paraId="00000056">
            <w:pPr>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57">
            <w:pPr>
              <w:rPr>
                <w:rFonts w:ascii="Tahoma" w:cs="Tahoma" w:eastAsia="Tahoma" w:hAnsi="Tahoma"/>
                <w:sz w:val="16"/>
                <w:szCs w:val="16"/>
              </w:rPr>
            </w:pPr>
            <w:r w:rsidDel="00000000" w:rsidR="00000000" w:rsidRPr="00000000">
              <w:rPr>
                <w:rFonts w:ascii="Tahoma" w:cs="Tahoma" w:eastAsia="Tahoma" w:hAnsi="Tahoma"/>
                <w:b w:val="1"/>
                <w:sz w:val="16"/>
                <w:szCs w:val="16"/>
                <w:rtl w:val="0"/>
              </w:rPr>
              <w:t xml:space="preserve">Morphine syrup</w:t>
            </w:r>
            <w:r w:rsidDel="00000000" w:rsidR="00000000" w:rsidRPr="00000000">
              <w:rPr>
                <w:rFonts w:ascii="Tahoma" w:cs="Tahoma" w:eastAsia="Tahoma" w:hAnsi="Tahoma"/>
                <w:sz w:val="16"/>
                <w:szCs w:val="16"/>
                <w:rtl w:val="0"/>
              </w:rPr>
              <w:t xml:space="preserve"> 0.2-0.3 mg/kg/dose</w:t>
            </w:r>
          </w:p>
          <w:p w:rsidR="00000000" w:rsidDel="00000000" w:rsidP="00000000" w:rsidRDefault="00000000" w:rsidRPr="00000000" w14:paraId="00000058">
            <w:pPr>
              <w:rPr>
                <w:rFonts w:ascii="Tahoma" w:cs="Tahoma" w:eastAsia="Tahoma" w:hAnsi="Tahoma"/>
                <w:sz w:val="16"/>
                <w:szCs w:val="16"/>
              </w:rPr>
            </w:pPr>
            <w:r w:rsidDel="00000000" w:rsidR="00000000" w:rsidRPr="00000000">
              <w:rPr>
                <w:rFonts w:ascii="Tahoma" w:cs="Tahoma" w:eastAsia="Tahoma" w:hAnsi="Tahoma"/>
                <w:sz w:val="16"/>
                <w:szCs w:val="16"/>
                <w:rtl w:val="0"/>
              </w:rPr>
              <w:t xml:space="preserve">(Maximum 10 mg/dose)</w:t>
            </w:r>
          </w:p>
          <w:p w:rsidR="00000000" w:rsidDel="00000000" w:rsidP="00000000" w:rsidRDefault="00000000" w:rsidRPr="00000000" w14:paraId="00000059">
            <w:pPr>
              <w:rPr>
                <w:rFonts w:ascii="Tahoma" w:cs="Tahoma" w:eastAsia="Tahoma" w:hAnsi="Tahoma"/>
                <w:sz w:val="16"/>
                <w:szCs w:val="16"/>
              </w:rPr>
            </w:pPr>
            <w:r w:rsidDel="00000000" w:rsidR="00000000" w:rsidRPr="00000000">
              <w:rPr>
                <w:rFonts w:ascii="Tahoma" w:cs="Tahoma" w:eastAsia="Tahoma" w:hAnsi="Tahoma"/>
                <w:sz w:val="16"/>
                <w:szCs w:val="16"/>
                <w:rtl w:val="0"/>
              </w:rPr>
              <w:t xml:space="preserve">Q6H </w:t>
            </w:r>
            <w:r w:rsidDel="00000000" w:rsidR="00000000" w:rsidRPr="00000000">
              <w:rPr>
                <w:rFonts w:ascii="Tahoma" w:cs="Tahoma" w:eastAsia="Tahoma" w:hAnsi="Tahoma"/>
                <w:color w:val="e46c0a"/>
                <w:sz w:val="16"/>
                <w:szCs w:val="16"/>
                <w:rtl w:val="0"/>
              </w:rPr>
              <w:t xml:space="preserve">(strictly or PRN)</w:t>
            </w:r>
            <w:r w:rsidDel="00000000" w:rsidR="00000000" w:rsidRPr="00000000">
              <w:rPr>
                <w:rtl w:val="0"/>
              </w:rPr>
            </w:r>
          </w:p>
          <w:p w:rsidR="00000000" w:rsidDel="00000000" w:rsidP="00000000" w:rsidRDefault="00000000" w:rsidRPr="00000000" w14:paraId="0000005A">
            <w:pPr>
              <w:rPr>
                <w:rFonts w:ascii="Tahoma" w:cs="Tahoma" w:eastAsia="Tahoma" w:hAnsi="Tahoma"/>
                <w:sz w:val="16"/>
                <w:szCs w:val="16"/>
                <w:u w:val="single"/>
              </w:rPr>
            </w:pPr>
            <w:r w:rsidDel="00000000" w:rsidR="00000000" w:rsidRPr="00000000">
              <w:rPr>
                <w:rtl w:val="0"/>
              </w:rPr>
            </w:r>
          </w:p>
          <w:p w:rsidR="00000000" w:rsidDel="00000000" w:rsidP="00000000" w:rsidRDefault="00000000" w:rsidRPr="00000000" w14:paraId="0000005B">
            <w:pPr>
              <w:rPr>
                <w:rFonts w:ascii="Tahoma" w:cs="Tahoma" w:eastAsia="Tahoma" w:hAnsi="Tahoma"/>
                <w:sz w:val="16"/>
                <w:szCs w:val="16"/>
              </w:rPr>
            </w:pPr>
            <w:r w:rsidDel="00000000" w:rsidR="00000000" w:rsidRPr="00000000">
              <w:rPr>
                <w:rFonts w:ascii="Tahoma" w:cs="Tahoma" w:eastAsia="Tahoma" w:hAnsi="Tahoma"/>
                <w:sz w:val="16"/>
                <w:szCs w:val="16"/>
                <w:u w:val="single"/>
                <w:rtl w:val="0"/>
              </w:rPr>
              <w:t xml:space="preserve">or</w:t>
            </w:r>
            <w:r w:rsidDel="00000000" w:rsidR="00000000" w:rsidRPr="00000000">
              <w:rPr>
                <w:rFonts w:ascii="Tahoma" w:cs="Tahoma" w:eastAsia="Tahoma" w:hAnsi="Tahoma"/>
                <w:sz w:val="16"/>
                <w:szCs w:val="16"/>
                <w:rtl w:val="0"/>
              </w:rPr>
              <w:t xml:space="preserve"> </w:t>
            </w:r>
            <w:r w:rsidDel="00000000" w:rsidR="00000000" w:rsidRPr="00000000">
              <w:rPr>
                <w:rFonts w:ascii="Tahoma" w:cs="Tahoma" w:eastAsia="Tahoma" w:hAnsi="Tahoma"/>
                <w:color w:val="c00000"/>
                <w:sz w:val="16"/>
                <w:szCs w:val="16"/>
                <w:rtl w:val="0"/>
              </w:rPr>
              <w:t xml:space="preserve">(NO opioid duplication)</w:t>
            </w:r>
            <w:r w:rsidDel="00000000" w:rsidR="00000000" w:rsidRPr="00000000">
              <w:rPr>
                <w:rtl w:val="0"/>
              </w:rPr>
            </w:r>
          </w:p>
          <w:p w:rsidR="00000000" w:rsidDel="00000000" w:rsidP="00000000" w:rsidRDefault="00000000" w:rsidRPr="00000000" w14:paraId="0000005C">
            <w:pPr>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5D">
            <w:pPr>
              <w:rPr>
                <w:rFonts w:ascii="Tahoma" w:cs="Tahoma" w:eastAsia="Tahoma" w:hAnsi="Tahoma"/>
                <w:sz w:val="16"/>
                <w:szCs w:val="16"/>
              </w:rPr>
            </w:pPr>
            <w:r w:rsidDel="00000000" w:rsidR="00000000" w:rsidRPr="00000000">
              <w:rPr>
                <w:rFonts w:ascii="Tahoma" w:cs="Tahoma" w:eastAsia="Tahoma" w:hAnsi="Tahoma"/>
                <w:b w:val="1"/>
                <w:sz w:val="16"/>
                <w:szCs w:val="16"/>
                <w:rtl w:val="0"/>
              </w:rPr>
              <w:t xml:space="preserve">Oxycodone</w:t>
            </w:r>
            <w:r w:rsidDel="00000000" w:rsidR="00000000" w:rsidRPr="00000000">
              <w:rPr>
                <w:rFonts w:ascii="Tahoma" w:cs="Tahoma" w:eastAsia="Tahoma" w:hAnsi="Tahoma"/>
                <w:sz w:val="16"/>
                <w:szCs w:val="16"/>
                <w:rtl w:val="0"/>
              </w:rPr>
              <w:t xml:space="preserve"> 0.1-0.2 mg/kg/dose (Maximum 10 mg/dose)</w:t>
            </w:r>
          </w:p>
          <w:p w:rsidR="00000000" w:rsidDel="00000000" w:rsidP="00000000" w:rsidRDefault="00000000" w:rsidRPr="00000000" w14:paraId="0000005E">
            <w:pPr>
              <w:rPr>
                <w:rFonts w:ascii="Tahoma" w:cs="Tahoma" w:eastAsia="Tahoma" w:hAnsi="Tahoma"/>
                <w:color w:val="e46c0a"/>
                <w:sz w:val="16"/>
                <w:szCs w:val="16"/>
              </w:rPr>
            </w:pPr>
            <w:r w:rsidDel="00000000" w:rsidR="00000000" w:rsidRPr="00000000">
              <w:rPr>
                <w:rFonts w:ascii="Tahoma" w:cs="Tahoma" w:eastAsia="Tahoma" w:hAnsi="Tahoma"/>
                <w:sz w:val="16"/>
                <w:szCs w:val="16"/>
                <w:rtl w:val="0"/>
              </w:rPr>
              <w:t xml:space="preserve">Q6H </w:t>
            </w:r>
            <w:r w:rsidDel="00000000" w:rsidR="00000000" w:rsidRPr="00000000">
              <w:rPr>
                <w:rFonts w:ascii="Tahoma" w:cs="Tahoma" w:eastAsia="Tahoma" w:hAnsi="Tahoma"/>
                <w:color w:val="e46c0a"/>
                <w:sz w:val="16"/>
                <w:szCs w:val="16"/>
                <w:rtl w:val="0"/>
              </w:rPr>
              <w:t xml:space="preserve">(strictly or PRN)</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sz w:val="16"/>
                <w:szCs w:val="16"/>
              </w:rPr>
            </w:pPr>
            <w:r w:rsidDel="00000000" w:rsidR="00000000" w:rsidRPr="00000000">
              <w:rPr>
                <w:rFonts w:ascii="Tahoma" w:cs="Tahoma" w:eastAsia="Tahoma" w:hAnsi="Tahoma"/>
                <w:sz w:val="16"/>
                <w:szCs w:val="16"/>
                <w:rtl w:val="0"/>
              </w:rPr>
              <w:t xml:space="preserve">Prescribe for 3 days, reassess thereafter.</w:t>
            </w:r>
          </w:p>
        </w:tc>
        <w:tc>
          <w:tcPr>
            <w:vMerge w:val="continue"/>
            <w:tcBorders>
              <w:top w:color="000000" w:space="0" w:sz="6" w:val="single"/>
              <w:left w:color="000000" w:space="0" w:sz="6" w:val="single"/>
              <w:bottom w:color="000000" w:space="0" w:sz="6" w:val="single"/>
              <w:right w:color="000000" w:space="0" w:sz="6" w:val="single"/>
            </w:tcBorders>
            <w:shd w:fill="e6e0ec" w:val="clear"/>
            <w:tcMar>
              <w:top w:w="60.0" w:type="dxa"/>
              <w:left w:w="120.0" w:type="dxa"/>
              <w:bottom w:w="60.0" w:type="dxa"/>
              <w:right w:w="120.0" w:type="dxa"/>
            </w:tcMa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sz w:val="16"/>
                <w:szCs w:val="16"/>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fdeada" w:val="clear"/>
            <w:tcMar>
              <w:top w:w="60.0" w:type="dxa"/>
              <w:left w:w="120.0" w:type="dxa"/>
              <w:bottom w:w="60.0" w:type="dxa"/>
              <w:right w:w="120.0" w:type="dxa"/>
            </w:tcMa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sz w:val="16"/>
                <w:szCs w:val="16"/>
              </w:rPr>
            </w:pPr>
            <w:r w:rsidDel="00000000" w:rsidR="00000000" w:rsidRPr="00000000">
              <w:rPr>
                <w:rtl w:val="0"/>
              </w:rPr>
            </w:r>
          </w:p>
        </w:tc>
      </w:tr>
      <w:tr>
        <w:trPr>
          <w:cantSplit w:val="0"/>
          <w:trHeight w:val="630" w:hRule="atLeast"/>
          <w:tblHeader w:val="0"/>
        </w:trPr>
        <w:tc>
          <w:tcPr>
            <w:vMerge w:val="continue"/>
            <w:tcBorders>
              <w:top w:color="000000" w:space="0" w:sz="6" w:val="single"/>
              <w:left w:color="000000" w:space="0" w:sz="6" w:val="single"/>
              <w:bottom w:color="000000" w:space="0" w:sz="6" w:val="single"/>
              <w:right w:color="000000" w:space="0" w:sz="6" w:val="single"/>
            </w:tcBorders>
            <w:shd w:fill="d0d8e8" w:val="clear"/>
            <w:tcMar>
              <w:top w:w="60.0" w:type="dxa"/>
              <w:left w:w="120.0" w:type="dxa"/>
              <w:bottom w:w="60.0" w:type="dxa"/>
              <w:right w:w="120.0" w:type="dxa"/>
            </w:tcMa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sz w:val="16"/>
                <w:szCs w:val="16"/>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e6e0ec" w:val="clear"/>
            <w:tcMar>
              <w:top w:w="60.0" w:type="dxa"/>
              <w:left w:w="120.0" w:type="dxa"/>
              <w:bottom w:w="60.0" w:type="dxa"/>
              <w:right w:w="120.0" w:type="dxa"/>
            </w:tcMa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sz w:val="16"/>
                <w:szCs w:val="16"/>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fdeada" w:val="clear"/>
            <w:tcMar>
              <w:top w:w="60.0" w:type="dxa"/>
              <w:left w:w="120.0" w:type="dxa"/>
              <w:bottom w:w="60.0" w:type="dxa"/>
              <w:right w:w="120.0" w:type="dxa"/>
            </w:tcMa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sz w:val="16"/>
                <w:szCs w:val="16"/>
              </w:rPr>
            </w:pPr>
            <w:r w:rsidDel="00000000" w:rsidR="00000000" w:rsidRPr="00000000">
              <w:rPr>
                <w:rtl w:val="0"/>
              </w:rPr>
            </w:r>
          </w:p>
        </w:tc>
      </w:tr>
      <w:tr>
        <w:trPr>
          <w:cantSplit w:val="0"/>
          <w:trHeight w:val="2043.6718750000002" w:hRule="atLeast"/>
          <w:tblHeader w:val="0"/>
        </w:trPr>
        <w:tc>
          <w:tcPr>
            <w:vMerge w:val="continue"/>
            <w:tcBorders>
              <w:top w:color="000000" w:space="0" w:sz="6" w:val="single"/>
              <w:left w:color="000000" w:space="0" w:sz="6" w:val="single"/>
              <w:bottom w:color="000000" w:space="0" w:sz="6" w:val="single"/>
              <w:right w:color="000000" w:space="0" w:sz="6" w:val="single"/>
            </w:tcBorders>
            <w:shd w:fill="d0d8e8" w:val="clear"/>
            <w:tcMar>
              <w:top w:w="60.0" w:type="dxa"/>
              <w:left w:w="120.0" w:type="dxa"/>
              <w:bottom w:w="60.0" w:type="dxa"/>
              <w:right w:w="120.0" w:type="dxa"/>
            </w:tcMa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sz w:val="16"/>
                <w:szCs w:val="16"/>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e6e0ec" w:val="clear"/>
            <w:tcMar>
              <w:top w:w="60.0" w:type="dxa"/>
              <w:left w:w="120.0" w:type="dxa"/>
              <w:bottom w:w="60.0" w:type="dxa"/>
              <w:right w:w="120.0" w:type="dxa"/>
            </w:tcMa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sz w:val="16"/>
                <w:szCs w:val="16"/>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fdeada" w:val="clear"/>
            <w:tcMar>
              <w:top w:w="60.0" w:type="dxa"/>
              <w:left w:w="120.0" w:type="dxa"/>
              <w:bottom w:w="60.0" w:type="dxa"/>
              <w:right w:w="120.0" w:type="dxa"/>
            </w:tcMa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sz w:val="16"/>
                <w:szCs w:val="16"/>
              </w:rPr>
            </w:pPr>
            <w:r w:rsidDel="00000000" w:rsidR="00000000" w:rsidRPr="00000000">
              <w:rPr>
                <w:rtl w:val="0"/>
              </w:rPr>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shd w:fill="d0d8e8" w:val="clear"/>
            <w:tcMar>
              <w:top w:w="60.0" w:type="dxa"/>
              <w:left w:w="120.0" w:type="dxa"/>
              <w:bottom w:w="60.0" w:type="dxa"/>
              <w:right w:w="120.0" w:type="dxa"/>
            </w:tcMa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sz w:val="16"/>
                <w:szCs w:val="16"/>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e6e0ec" w:val="clear"/>
            <w:tcMar>
              <w:top w:w="60.0" w:type="dxa"/>
              <w:left w:w="120.0" w:type="dxa"/>
              <w:bottom w:w="60.0" w:type="dxa"/>
              <w:right w:w="120.0" w:type="dxa"/>
            </w:tcMa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sz w:val="16"/>
                <w:szCs w:val="16"/>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fdeada" w:val="clear"/>
            <w:tcMar>
              <w:top w:w="60.0" w:type="dxa"/>
              <w:left w:w="120.0" w:type="dxa"/>
              <w:bottom w:w="60.0" w:type="dxa"/>
              <w:right w:w="120.0" w:type="dxa"/>
            </w:tcMa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sz w:val="16"/>
                <w:szCs w:val="16"/>
              </w:rPr>
            </w:pPr>
            <w:r w:rsidDel="00000000" w:rsidR="00000000" w:rsidRPr="00000000">
              <w:rPr>
                <w:rtl w:val="0"/>
              </w:rPr>
            </w:r>
          </w:p>
        </w:tc>
      </w:tr>
      <w:tr>
        <w:trPr>
          <w:cantSplit w:val="0"/>
          <w:trHeight w:val="420" w:hRule="atLeast"/>
          <w:tblHeader w:val="0"/>
        </w:trPr>
        <w:tc>
          <w:tcPr>
            <w:gridSpan w:val="3"/>
            <w:tcBorders>
              <w:top w:color="000000" w:space="0" w:sz="6" w:val="single"/>
              <w:left w:color="000000" w:space="0" w:sz="6" w:val="single"/>
              <w:bottom w:color="000000" w:space="0" w:sz="6" w:val="single"/>
              <w:right w:color="000000" w:space="0" w:sz="6" w:val="single"/>
            </w:tcBorders>
            <w:shd w:fill="d0d8e8" w:val="clear"/>
            <w:tcMar>
              <w:top w:w="60.0" w:type="dxa"/>
              <w:left w:w="120.0" w:type="dxa"/>
              <w:bottom w:w="60.0" w:type="dxa"/>
              <w:right w:w="120.0" w:type="dxa"/>
            </w:tcMar>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If the patient is still in pain </w:t>
            </w:r>
            <w:r w:rsidDel="00000000" w:rsidR="00000000" w:rsidRPr="00000000">
              <w:rPr>
                <w:rFonts w:ascii="Tahoma" w:cs="Tahoma" w:eastAsia="Tahoma" w:hAnsi="Tahoma"/>
                <w:sz w:val="16"/>
                <w:szCs w:val="16"/>
                <w:rtl w:val="0"/>
              </w:rPr>
              <w:t xml:space="preserve">refer to a pain specialist</w:t>
            </w:r>
            <w:r w:rsidDel="00000000" w:rsidR="00000000" w:rsidRPr="00000000">
              <w:rPr>
                <w:rtl w:val="0"/>
              </w:rPr>
            </w:r>
          </w:p>
        </w:tc>
      </w:tr>
      <w:tr>
        <w:trPr>
          <w:cantSplit w:val="0"/>
          <w:trHeight w:val="690" w:hRule="atLeast"/>
          <w:tblHeader w:val="0"/>
        </w:trPr>
        <w:tc>
          <w:tcPr>
            <w:gridSpan w:val="3"/>
            <w:tcBorders>
              <w:top w:color="000000" w:space="0" w:sz="6" w:val="single"/>
              <w:left w:color="000000" w:space="0" w:sz="6" w:val="single"/>
              <w:bottom w:color="000000" w:space="0" w:sz="6" w:val="single"/>
              <w:right w:color="000000" w:space="0" w:sz="6" w:val="single"/>
            </w:tcBorders>
            <w:shd w:fill="e9edf4" w:val="clear"/>
            <w:tcMar>
              <w:top w:w="60.0" w:type="dxa"/>
              <w:left w:w="120.0" w:type="dxa"/>
              <w:bottom w:w="60.0" w:type="dxa"/>
              <w:right w:w="120.0" w:type="dxa"/>
            </w:tcMar>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Always order anti emetics (PRN or strictly) whenever opioids are on board for high risks patients </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(e.g. Ondansetron 0.1 mg/kg maximum 8 mg Q8H.)</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Address other side effects, and provide adequate monitoring when deemed necessary (particularly </w:t>
            </w:r>
            <w:r w:rsidDel="00000000" w:rsidR="00000000" w:rsidRPr="00000000">
              <w:rPr>
                <w:rFonts w:ascii="Tahoma" w:cs="Tahoma" w:eastAsia="Tahoma" w:hAnsi="Tahoma"/>
                <w:sz w:val="16"/>
                <w:szCs w:val="16"/>
                <w:rtl w:val="0"/>
              </w:rPr>
              <w:t xml:space="preserve">when a patient</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is on opioids).</w:t>
            </w:r>
          </w:p>
        </w:tc>
      </w:tr>
    </w:tbl>
    <w:p w:rsidR="00000000" w:rsidDel="00000000" w:rsidP="00000000" w:rsidRDefault="00000000" w:rsidRPr="00000000" w14:paraId="00000073">
      <w:pPr>
        <w:jc w:val="both"/>
        <w:rPr>
          <w:rFonts w:ascii="Tahoma" w:cs="Tahoma" w:eastAsia="Tahoma" w:hAnsi="Tahoma"/>
          <w:sz w:val="16"/>
          <w:szCs w:val="16"/>
        </w:rPr>
        <w:sectPr>
          <w:type w:val="nextPage"/>
          <w:pgSz w:h="8640" w:w="5760" w:orient="portrait"/>
          <w:pgMar w:bottom="567" w:top="567" w:left="284" w:right="284" w:header="284" w:footer="284"/>
        </w:sect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sz w:val="16"/>
          <w:szCs w:val="16"/>
          <w:u w:val="single"/>
          <w:shd w:fill="auto" w:val="clear"/>
          <w:vertAlign w:val="baseline"/>
        </w:rPr>
      </w:pPr>
      <w:r w:rsidDel="00000000" w:rsidR="00000000" w:rsidRPr="00000000">
        <w:rPr>
          <w:rFonts w:ascii="Tahoma" w:cs="Tahoma" w:eastAsia="Tahoma" w:hAnsi="Tahoma"/>
          <w:i w:val="0"/>
          <w:smallCaps w:val="0"/>
          <w:strike w:val="0"/>
          <w:sz w:val="16"/>
          <w:szCs w:val="16"/>
          <w:u w:val="single"/>
          <w:shd w:fill="auto" w:val="clear"/>
          <w:vertAlign w:val="baseline"/>
          <w:rtl w:val="0"/>
        </w:rPr>
        <w:t xml:space="preserve">Paracetamol</w:t>
      </w:r>
      <w:r w:rsidDel="00000000" w:rsidR="00000000" w:rsidRPr="00000000">
        <w:rPr>
          <w:rtl w:val="0"/>
        </w:rPr>
      </w:r>
    </w:p>
    <w:p w:rsidR="00000000" w:rsidDel="00000000" w:rsidP="00000000" w:rsidRDefault="00000000" w:rsidRPr="00000000" w14:paraId="00000075">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Paracetamol is effective for moderately severe pain and decreases opioid requirements after minor and major surgery in children. Safe dosing of paracetamol requires consideration of the age and body weight of the child and the duration of therapy.</w:t>
      </w:r>
    </w:p>
    <w:p w:rsidR="00000000" w:rsidDel="00000000" w:rsidP="00000000" w:rsidRDefault="00000000" w:rsidRPr="00000000" w14:paraId="00000077">
      <w:pPr>
        <w:jc w:val="both"/>
        <w:rPr>
          <w:rFonts w:ascii="Tahoma" w:cs="Tahoma" w:eastAsia="Tahoma" w:hAnsi="Tahoma"/>
          <w:sz w:val="16"/>
          <w:szCs w:val="16"/>
        </w:rPr>
      </w:pPr>
      <w:r w:rsidDel="00000000" w:rsidR="00000000" w:rsidRPr="00000000">
        <w:rPr>
          <w:rtl w:val="0"/>
        </w:rPr>
      </w:r>
    </w:p>
    <w:tbl>
      <w:tblPr>
        <w:tblStyle w:val="Table2"/>
        <w:tblW w:w="51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9"/>
        <w:gridCol w:w="759"/>
        <w:gridCol w:w="2928"/>
        <w:tblGridChange w:id="0">
          <w:tblGrid>
            <w:gridCol w:w="1489"/>
            <w:gridCol w:w="759"/>
            <w:gridCol w:w="2928"/>
          </w:tblGrid>
        </w:tblGridChange>
      </w:tblGrid>
      <w:tr>
        <w:trPr>
          <w:cantSplit w:val="0"/>
          <w:tblHeader w:val="0"/>
        </w:trPr>
        <w:tc>
          <w:tcPr>
            <w:tcBorders>
              <w:top w:color="ffffff" w:space="0" w:sz="6" w:val="single"/>
              <w:left w:color="ffffff" w:space="0" w:sz="6" w:val="single"/>
              <w:bottom w:color="ffffff" w:space="0" w:sz="24" w:val="single"/>
              <w:right w:color="ffffff" w:space="0" w:sz="6" w:val="single"/>
            </w:tcBorders>
            <w:shd w:fill="4f81bd" w:val="clear"/>
            <w:tcMar>
              <w:top w:w="80.0" w:type="dxa"/>
              <w:left w:w="140.0" w:type="dxa"/>
              <w:bottom w:w="80.0" w:type="dxa"/>
              <w:right w:w="140.0" w:type="dxa"/>
            </w:tcMar>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ffffff"/>
                <w:sz w:val="16"/>
                <w:szCs w:val="16"/>
                <w:u w:val="none"/>
                <w:shd w:fill="auto" w:val="clear"/>
                <w:vertAlign w:val="baseline"/>
                <w:rtl w:val="0"/>
              </w:rPr>
              <w:t xml:space="preserve">Age</w:t>
            </w:r>
            <w:r w:rsidDel="00000000" w:rsidR="00000000" w:rsidRPr="00000000">
              <w:rPr>
                <w:rtl w:val="0"/>
              </w:rPr>
            </w:r>
          </w:p>
        </w:tc>
        <w:tc>
          <w:tcPr>
            <w:tcBorders>
              <w:top w:color="ffffff" w:space="0" w:sz="6" w:val="single"/>
              <w:left w:color="ffffff" w:space="0" w:sz="6" w:val="single"/>
              <w:bottom w:color="ffffff" w:space="0" w:sz="24" w:val="single"/>
              <w:right w:color="ffffff" w:space="0" w:sz="6" w:val="single"/>
            </w:tcBorders>
            <w:shd w:fill="4f81bd" w:val="clear"/>
            <w:tcMar>
              <w:top w:w="80.0" w:type="dxa"/>
              <w:left w:w="140.0" w:type="dxa"/>
              <w:bottom w:w="80.0" w:type="dxa"/>
              <w:right w:w="140.0" w:type="dxa"/>
            </w:tcMar>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ffffff"/>
                <w:sz w:val="16"/>
                <w:szCs w:val="16"/>
                <w:u w:val="none"/>
                <w:shd w:fill="auto" w:val="clear"/>
                <w:vertAlign w:val="baseline"/>
                <w:rtl w:val="0"/>
              </w:rPr>
              <w:t xml:space="preserve">Route</w:t>
            </w:r>
            <w:r w:rsidDel="00000000" w:rsidR="00000000" w:rsidRPr="00000000">
              <w:rPr>
                <w:rtl w:val="0"/>
              </w:rPr>
            </w:r>
          </w:p>
        </w:tc>
        <w:tc>
          <w:tcPr>
            <w:tcBorders>
              <w:top w:color="ffffff" w:space="0" w:sz="6" w:val="single"/>
              <w:left w:color="ffffff" w:space="0" w:sz="6" w:val="single"/>
              <w:bottom w:color="ffffff" w:space="0" w:sz="24" w:val="single"/>
              <w:right w:color="ffffff" w:space="0" w:sz="6" w:val="single"/>
            </w:tcBorders>
            <w:shd w:fill="4f81bd" w:val="clear"/>
            <w:tcMar>
              <w:top w:w="80.0" w:type="dxa"/>
              <w:left w:w="140.0" w:type="dxa"/>
              <w:bottom w:w="80.0" w:type="dxa"/>
              <w:right w:w="140.0" w:type="dxa"/>
            </w:tcMar>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ffffff"/>
                <w:sz w:val="16"/>
                <w:szCs w:val="16"/>
                <w:u w:val="none"/>
                <w:shd w:fill="auto" w:val="clear"/>
                <w:vertAlign w:val="baseline"/>
                <w:rtl w:val="0"/>
              </w:rPr>
              <w:t xml:space="preserve">Dose</w:t>
            </w:r>
            <w:r w:rsidDel="00000000" w:rsidR="00000000" w:rsidRPr="00000000">
              <w:rPr>
                <w:rtl w:val="0"/>
              </w:rPr>
            </w:r>
          </w:p>
        </w:tc>
      </w:tr>
      <w:tr>
        <w:trPr>
          <w:cantSplit w:val="0"/>
          <w:tblHeader w:val="0"/>
        </w:trPr>
        <w:tc>
          <w:tcPr>
            <w:tcBorders>
              <w:top w:color="ffffff" w:space="0" w:sz="24" w:val="single"/>
              <w:left w:color="ffffff" w:space="0" w:sz="6" w:val="single"/>
              <w:bottom w:color="ffffff" w:space="0" w:sz="6" w:val="single"/>
              <w:right w:color="ffffff" w:space="0" w:sz="6" w:val="single"/>
            </w:tcBorders>
            <w:shd w:fill="d0d8e8" w:val="clear"/>
            <w:tcMar>
              <w:top w:w="80.0" w:type="dxa"/>
              <w:left w:w="140.0" w:type="dxa"/>
              <w:bottom w:w="80.0" w:type="dxa"/>
              <w:right w:w="140.0" w:type="dxa"/>
            </w:tcMar>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Below 1 month</w:t>
            </w:r>
          </w:p>
        </w:tc>
        <w:tc>
          <w:tcPr>
            <w:tcBorders>
              <w:top w:color="ffffff" w:space="0" w:sz="24" w:val="single"/>
              <w:left w:color="ffffff" w:space="0" w:sz="6" w:val="single"/>
              <w:bottom w:color="ffffff" w:space="0" w:sz="6" w:val="single"/>
              <w:right w:color="ffffff" w:space="0" w:sz="6" w:val="single"/>
            </w:tcBorders>
            <w:shd w:fill="d0d8e8" w:val="clear"/>
            <w:tcMar>
              <w:top w:w="80.0" w:type="dxa"/>
              <w:left w:w="140.0" w:type="dxa"/>
              <w:bottom w:w="80.0" w:type="dxa"/>
              <w:right w:w="140.0" w:type="dxa"/>
            </w:tcMar>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IV/PO</w:t>
            </w:r>
          </w:p>
        </w:tc>
        <w:tc>
          <w:tcPr>
            <w:tcBorders>
              <w:top w:color="ffffff" w:space="0" w:sz="24" w:val="single"/>
              <w:left w:color="ffffff" w:space="0" w:sz="6" w:val="single"/>
              <w:bottom w:color="ffffff" w:space="0" w:sz="6" w:val="single"/>
              <w:right w:color="ffffff" w:space="0" w:sz="6" w:val="single"/>
            </w:tcBorders>
            <w:shd w:fill="d0d8e8" w:val="clear"/>
            <w:tcMar>
              <w:top w:w="80.0" w:type="dxa"/>
              <w:left w:w="140.0" w:type="dxa"/>
              <w:bottom w:w="80.0" w:type="dxa"/>
              <w:right w:w="140.0" w:type="dxa"/>
            </w:tcMar>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i w:val="0"/>
                <w:smallCaps w:val="0"/>
                <w:strike w:val="0"/>
                <w:color w:val="ff0000"/>
                <w:sz w:val="16"/>
                <w:szCs w:val="16"/>
                <w:u w:val="none"/>
                <w:shd w:fill="auto" w:val="clear"/>
                <w:vertAlign w:val="baseline"/>
              </w:rPr>
            </w:pPr>
            <w:r w:rsidDel="00000000" w:rsidR="00000000" w:rsidRPr="00000000">
              <w:rPr>
                <w:rFonts w:ascii="Tahoma" w:cs="Tahoma" w:eastAsia="Tahoma" w:hAnsi="Tahoma"/>
                <w:i w:val="0"/>
                <w:smallCaps w:val="0"/>
                <w:strike w:val="0"/>
                <w:color w:val="ff0000"/>
                <w:sz w:val="16"/>
                <w:szCs w:val="16"/>
                <w:u w:val="none"/>
                <w:shd w:fill="auto" w:val="clear"/>
                <w:vertAlign w:val="baseline"/>
                <w:rtl w:val="0"/>
              </w:rPr>
              <w:t xml:space="preserve">7.5 mg/kg/dose Q6hrly</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i w:val="0"/>
                <w:smallCaps w:val="0"/>
                <w:strike w:val="0"/>
                <w:color w:val="000000"/>
                <w:sz w:val="16"/>
                <w:szCs w:val="16"/>
                <w:u w:val="none"/>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(Max 40 mg/kg/day)</w:t>
            </w:r>
          </w:p>
        </w:tc>
      </w:tr>
      <w:tr>
        <w:trPr>
          <w:cantSplit w:val="0"/>
          <w:tblHeader w:val="0"/>
        </w:trPr>
        <w:tc>
          <w:tcPr>
            <w:tcBorders>
              <w:top w:color="ffffff" w:space="0" w:sz="6" w:val="single"/>
              <w:left w:color="ffffff" w:space="0" w:sz="6" w:val="single"/>
              <w:bottom w:color="ffffff" w:space="0" w:sz="6" w:val="single"/>
              <w:right w:color="ffffff" w:space="0" w:sz="6" w:val="single"/>
            </w:tcBorders>
            <w:shd w:fill="e9edf4" w:val="clear"/>
            <w:tcMar>
              <w:top w:w="80.0" w:type="dxa"/>
              <w:left w:w="140.0" w:type="dxa"/>
              <w:bottom w:w="80.0" w:type="dxa"/>
              <w:right w:w="140.0" w:type="dxa"/>
            </w:tcMar>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1 month to 6 months</w:t>
            </w:r>
          </w:p>
        </w:tc>
        <w:tc>
          <w:tcPr>
            <w:tcBorders>
              <w:top w:color="ffffff" w:space="0" w:sz="6" w:val="single"/>
              <w:left w:color="ffffff" w:space="0" w:sz="6" w:val="single"/>
              <w:bottom w:color="ffffff" w:space="0" w:sz="6" w:val="single"/>
              <w:right w:color="ffffff" w:space="0" w:sz="6" w:val="single"/>
            </w:tcBorders>
            <w:shd w:fill="e9edf4" w:val="clear"/>
            <w:tcMar>
              <w:top w:w="80.0" w:type="dxa"/>
              <w:left w:w="140.0" w:type="dxa"/>
              <w:bottom w:w="80.0" w:type="dxa"/>
              <w:right w:w="140.0" w:type="dxa"/>
            </w:tcMar>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IV/PO</w:t>
            </w:r>
          </w:p>
        </w:tc>
        <w:tc>
          <w:tcPr>
            <w:tcBorders>
              <w:top w:color="ffffff" w:space="0" w:sz="6" w:val="single"/>
              <w:left w:color="ffffff" w:space="0" w:sz="6" w:val="single"/>
              <w:bottom w:color="ffffff" w:space="0" w:sz="6" w:val="single"/>
              <w:right w:color="ffffff" w:space="0" w:sz="6" w:val="single"/>
            </w:tcBorders>
            <w:shd w:fill="e9edf4" w:val="clear"/>
            <w:tcMar>
              <w:top w:w="80.0" w:type="dxa"/>
              <w:left w:w="140.0" w:type="dxa"/>
              <w:bottom w:w="80.0" w:type="dxa"/>
              <w:right w:w="140.0" w:type="dxa"/>
            </w:tcMar>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i w:val="0"/>
                <w:smallCaps w:val="0"/>
                <w:strike w:val="0"/>
                <w:color w:val="ff0000"/>
                <w:sz w:val="16"/>
                <w:szCs w:val="16"/>
                <w:u w:val="none"/>
                <w:shd w:fill="auto" w:val="clear"/>
                <w:vertAlign w:val="baseline"/>
              </w:rPr>
            </w:pPr>
            <w:r w:rsidDel="00000000" w:rsidR="00000000" w:rsidRPr="00000000">
              <w:rPr>
                <w:rFonts w:ascii="Tahoma" w:cs="Tahoma" w:eastAsia="Tahoma" w:hAnsi="Tahoma"/>
                <w:i w:val="0"/>
                <w:smallCaps w:val="0"/>
                <w:strike w:val="0"/>
                <w:color w:val="ff0000"/>
                <w:sz w:val="16"/>
                <w:szCs w:val="16"/>
                <w:u w:val="none"/>
                <w:shd w:fill="auto" w:val="clear"/>
                <w:vertAlign w:val="baseline"/>
                <w:rtl w:val="0"/>
              </w:rPr>
              <w:t xml:space="preserve">10 mg/kg/dose Q6hrly</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i w:val="0"/>
                <w:smallCaps w:val="0"/>
                <w:strike w:val="0"/>
                <w:color w:val="000000"/>
                <w:sz w:val="16"/>
                <w:szCs w:val="16"/>
                <w:u w:val="none"/>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(Max 40 mg/kg/day)</w:t>
            </w:r>
          </w:p>
        </w:tc>
      </w:tr>
      <w:tr>
        <w:trPr>
          <w:cantSplit w:val="0"/>
          <w:tblHeader w:val="0"/>
        </w:trPr>
        <w:tc>
          <w:tcPr>
            <w:vMerge w:val="restart"/>
            <w:tcBorders>
              <w:top w:color="ffffff" w:space="0" w:sz="6" w:val="single"/>
              <w:left w:color="ffffff" w:space="0" w:sz="6" w:val="single"/>
              <w:bottom w:color="ffffff" w:space="0" w:sz="6" w:val="single"/>
              <w:right w:color="ffffff" w:space="0" w:sz="6" w:val="single"/>
            </w:tcBorders>
            <w:shd w:fill="d0d8e8" w:val="clear"/>
            <w:tcMar>
              <w:top w:w="80.0" w:type="dxa"/>
              <w:left w:w="140.0" w:type="dxa"/>
              <w:bottom w:w="80.0" w:type="dxa"/>
              <w:right w:w="140.0" w:type="dxa"/>
            </w:tcMar>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Above 6 months</w:t>
            </w:r>
          </w:p>
        </w:tc>
        <w:tc>
          <w:tcPr>
            <w:tcBorders>
              <w:top w:color="ffffff" w:space="0" w:sz="6" w:val="single"/>
              <w:left w:color="ffffff" w:space="0" w:sz="6" w:val="single"/>
              <w:bottom w:color="ffffff" w:space="0" w:sz="6" w:val="single"/>
              <w:right w:color="ffffff" w:space="0" w:sz="6" w:val="single"/>
            </w:tcBorders>
            <w:shd w:fill="d0d8e8" w:val="clear"/>
            <w:tcMar>
              <w:top w:w="80.0" w:type="dxa"/>
              <w:left w:w="140.0" w:type="dxa"/>
              <w:bottom w:w="80.0" w:type="dxa"/>
              <w:right w:w="140.0" w:type="dxa"/>
            </w:tcMar>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IV/PO</w:t>
            </w:r>
          </w:p>
        </w:tc>
        <w:tc>
          <w:tcPr>
            <w:tcBorders>
              <w:top w:color="ffffff" w:space="0" w:sz="6" w:val="single"/>
              <w:left w:color="ffffff" w:space="0" w:sz="6" w:val="single"/>
              <w:bottom w:color="ffffff" w:space="0" w:sz="6" w:val="single"/>
              <w:right w:color="ffffff" w:space="0" w:sz="6" w:val="single"/>
            </w:tcBorders>
            <w:shd w:fill="d0d8e8" w:val="clear"/>
            <w:tcMar>
              <w:top w:w="80.0" w:type="dxa"/>
              <w:left w:w="140.0" w:type="dxa"/>
              <w:bottom w:w="80.0" w:type="dxa"/>
              <w:right w:w="140.0" w:type="dxa"/>
            </w:tcMar>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i w:val="0"/>
                <w:smallCaps w:val="0"/>
                <w:strike w:val="0"/>
                <w:color w:val="ff0000"/>
                <w:sz w:val="16"/>
                <w:szCs w:val="16"/>
                <w:u w:val="none"/>
                <w:shd w:fill="auto" w:val="clear"/>
                <w:vertAlign w:val="baseline"/>
              </w:rPr>
            </w:pPr>
            <w:r w:rsidDel="00000000" w:rsidR="00000000" w:rsidRPr="00000000">
              <w:rPr>
                <w:rFonts w:ascii="Tahoma" w:cs="Tahoma" w:eastAsia="Tahoma" w:hAnsi="Tahoma"/>
                <w:i w:val="0"/>
                <w:smallCaps w:val="0"/>
                <w:strike w:val="0"/>
                <w:color w:val="ff0000"/>
                <w:sz w:val="16"/>
                <w:szCs w:val="16"/>
                <w:u w:val="none"/>
                <w:shd w:fill="auto" w:val="clear"/>
                <w:vertAlign w:val="baseline"/>
                <w:rtl w:val="0"/>
              </w:rPr>
              <w:t xml:space="preserve">15 mg/kg/dose Q6hrly</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i w:val="0"/>
                <w:smallCaps w:val="0"/>
                <w:strike w:val="0"/>
                <w:color w:val="000000"/>
                <w:sz w:val="16"/>
                <w:szCs w:val="16"/>
                <w:u w:val="none"/>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(Max 1g/dose; </w:t>
            </w:r>
            <w:r w:rsidDel="00000000" w:rsidR="00000000" w:rsidRPr="00000000">
              <w:rPr>
                <w:rFonts w:ascii="Tahoma" w:cs="Tahoma" w:eastAsia="Tahoma" w:hAnsi="Tahoma"/>
                <w:sz w:val="16"/>
                <w:szCs w:val="16"/>
                <w:rtl w:val="0"/>
              </w:rPr>
              <w:t xml:space="preserve">60 mg</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/kg/DAY;4 g/DAY)</w:t>
            </w:r>
          </w:p>
        </w:tc>
      </w:tr>
      <w:tr>
        <w:trPr>
          <w:cantSplit w:val="0"/>
          <w:trHeight w:val="180" w:hRule="atLeast"/>
          <w:tblHeader w:val="0"/>
        </w:trPr>
        <w:tc>
          <w:tcPr>
            <w:vMerge w:val="continue"/>
            <w:tcBorders>
              <w:top w:color="ffffff" w:space="0" w:sz="6" w:val="single"/>
              <w:left w:color="ffffff" w:space="0" w:sz="6" w:val="single"/>
              <w:bottom w:color="ffffff" w:space="0" w:sz="6" w:val="single"/>
              <w:right w:color="ffffff" w:space="0" w:sz="6" w:val="single"/>
            </w:tcBorders>
            <w:shd w:fill="d0d8e8" w:val="clear"/>
            <w:tcMar>
              <w:top w:w="80.0" w:type="dxa"/>
              <w:left w:w="140.0" w:type="dxa"/>
              <w:bottom w:w="80.0" w:type="dxa"/>
              <w:right w:w="140.0" w:type="dxa"/>
            </w:tcMa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9edf4" w:val="clear"/>
            <w:tcMar>
              <w:top w:w="80.0" w:type="dxa"/>
              <w:left w:w="140.0" w:type="dxa"/>
              <w:bottom w:w="80.0" w:type="dxa"/>
              <w:right w:w="140.0" w:type="dxa"/>
            </w:tcMar>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PR</w:t>
            </w:r>
          </w:p>
        </w:tc>
        <w:tc>
          <w:tcPr>
            <w:tcBorders>
              <w:top w:color="ffffff" w:space="0" w:sz="6" w:val="single"/>
              <w:left w:color="ffffff" w:space="0" w:sz="6" w:val="single"/>
              <w:bottom w:color="ffffff" w:space="0" w:sz="6" w:val="single"/>
              <w:right w:color="ffffff" w:space="0" w:sz="6" w:val="single"/>
            </w:tcBorders>
            <w:shd w:fill="e9edf4" w:val="clear"/>
            <w:tcMar>
              <w:top w:w="80.0" w:type="dxa"/>
              <w:left w:w="140.0" w:type="dxa"/>
              <w:bottom w:w="80.0" w:type="dxa"/>
              <w:right w:w="140.0" w:type="dxa"/>
            </w:tcMar>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i w:val="0"/>
                <w:smallCaps w:val="0"/>
                <w:strike w:val="0"/>
                <w:color w:val="ff0000"/>
                <w:sz w:val="16"/>
                <w:szCs w:val="16"/>
                <w:u w:val="none"/>
                <w:shd w:fill="auto" w:val="clear"/>
                <w:vertAlign w:val="baseline"/>
              </w:rPr>
            </w:pPr>
            <w:r w:rsidDel="00000000" w:rsidR="00000000" w:rsidRPr="00000000">
              <w:rPr>
                <w:rFonts w:ascii="Tahoma" w:cs="Tahoma" w:eastAsia="Tahoma" w:hAnsi="Tahoma"/>
                <w:i w:val="0"/>
                <w:smallCaps w:val="0"/>
                <w:strike w:val="0"/>
                <w:color w:val="ff0000"/>
                <w:sz w:val="16"/>
                <w:szCs w:val="16"/>
                <w:u w:val="none"/>
                <w:shd w:fill="auto" w:val="clear"/>
                <w:vertAlign w:val="baseline"/>
                <w:rtl w:val="0"/>
              </w:rPr>
              <w:t xml:space="preserve">15 to 20 mg/kg/dose Q6hrly</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i w:val="0"/>
                <w:smallCaps w:val="0"/>
                <w:strike w:val="0"/>
                <w:color w:val="000000"/>
                <w:sz w:val="16"/>
                <w:szCs w:val="16"/>
                <w:u w:val="none"/>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(Max 975 mg/dose; </w:t>
            </w:r>
            <w:r w:rsidDel="00000000" w:rsidR="00000000" w:rsidRPr="00000000">
              <w:rPr>
                <w:rFonts w:ascii="Tahoma" w:cs="Tahoma" w:eastAsia="Tahoma" w:hAnsi="Tahoma"/>
                <w:sz w:val="16"/>
                <w:szCs w:val="16"/>
                <w:rtl w:val="0"/>
              </w:rPr>
              <w:t xml:space="preserve">75 mg</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/kg/DAY;4g/DAY)</w:t>
            </w:r>
          </w:p>
        </w:tc>
      </w:tr>
    </w:tbl>
    <w:p w:rsidR="00000000" w:rsidDel="00000000" w:rsidP="00000000" w:rsidRDefault="00000000" w:rsidRPr="00000000" w14:paraId="0000008B">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single"/>
          <w:shd w:fill="auto" w:val="clear"/>
          <w:vertAlign w:val="baseline"/>
          <w:rtl w:val="0"/>
        </w:rPr>
        <w:t xml:space="preserve">Caution</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in deranged liver function tests, particularly if prolonged use</w:t>
      </w:r>
    </w:p>
    <w:p w:rsidR="00000000" w:rsidDel="00000000" w:rsidP="00000000" w:rsidRDefault="00000000" w:rsidRPr="00000000" w14:paraId="0000008D">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Adverse effects: Paracetamol-related hepatotoxicity generally occurs in children who have received doses greater than </w:t>
      </w:r>
      <w:r w:rsidDel="00000000" w:rsidR="00000000" w:rsidRPr="00000000">
        <w:rPr>
          <w:rFonts w:ascii="Tahoma" w:cs="Tahoma" w:eastAsia="Tahoma" w:hAnsi="Tahoma"/>
          <w:sz w:val="16"/>
          <w:szCs w:val="16"/>
          <w:rtl w:val="0"/>
        </w:rPr>
        <w:t xml:space="preserve">120 mg</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/kg as a single or repeated daily dosing, with contributions from rounding up or 10-fold dosing error and formulation substitution or confusion by prescribers and parents. Paracetamol has unclear vasoactive effects; in critically ill children, hypotension is reported with IV formulation. </w:t>
      </w:r>
    </w:p>
    <w:p w:rsidR="00000000" w:rsidDel="00000000" w:rsidP="00000000" w:rsidRDefault="00000000" w:rsidRPr="00000000" w14:paraId="0000008F">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color w:val="666666"/>
          <w:sz w:val="16"/>
          <w:szCs w:val="16"/>
          <w:u w:val="single"/>
        </w:rPr>
      </w:pPr>
      <w:r w:rsidDel="00000000" w:rsidR="00000000" w:rsidRPr="00000000">
        <w:br w:type="page"/>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sz w:val="16"/>
          <w:szCs w:val="16"/>
          <w:u w:val="single"/>
          <w:shd w:fill="auto" w:val="clear"/>
          <w:vertAlign w:val="baseline"/>
        </w:rPr>
      </w:pPr>
      <w:r w:rsidDel="00000000" w:rsidR="00000000" w:rsidRPr="00000000">
        <w:rPr>
          <w:rFonts w:ascii="Tahoma" w:cs="Tahoma" w:eastAsia="Tahoma" w:hAnsi="Tahoma"/>
          <w:i w:val="0"/>
          <w:smallCaps w:val="0"/>
          <w:strike w:val="0"/>
          <w:sz w:val="16"/>
          <w:szCs w:val="16"/>
          <w:u w:val="single"/>
          <w:shd w:fill="auto" w:val="clear"/>
          <w:vertAlign w:val="baseline"/>
          <w:rtl w:val="0"/>
        </w:rPr>
        <w:t xml:space="preserve">NSAIDs</w:t>
      </w:r>
      <w:r w:rsidDel="00000000" w:rsidR="00000000" w:rsidRPr="00000000">
        <w:rPr>
          <w:rtl w:val="0"/>
        </w:rPr>
      </w:r>
    </w:p>
    <w:p w:rsidR="00000000" w:rsidDel="00000000" w:rsidP="00000000" w:rsidRDefault="00000000" w:rsidRPr="00000000" w14:paraId="00000092">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Nonselective NSAIDs (ibuprofen) are effective for moderately severe pain and decrease opioid requirements after major </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paediatric</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surgery and postoperative nausea and vomiting. Aspirin for acute pain indications, however, should be avoided in children. Parecoxib use in children reduces early postoperative pain scores, PONV (as compared to tramadol/fentanyl) and postoperative opioid consumption. Furthermore, Coxibs are a viable alternative in children with NSAID allergy to nonselective NSAIDs, this can be decided in consultation with an allergist.</w:t>
      </w:r>
    </w:p>
    <w:p w:rsidR="00000000" w:rsidDel="00000000" w:rsidP="00000000" w:rsidRDefault="00000000" w:rsidRPr="00000000" w14:paraId="00000094">
      <w:pPr>
        <w:jc w:val="both"/>
        <w:rPr>
          <w:rFonts w:ascii="Tahoma" w:cs="Tahoma" w:eastAsia="Tahoma" w:hAnsi="Tahoma"/>
          <w:sz w:val="16"/>
          <w:szCs w:val="16"/>
        </w:rPr>
      </w:pPr>
      <w:r w:rsidDel="00000000" w:rsidR="00000000" w:rsidRPr="00000000">
        <w:rPr>
          <w:rtl w:val="0"/>
        </w:rPr>
      </w:r>
    </w:p>
    <w:tbl>
      <w:tblPr>
        <w:tblStyle w:val="Table3"/>
        <w:tblW w:w="51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1035"/>
        <w:gridCol w:w="3150"/>
        <w:tblGridChange w:id="0">
          <w:tblGrid>
            <w:gridCol w:w="990"/>
            <w:gridCol w:w="1035"/>
            <w:gridCol w:w="3150"/>
          </w:tblGrid>
        </w:tblGridChange>
      </w:tblGrid>
      <w:tr>
        <w:trPr>
          <w:cantSplit w:val="0"/>
          <w:tblHeader w:val="0"/>
        </w:trPr>
        <w:tc>
          <w:tcPr>
            <w:tcBorders>
              <w:top w:color="ffffff" w:space="0" w:sz="6" w:val="single"/>
              <w:left w:color="ffffff" w:space="0" w:sz="6" w:val="single"/>
              <w:bottom w:color="ffffff" w:space="0" w:sz="24" w:val="single"/>
              <w:right w:color="ffffff" w:space="0" w:sz="6" w:val="single"/>
            </w:tcBorders>
            <w:shd w:fill="4f81bd" w:val="clear"/>
            <w:tcMar>
              <w:top w:w="80.0" w:type="dxa"/>
              <w:left w:w="140.0" w:type="dxa"/>
              <w:bottom w:w="80.0" w:type="dxa"/>
              <w:right w:w="140.0" w:type="dxa"/>
            </w:tcMar>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ffffff"/>
                <w:sz w:val="16"/>
                <w:szCs w:val="16"/>
                <w:u w:val="none"/>
                <w:shd w:fill="auto" w:val="clear"/>
                <w:vertAlign w:val="baseline"/>
                <w:rtl w:val="0"/>
              </w:rPr>
              <w:t xml:space="preserve">Age</w:t>
            </w:r>
            <w:r w:rsidDel="00000000" w:rsidR="00000000" w:rsidRPr="00000000">
              <w:rPr>
                <w:rtl w:val="0"/>
              </w:rPr>
            </w:r>
          </w:p>
        </w:tc>
        <w:tc>
          <w:tcPr>
            <w:tcBorders>
              <w:top w:color="ffffff" w:space="0" w:sz="6" w:val="single"/>
              <w:left w:color="ffffff" w:space="0" w:sz="6" w:val="single"/>
              <w:bottom w:color="ffffff" w:space="0" w:sz="24" w:val="single"/>
              <w:right w:color="ffffff" w:space="0" w:sz="6" w:val="single"/>
            </w:tcBorders>
            <w:shd w:fill="4f81bd" w:val="clear"/>
            <w:tcMar>
              <w:top w:w="80.0" w:type="dxa"/>
              <w:left w:w="140.0" w:type="dxa"/>
              <w:bottom w:w="80.0" w:type="dxa"/>
              <w:right w:w="140.0" w:type="dxa"/>
            </w:tcMar>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ffffff"/>
                <w:sz w:val="16"/>
                <w:szCs w:val="16"/>
                <w:u w:val="none"/>
                <w:shd w:fill="auto" w:val="clear"/>
                <w:vertAlign w:val="baseline"/>
                <w:rtl w:val="0"/>
              </w:rPr>
              <w:t xml:space="preserve">Drug</w:t>
            </w:r>
            <w:r w:rsidDel="00000000" w:rsidR="00000000" w:rsidRPr="00000000">
              <w:rPr>
                <w:rtl w:val="0"/>
              </w:rPr>
            </w:r>
          </w:p>
        </w:tc>
        <w:tc>
          <w:tcPr>
            <w:tcBorders>
              <w:top w:color="ffffff" w:space="0" w:sz="6" w:val="single"/>
              <w:left w:color="ffffff" w:space="0" w:sz="6" w:val="single"/>
              <w:bottom w:color="ffffff" w:space="0" w:sz="24" w:val="single"/>
              <w:right w:color="ffffff" w:space="0" w:sz="6" w:val="single"/>
            </w:tcBorders>
            <w:shd w:fill="4f81bd" w:val="clear"/>
            <w:tcMar>
              <w:top w:w="20.0" w:type="dxa"/>
              <w:left w:w="140.0" w:type="dxa"/>
              <w:bottom w:w="100.0" w:type="dxa"/>
              <w:right w:w="140.0" w:type="dxa"/>
            </w:tcMar>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ffffff"/>
                <w:sz w:val="16"/>
                <w:szCs w:val="16"/>
                <w:u w:val="none"/>
                <w:shd w:fill="auto" w:val="clear"/>
                <w:vertAlign w:val="baseline"/>
                <w:rtl w:val="0"/>
              </w:rPr>
              <w:t xml:space="preserve">Dose</w:t>
            </w:r>
            <w:r w:rsidDel="00000000" w:rsidR="00000000" w:rsidRPr="00000000">
              <w:rPr>
                <w:rtl w:val="0"/>
              </w:rPr>
            </w:r>
          </w:p>
        </w:tc>
      </w:tr>
      <w:tr>
        <w:trPr>
          <w:cantSplit w:val="0"/>
          <w:trHeight w:val="1185" w:hRule="atLeast"/>
          <w:tblHeader w:val="0"/>
        </w:trPr>
        <w:tc>
          <w:tcPr>
            <w:tcBorders>
              <w:top w:color="ffffff" w:space="0" w:sz="24" w:val="single"/>
              <w:left w:color="ffffff" w:space="0" w:sz="6" w:val="single"/>
              <w:bottom w:color="ffffff" w:space="0" w:sz="6" w:val="single"/>
              <w:right w:color="ffffff" w:space="0" w:sz="6" w:val="single"/>
            </w:tcBorders>
            <w:shd w:fill="4f81bd" w:val="clear"/>
            <w:tcMar>
              <w:top w:w="20.0" w:type="dxa"/>
              <w:left w:w="140.0" w:type="dxa"/>
              <w:bottom w:w="100.0" w:type="dxa"/>
              <w:right w:w="140.0" w:type="dxa"/>
            </w:tcMar>
            <w:vAlign w:val="center"/>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ffffff"/>
                <w:sz w:val="16"/>
                <w:szCs w:val="16"/>
                <w:u w:val="none"/>
                <w:shd w:fill="auto" w:val="clear"/>
                <w:vertAlign w:val="baseline"/>
                <w:rtl w:val="0"/>
              </w:rPr>
              <w:t xml:space="preserve">Above 6 months</w:t>
            </w:r>
            <w:r w:rsidDel="00000000" w:rsidR="00000000" w:rsidRPr="00000000">
              <w:rPr>
                <w:rtl w:val="0"/>
              </w:rPr>
            </w:r>
          </w:p>
        </w:tc>
        <w:tc>
          <w:tcPr>
            <w:tcBorders>
              <w:top w:color="ffffff" w:space="0" w:sz="24" w:val="single"/>
              <w:left w:color="ffffff" w:space="0" w:sz="6" w:val="single"/>
              <w:bottom w:color="ffffff" w:space="0" w:sz="6" w:val="single"/>
              <w:right w:color="ffffff" w:space="0" w:sz="6" w:val="single"/>
            </w:tcBorders>
            <w:shd w:fill="d0d8e8" w:val="clear"/>
            <w:tcMar>
              <w:top w:w="20.0" w:type="dxa"/>
              <w:left w:w="140.0" w:type="dxa"/>
              <w:bottom w:w="100.0" w:type="dxa"/>
              <w:right w:w="140.0" w:type="dxa"/>
            </w:tcMar>
            <w:vAlign w:val="center"/>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Ibuprofen</w:t>
            </w:r>
          </w:p>
        </w:tc>
        <w:tc>
          <w:tcPr>
            <w:tcBorders>
              <w:top w:color="ffffff" w:space="0" w:sz="24" w:val="single"/>
              <w:left w:color="ffffff" w:space="0" w:sz="6" w:val="single"/>
              <w:bottom w:color="ffffff" w:space="0" w:sz="6" w:val="single"/>
              <w:right w:color="ffffff" w:space="0" w:sz="6" w:val="single"/>
            </w:tcBorders>
            <w:shd w:fill="d0d8e8" w:val="clear"/>
            <w:tcMar>
              <w:top w:w="20.0" w:type="dxa"/>
              <w:left w:w="140.0" w:type="dxa"/>
              <w:bottom w:w="100.0" w:type="dxa"/>
              <w:right w:w="140.0" w:type="dxa"/>
            </w:tcMar>
            <w:vAlign w:val="center"/>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i w:val="0"/>
                <w:smallCaps w:val="0"/>
                <w:strike w:val="0"/>
                <w:color w:val="000000"/>
                <w:sz w:val="16"/>
                <w:szCs w:val="16"/>
                <w:u w:val="none"/>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PO 5 to 10 mg/kg/dose Q6 to 8hrly </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i w:val="0"/>
                <w:smallCaps w:val="0"/>
                <w:strike w:val="0"/>
                <w:color w:val="000000"/>
                <w:sz w:val="16"/>
                <w:szCs w:val="16"/>
                <w:u w:val="none"/>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*(Max 400 mg/dose)</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i w:val="0"/>
                <w:smallCaps w:val="0"/>
                <w:strike w:val="0"/>
                <w:color w:val="000000"/>
                <w:sz w:val="16"/>
                <w:szCs w:val="16"/>
                <w:u w:val="none"/>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IV 10 mg/kg/dose diluted in Normal Saline Q6 to 8hrly * minimum dilution concentration 3 mg/ml * (Max 400 mg/dose)</w:t>
            </w:r>
          </w:p>
        </w:tc>
      </w:tr>
      <w:tr>
        <w:trPr>
          <w:cantSplit w:val="0"/>
          <w:tblHeader w:val="0"/>
        </w:trPr>
        <w:tc>
          <w:tcPr>
            <w:tcBorders>
              <w:top w:color="ffffff" w:space="0" w:sz="6" w:val="single"/>
              <w:left w:color="ffffff" w:space="0" w:sz="6" w:val="single"/>
              <w:bottom w:color="ffffff" w:space="0" w:sz="6" w:val="single"/>
              <w:right w:color="ffffff" w:space="0" w:sz="6" w:val="single"/>
            </w:tcBorders>
            <w:shd w:fill="4f81bd" w:val="clear"/>
            <w:tcMar>
              <w:top w:w="20.0" w:type="dxa"/>
              <w:left w:w="140.0" w:type="dxa"/>
              <w:bottom w:w="100.0" w:type="dxa"/>
              <w:right w:w="140.0" w:type="dxa"/>
            </w:tcMar>
            <w:vAlign w:val="cente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ffffff"/>
                <w:sz w:val="16"/>
                <w:szCs w:val="16"/>
                <w:u w:val="none"/>
                <w:shd w:fill="auto" w:val="clear"/>
                <w:vertAlign w:val="baseline"/>
                <w:rtl w:val="0"/>
              </w:rPr>
              <w:t xml:space="preserve">6 year old and above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9edf4" w:val="clear"/>
            <w:tcMar>
              <w:top w:w="20.0" w:type="dxa"/>
              <w:left w:w="140.0" w:type="dxa"/>
              <w:bottom w:w="100.0" w:type="dxa"/>
              <w:right w:w="140.0" w:type="dxa"/>
            </w:tcMar>
            <w:vAlign w:val="center"/>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Diclofenac</w:t>
            </w:r>
          </w:p>
        </w:tc>
        <w:tc>
          <w:tcPr>
            <w:tcBorders>
              <w:top w:color="ffffff" w:space="0" w:sz="6" w:val="single"/>
              <w:left w:color="ffffff" w:space="0" w:sz="6" w:val="single"/>
              <w:bottom w:color="ffffff" w:space="0" w:sz="6" w:val="single"/>
              <w:right w:color="ffffff" w:space="0" w:sz="6" w:val="single"/>
            </w:tcBorders>
            <w:shd w:fill="e9edf4" w:val="clear"/>
            <w:tcMar>
              <w:top w:w="20.0" w:type="dxa"/>
              <w:left w:w="140.0" w:type="dxa"/>
              <w:bottom w:w="100.0" w:type="dxa"/>
              <w:right w:w="140.0" w:type="dxa"/>
            </w:tcMar>
            <w:vAlign w:val="center"/>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i w:val="0"/>
                <w:smallCaps w:val="0"/>
                <w:strike w:val="0"/>
                <w:color w:val="000000"/>
                <w:sz w:val="16"/>
                <w:szCs w:val="16"/>
                <w:u w:val="none"/>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PR 0.5 to 1 mg/kg/dose Q8hrly</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i w:val="0"/>
                <w:smallCaps w:val="0"/>
                <w:strike w:val="0"/>
                <w:color w:val="000000"/>
                <w:sz w:val="16"/>
                <w:szCs w:val="16"/>
                <w:u w:val="none"/>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*(Max 50 mg/dose)</w:t>
            </w:r>
          </w:p>
        </w:tc>
      </w:tr>
      <w:tr>
        <w:trPr>
          <w:cantSplit w:val="0"/>
          <w:trHeight w:val="30" w:hRule="atLeast"/>
          <w:tblHeader w:val="0"/>
        </w:trPr>
        <w:tc>
          <w:tcPr>
            <w:tcBorders>
              <w:top w:color="ffffff" w:space="0" w:sz="6" w:val="single"/>
              <w:left w:color="ffffff" w:space="0" w:sz="6" w:val="single"/>
              <w:bottom w:color="ffffff" w:space="0" w:sz="6" w:val="single"/>
              <w:right w:color="ffffff" w:space="0" w:sz="6" w:val="single"/>
            </w:tcBorders>
            <w:shd w:fill="4f81bd" w:val="clear"/>
            <w:tcMar>
              <w:top w:w="20.0" w:type="dxa"/>
              <w:left w:w="140.0" w:type="dxa"/>
              <w:bottom w:w="100.0" w:type="dxa"/>
              <w:right w:w="140.0" w:type="dxa"/>
            </w:tcMar>
            <w:vAlign w:val="center"/>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ffffff"/>
                <w:sz w:val="16"/>
                <w:szCs w:val="16"/>
                <w:u w:val="none"/>
                <w:shd w:fill="auto" w:val="clear"/>
                <w:vertAlign w:val="baseline"/>
                <w:rtl w:val="0"/>
              </w:rPr>
              <w:t xml:space="preserve">2 years old and above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d0d8e8" w:val="clear"/>
            <w:tcMar>
              <w:top w:w="20.0" w:type="dxa"/>
              <w:left w:w="140.0" w:type="dxa"/>
              <w:bottom w:w="100.0" w:type="dxa"/>
              <w:right w:w="140.0" w:type="dxa"/>
            </w:tcMar>
            <w:vAlign w:val="center"/>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Celecoxib</w:t>
            </w:r>
          </w:p>
        </w:tc>
        <w:tc>
          <w:tcPr>
            <w:tcBorders>
              <w:top w:color="ffffff" w:space="0" w:sz="6" w:val="single"/>
              <w:left w:color="ffffff" w:space="0" w:sz="6" w:val="single"/>
              <w:bottom w:color="ffffff" w:space="0" w:sz="6" w:val="single"/>
              <w:right w:color="ffffff" w:space="0" w:sz="6" w:val="single"/>
            </w:tcBorders>
            <w:shd w:fill="d0d8e8" w:val="clear"/>
            <w:tcMar>
              <w:top w:w="20.0" w:type="dxa"/>
              <w:left w:w="140.0" w:type="dxa"/>
              <w:bottom w:w="100.0" w:type="dxa"/>
              <w:right w:w="140.0" w:type="dxa"/>
            </w:tcMar>
            <w:vAlign w:val="center"/>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i w:val="0"/>
                <w:smallCaps w:val="0"/>
                <w:strike w:val="0"/>
                <w:color w:val="000000"/>
                <w:sz w:val="16"/>
                <w:szCs w:val="16"/>
                <w:u w:val="none"/>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PO </w:t>
            </w:r>
            <w:r w:rsidDel="00000000" w:rsidR="00000000" w:rsidRPr="00000000">
              <w:rPr>
                <w:rFonts w:ascii="Tahoma" w:cs="Tahoma" w:eastAsia="Tahoma" w:hAnsi="Tahoma"/>
                <w:sz w:val="16"/>
                <w:szCs w:val="16"/>
                <w:rtl w:val="0"/>
              </w:rPr>
              <w:t xml:space="preserve">3 mg</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/kg/dose BD</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i w:val="0"/>
                <w:smallCaps w:val="0"/>
                <w:strike w:val="0"/>
                <w:color w:val="000000"/>
                <w:sz w:val="16"/>
                <w:szCs w:val="16"/>
                <w:u w:val="none"/>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(Max 200mg/dose; 400mg/DAY)</w:t>
            </w:r>
          </w:p>
        </w:tc>
      </w:tr>
      <w:tr>
        <w:trPr>
          <w:cantSplit w:val="0"/>
          <w:trHeight w:val="780" w:hRule="atLeast"/>
          <w:tblHeader w:val="0"/>
        </w:trPr>
        <w:tc>
          <w:tcPr>
            <w:vMerge w:val="restart"/>
            <w:tcBorders>
              <w:top w:color="ffffff" w:space="0" w:sz="6" w:val="single"/>
              <w:left w:color="ffffff" w:space="0" w:sz="6" w:val="single"/>
              <w:bottom w:color="ffffff" w:space="0" w:sz="6" w:val="single"/>
              <w:right w:color="ffffff" w:space="0" w:sz="6" w:val="single"/>
            </w:tcBorders>
            <w:shd w:fill="4f81bd" w:val="clear"/>
            <w:tcMar>
              <w:top w:w="20.0" w:type="dxa"/>
              <w:left w:w="140.0" w:type="dxa"/>
              <w:bottom w:w="100.0" w:type="dxa"/>
              <w:right w:w="140.0" w:type="dxa"/>
            </w:tcMar>
            <w:vAlign w:val="center"/>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ffffff"/>
                <w:sz w:val="16"/>
                <w:szCs w:val="16"/>
                <w:u w:val="none"/>
                <w:shd w:fill="auto" w:val="clear"/>
                <w:vertAlign w:val="baseline"/>
                <w:rtl w:val="0"/>
              </w:rPr>
              <w:t xml:space="preserve">16 years old and above, and 50 </w:t>
            </w:r>
            <w:r w:rsidDel="00000000" w:rsidR="00000000" w:rsidRPr="00000000">
              <w:rPr>
                <w:rFonts w:ascii="Tahoma" w:cs="Tahoma" w:eastAsia="Tahoma" w:hAnsi="Tahoma"/>
                <w:b w:val="1"/>
                <w:color w:val="ffffff"/>
                <w:sz w:val="16"/>
                <w:szCs w:val="16"/>
                <w:rtl w:val="0"/>
              </w:rPr>
              <w:t xml:space="preserve">K</w:t>
            </w:r>
            <w:r w:rsidDel="00000000" w:rsidR="00000000" w:rsidRPr="00000000">
              <w:rPr>
                <w:rFonts w:ascii="Tahoma" w:cs="Tahoma" w:eastAsia="Tahoma" w:hAnsi="Tahoma"/>
                <w:b w:val="1"/>
                <w:i w:val="0"/>
                <w:smallCaps w:val="0"/>
                <w:strike w:val="0"/>
                <w:color w:val="ffffff"/>
                <w:sz w:val="16"/>
                <w:szCs w:val="16"/>
                <w:u w:val="none"/>
                <w:shd w:fill="auto" w:val="clear"/>
                <w:vertAlign w:val="baseline"/>
                <w:rtl w:val="0"/>
              </w:rPr>
              <w:t xml:space="preserve">g and above </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9edf4" w:val="clear"/>
            <w:tcMar>
              <w:top w:w="20.0" w:type="dxa"/>
              <w:left w:w="140.0" w:type="dxa"/>
              <w:bottom w:w="100.0" w:type="dxa"/>
              <w:right w:w="140.0" w:type="dxa"/>
            </w:tcMar>
            <w:vAlign w:val="center"/>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Etoricoxib</w:t>
            </w:r>
          </w:p>
        </w:tc>
        <w:tc>
          <w:tcPr>
            <w:tcBorders>
              <w:top w:color="ffffff" w:space="0" w:sz="6" w:val="single"/>
              <w:left w:color="ffffff" w:space="0" w:sz="6" w:val="single"/>
              <w:bottom w:color="ffffff" w:space="0" w:sz="6" w:val="single"/>
              <w:right w:color="ffffff" w:space="0" w:sz="6" w:val="single"/>
            </w:tcBorders>
            <w:shd w:fill="e9edf4" w:val="clear"/>
            <w:tcMar>
              <w:top w:w="20.0" w:type="dxa"/>
              <w:left w:w="140.0" w:type="dxa"/>
              <w:bottom w:w="100.0" w:type="dxa"/>
              <w:right w:w="140.0" w:type="dxa"/>
            </w:tcMar>
            <w:vAlign w:val="center"/>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i w:val="0"/>
                <w:smallCaps w:val="0"/>
                <w:strike w:val="0"/>
                <w:color w:val="000000"/>
                <w:sz w:val="16"/>
                <w:szCs w:val="16"/>
                <w:u w:val="none"/>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PO 60 to 90 mg OD</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i w:val="0"/>
                <w:smallCaps w:val="0"/>
                <w:strike w:val="0"/>
                <w:color w:val="000000"/>
                <w:sz w:val="16"/>
                <w:szCs w:val="16"/>
                <w:u w:val="none"/>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limit prescription to less than 8 days. </w:t>
            </w:r>
          </w:p>
        </w:tc>
      </w:tr>
      <w:tr>
        <w:trPr>
          <w:cantSplit w:val="0"/>
          <w:tblHeader w:val="0"/>
        </w:trPr>
        <w:tc>
          <w:tcPr>
            <w:vMerge w:val="continue"/>
            <w:tcBorders>
              <w:top w:color="ffffff" w:space="0" w:sz="6" w:val="single"/>
              <w:left w:color="ffffff" w:space="0" w:sz="6" w:val="single"/>
              <w:bottom w:color="ffffff" w:space="0" w:sz="6" w:val="single"/>
              <w:right w:color="ffffff" w:space="0" w:sz="6" w:val="single"/>
            </w:tcBorders>
            <w:shd w:fill="4f81bd" w:val="clear"/>
            <w:tcMar>
              <w:top w:w="20.0" w:type="dxa"/>
              <w:left w:w="140.0" w:type="dxa"/>
              <w:bottom w:w="100.0" w:type="dxa"/>
              <w:right w:w="140.0" w:type="dxa"/>
            </w:tcMar>
            <w:vAlign w:val="cente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9edf4" w:val="clear"/>
            <w:tcMar>
              <w:top w:w="20.0" w:type="dxa"/>
              <w:left w:w="140.0" w:type="dxa"/>
              <w:bottom w:w="100.0" w:type="dxa"/>
              <w:right w:w="140.0" w:type="dxa"/>
            </w:tcMar>
            <w:vAlign w:val="center"/>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Parecoxib</w:t>
            </w:r>
          </w:p>
        </w:tc>
        <w:tc>
          <w:tcPr>
            <w:tcBorders>
              <w:top w:color="ffffff" w:space="0" w:sz="6" w:val="single"/>
              <w:left w:color="ffffff" w:space="0" w:sz="6" w:val="single"/>
              <w:bottom w:color="ffffff" w:space="0" w:sz="6" w:val="single"/>
              <w:right w:color="ffffff" w:space="0" w:sz="6" w:val="single"/>
            </w:tcBorders>
            <w:shd w:fill="e9edf4" w:val="clear"/>
            <w:tcMar>
              <w:top w:w="20.0" w:type="dxa"/>
              <w:left w:w="140.0" w:type="dxa"/>
              <w:bottom w:w="100.0" w:type="dxa"/>
              <w:right w:w="140.0" w:type="dxa"/>
            </w:tcMar>
            <w:vAlign w:val="center"/>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i w:val="0"/>
                <w:smallCaps w:val="0"/>
                <w:strike w:val="0"/>
                <w:color w:val="000000"/>
                <w:sz w:val="16"/>
                <w:szCs w:val="16"/>
                <w:u w:val="none"/>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IV 40 mg</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i w:val="0"/>
                <w:smallCaps w:val="0"/>
                <w:strike w:val="0"/>
                <w:color w:val="000000"/>
                <w:sz w:val="16"/>
                <w:szCs w:val="16"/>
                <w:u w:val="none"/>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limit prescription to less than 8 days. </w:t>
            </w:r>
          </w:p>
        </w:tc>
      </w:tr>
    </w:tbl>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16"/>
          <w:szCs w:val="16"/>
          <w:u w:val="singl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i w:val="0"/>
          <w:smallCaps w:val="0"/>
          <w:strike w:val="0"/>
          <w:color w:val="ff0000"/>
          <w:sz w:val="16"/>
          <w:szCs w:val="16"/>
          <w:shd w:fill="auto" w:val="clear"/>
          <w:vertAlign w:val="baseline"/>
        </w:rPr>
      </w:pPr>
      <w:r w:rsidDel="00000000" w:rsidR="00000000" w:rsidRPr="00000000">
        <w:rPr>
          <w:rFonts w:ascii="Tahoma" w:cs="Tahoma" w:eastAsia="Tahoma" w:hAnsi="Tahoma"/>
          <w:color w:val="ff0000"/>
          <w:sz w:val="16"/>
          <w:szCs w:val="16"/>
          <w:rtl w:val="0"/>
        </w:rPr>
        <w:t xml:space="preserve">NSAID </w:t>
      </w:r>
      <w:r w:rsidDel="00000000" w:rsidR="00000000" w:rsidRPr="00000000">
        <w:rPr>
          <w:rFonts w:ascii="Tahoma" w:cs="Tahoma" w:eastAsia="Tahoma" w:hAnsi="Tahoma"/>
          <w:i w:val="0"/>
          <w:smallCaps w:val="0"/>
          <w:strike w:val="0"/>
          <w:color w:val="ff0000"/>
          <w:sz w:val="16"/>
          <w:szCs w:val="16"/>
          <w:shd w:fill="auto" w:val="clear"/>
          <w:vertAlign w:val="baseline"/>
          <w:rtl w:val="0"/>
        </w:rPr>
        <w:t xml:space="preserve">Cautions: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ff0000"/>
          <w:sz w:val="16"/>
          <w:szCs w:val="16"/>
          <w:u w:val="none"/>
          <w:shd w:fill="auto" w:val="clear"/>
          <w:vertAlign w:val="baseline"/>
        </w:rPr>
      </w:pPr>
      <w:sdt>
        <w:sdtPr>
          <w:tag w:val="goog_rdk_0"/>
        </w:sdtPr>
        <w:sdtContent>
          <w:r w:rsidDel="00000000" w:rsidR="00000000" w:rsidRPr="00000000">
            <w:rPr>
              <w:rFonts w:ascii="Arial Unicode MS" w:cs="Arial Unicode MS" w:eastAsia="Arial Unicode MS" w:hAnsi="Arial Unicode MS"/>
              <w:b w:val="0"/>
              <w:i w:val="0"/>
              <w:smallCaps w:val="0"/>
              <w:strike w:val="0"/>
              <w:color w:val="ff0000"/>
              <w:sz w:val="16"/>
              <w:szCs w:val="16"/>
              <w:u w:val="none"/>
              <w:shd w:fill="auto" w:val="clear"/>
              <w:vertAlign w:val="baseline"/>
              <w:rtl w:val="0"/>
            </w:rPr>
            <w:t xml:space="preserve">May only be prescribed when ≥ 6 months</w:t>
          </w:r>
        </w:sdtContent>
      </w:sdt>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ff0000"/>
          <w:sz w:val="16"/>
          <w:szCs w:val="16"/>
          <w:u w:val="none"/>
          <w:shd w:fill="auto" w:val="clear"/>
          <w:vertAlign w:val="baseline"/>
        </w:rPr>
      </w:pPr>
      <w:r w:rsidDel="00000000" w:rsidR="00000000" w:rsidRPr="00000000">
        <w:rPr>
          <w:rFonts w:ascii="Tahoma" w:cs="Tahoma" w:eastAsia="Tahoma" w:hAnsi="Tahoma"/>
          <w:b w:val="0"/>
          <w:i w:val="0"/>
          <w:smallCaps w:val="0"/>
          <w:strike w:val="0"/>
          <w:color w:val="ff0000"/>
          <w:sz w:val="16"/>
          <w:szCs w:val="16"/>
          <w:u w:val="none"/>
          <w:shd w:fill="auto" w:val="clear"/>
          <w:vertAlign w:val="baseline"/>
          <w:rtl w:val="0"/>
        </w:rPr>
        <w:t xml:space="preserve">Asthmatic exacerbation in susceptible patients ‐ Check for previous or recent use, as some patients with asthma are able to take NSAIDs safely.</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ff0000"/>
          <w:sz w:val="16"/>
          <w:szCs w:val="16"/>
          <w:u w:val="none"/>
          <w:shd w:fill="auto" w:val="clear"/>
          <w:vertAlign w:val="baseline"/>
        </w:rPr>
      </w:pPr>
      <w:r w:rsidDel="00000000" w:rsidR="00000000" w:rsidRPr="00000000">
        <w:rPr>
          <w:rFonts w:ascii="Tahoma" w:cs="Tahoma" w:eastAsia="Tahoma" w:hAnsi="Tahoma"/>
          <w:b w:val="0"/>
          <w:i w:val="0"/>
          <w:smallCaps w:val="0"/>
          <w:strike w:val="0"/>
          <w:color w:val="ff0000"/>
          <w:sz w:val="16"/>
          <w:szCs w:val="16"/>
          <w:u w:val="none"/>
          <w:shd w:fill="auto" w:val="clear"/>
          <w:vertAlign w:val="baseline"/>
          <w:rtl w:val="0"/>
        </w:rPr>
        <w:t xml:space="preserve">Potential for gastric irritation or ulcers ‐ best taken with/after food</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ff0000"/>
          <w:sz w:val="16"/>
          <w:szCs w:val="16"/>
          <w:u w:val="none"/>
          <w:shd w:fill="auto" w:val="clear"/>
          <w:vertAlign w:val="baseline"/>
        </w:rPr>
      </w:pPr>
      <w:r w:rsidDel="00000000" w:rsidR="00000000" w:rsidRPr="00000000">
        <w:rPr>
          <w:rFonts w:ascii="Tahoma" w:cs="Tahoma" w:eastAsia="Tahoma" w:hAnsi="Tahoma"/>
          <w:b w:val="0"/>
          <w:i w:val="0"/>
          <w:smallCaps w:val="0"/>
          <w:strike w:val="0"/>
          <w:color w:val="ff0000"/>
          <w:sz w:val="16"/>
          <w:szCs w:val="16"/>
          <w:u w:val="none"/>
          <w:shd w:fill="auto" w:val="clear"/>
          <w:vertAlign w:val="baseline"/>
          <w:rtl w:val="0"/>
        </w:rPr>
        <w:t xml:space="preserve">Beware: Platelet dysfunction/ active bleeding/ bleeding tendencies, renal impairment in dehydration, concomitant use of nephrotoxic drugs, and oncology patients.</w:t>
      </w:r>
    </w:p>
    <w:p w:rsidR="00000000" w:rsidDel="00000000" w:rsidP="00000000" w:rsidRDefault="00000000" w:rsidRPr="00000000" w14:paraId="000000B4">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i w:val="0"/>
          <w:smallCaps w:val="0"/>
          <w:strike w:val="0"/>
          <w:color w:val="000000"/>
          <w:sz w:val="16"/>
          <w:szCs w:val="16"/>
          <w:u w:val="single"/>
          <w:shd w:fill="auto" w:val="clear"/>
          <w:vertAlign w:val="baseline"/>
        </w:rPr>
      </w:pPr>
      <w:r w:rsidDel="00000000" w:rsidR="00000000" w:rsidRPr="00000000">
        <w:rPr>
          <w:rFonts w:ascii="Tahoma" w:cs="Tahoma" w:eastAsia="Tahoma" w:hAnsi="Tahoma"/>
          <w:i w:val="0"/>
          <w:smallCaps w:val="0"/>
          <w:strike w:val="0"/>
          <w:color w:val="000000"/>
          <w:sz w:val="16"/>
          <w:szCs w:val="16"/>
          <w:u w:val="single"/>
          <w:shd w:fill="auto" w:val="clear"/>
          <w:vertAlign w:val="baseline"/>
          <w:rtl w:val="0"/>
        </w:rPr>
        <w:t xml:space="preserve">Adverse effects: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sz w:val="16"/>
          <w:szCs w:val="16"/>
          <w:rtl w:val="0"/>
        </w:rPr>
        <w:t xml:space="preserve">S</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erious adverse effects after nonselective NSAIDs are rare in children over six months of age. NSAIDs do not increase the risk of either surgical or nonsurgical intervention for bleeding after </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paediatric</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tonsillectomy. However, there is some evidence that ibuprofen may increase the severity of </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haemorrhage</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post-tonsillectomy in patients returning to </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theatre</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and should be stopped in this context. On the other hand, Cox-2 inhibitors have a negligible effect on platelet function and less gastric effect than ketorolac or Ibuprofen.</w:t>
      </w:r>
    </w:p>
    <w:p w:rsidR="00000000" w:rsidDel="00000000" w:rsidP="00000000" w:rsidRDefault="00000000" w:rsidRPr="00000000" w14:paraId="000000B7">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color w:val="666666"/>
          <w:sz w:val="16"/>
          <w:szCs w:val="16"/>
          <w:u w:val="single"/>
        </w:rPr>
      </w:pPr>
      <w:r w:rsidDel="00000000" w:rsidR="00000000" w:rsidRPr="00000000">
        <w:br w:type="page"/>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i w:val="0"/>
          <w:smallCaps w:val="0"/>
          <w:strike w:val="0"/>
          <w:sz w:val="16"/>
          <w:szCs w:val="16"/>
          <w:u w:val="single"/>
          <w:shd w:fill="auto" w:val="clear"/>
          <w:vertAlign w:val="baseline"/>
        </w:rPr>
      </w:pPr>
      <w:r w:rsidDel="00000000" w:rsidR="00000000" w:rsidRPr="00000000">
        <w:rPr>
          <w:rFonts w:ascii="Tahoma" w:cs="Tahoma" w:eastAsia="Tahoma" w:hAnsi="Tahoma"/>
          <w:i w:val="0"/>
          <w:smallCaps w:val="0"/>
          <w:strike w:val="0"/>
          <w:sz w:val="16"/>
          <w:szCs w:val="16"/>
          <w:u w:val="single"/>
          <w:shd w:fill="auto" w:val="clear"/>
          <w:vertAlign w:val="baseline"/>
          <w:rtl w:val="0"/>
        </w:rPr>
        <w:t xml:space="preserve">Opioids</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Initial doses of opioids should be based on the age, weight and clinical status of the child and then titrated against the individual’s response. Postoperative intravenous opioid requirements vary with age in neonates, infants and children. Intermittent intramuscular injections are distressing for children and less effective for pain control than intravenous infusions. Patient controlled analgesia (PCA) can provide safe and effective analgesia for children as young as 5 years old. Intravenous opioids via continuous infusion, nurse-controlled analgesia and parental proxy use of caregiver-controlled analgesia devices can be used effectively and safely in children of all ages.</w:t>
      </w:r>
    </w:p>
    <w:p w:rsidR="00000000" w:rsidDel="00000000" w:rsidP="00000000" w:rsidRDefault="00000000" w:rsidRPr="00000000" w14:paraId="000000BB">
      <w:pPr>
        <w:jc w:val="both"/>
        <w:rPr>
          <w:rFonts w:ascii="Tahoma" w:cs="Tahoma" w:eastAsia="Tahoma" w:hAnsi="Tahoma"/>
          <w:sz w:val="16"/>
          <w:szCs w:val="16"/>
        </w:rPr>
      </w:pPr>
      <w:r w:rsidDel="00000000" w:rsidR="00000000" w:rsidRPr="00000000">
        <w:rPr>
          <w:rtl w:val="0"/>
        </w:rPr>
      </w:r>
    </w:p>
    <w:tbl>
      <w:tblPr>
        <w:tblStyle w:val="Table4"/>
        <w:tblW w:w="51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10"/>
        <w:gridCol w:w="825"/>
        <w:gridCol w:w="1140"/>
        <w:gridCol w:w="2100"/>
        <w:tblGridChange w:id="0">
          <w:tblGrid>
            <w:gridCol w:w="1110"/>
            <w:gridCol w:w="825"/>
            <w:gridCol w:w="1140"/>
            <w:gridCol w:w="2100"/>
          </w:tblGrid>
        </w:tblGridChange>
      </w:tblGrid>
      <w:tr>
        <w:trPr>
          <w:cantSplit w:val="0"/>
          <w:tblHeader w:val="0"/>
        </w:trPr>
        <w:tc>
          <w:tcPr>
            <w:tcBorders>
              <w:top w:color="ffffff" w:space="0" w:sz="6" w:val="single"/>
              <w:left w:color="ffffff" w:space="0" w:sz="6" w:val="single"/>
              <w:bottom w:color="ffffff" w:space="0" w:sz="24" w:val="single"/>
              <w:right w:color="ffffff" w:space="0" w:sz="6" w:val="single"/>
            </w:tcBorders>
            <w:shd w:fill="4f81bd" w:val="clear"/>
            <w:tcMar>
              <w:top w:w="20.0" w:type="dxa"/>
              <w:left w:w="140.0" w:type="dxa"/>
              <w:bottom w:w="100.0" w:type="dxa"/>
              <w:right w:w="140.0" w:type="dxa"/>
            </w:tcMar>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ffffff"/>
                <w:sz w:val="16"/>
                <w:szCs w:val="16"/>
                <w:u w:val="none"/>
                <w:shd w:fill="auto" w:val="clear"/>
                <w:vertAlign w:val="baseline"/>
                <w:rtl w:val="0"/>
              </w:rPr>
              <w:t xml:space="preserve">Age</w:t>
            </w:r>
            <w:r w:rsidDel="00000000" w:rsidR="00000000" w:rsidRPr="00000000">
              <w:rPr>
                <w:rtl w:val="0"/>
              </w:rPr>
            </w:r>
          </w:p>
        </w:tc>
        <w:tc>
          <w:tcPr>
            <w:gridSpan w:val="2"/>
            <w:tcBorders>
              <w:top w:color="ffffff" w:space="0" w:sz="6" w:val="single"/>
              <w:left w:color="ffffff" w:space="0" w:sz="6" w:val="single"/>
              <w:bottom w:color="ffffff" w:space="0" w:sz="24" w:val="single"/>
              <w:right w:color="ffffff" w:space="0" w:sz="6" w:val="single"/>
            </w:tcBorders>
            <w:shd w:fill="4f81bd" w:val="clear"/>
            <w:tcMar>
              <w:top w:w="20.0" w:type="dxa"/>
              <w:left w:w="140.0" w:type="dxa"/>
              <w:bottom w:w="100.0" w:type="dxa"/>
              <w:right w:w="140.0" w:type="dxa"/>
            </w:tcMar>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ffffff"/>
                <w:sz w:val="16"/>
                <w:szCs w:val="16"/>
                <w:u w:val="none"/>
                <w:shd w:fill="auto" w:val="clear"/>
                <w:vertAlign w:val="baseline"/>
                <w:rtl w:val="0"/>
              </w:rPr>
              <w:t xml:space="preserve">Drug</w:t>
            </w:r>
            <w:r w:rsidDel="00000000" w:rsidR="00000000" w:rsidRPr="00000000">
              <w:rPr>
                <w:rtl w:val="0"/>
              </w:rPr>
            </w:r>
          </w:p>
        </w:tc>
        <w:tc>
          <w:tcPr>
            <w:tcBorders>
              <w:top w:color="ffffff" w:space="0" w:sz="6" w:val="single"/>
              <w:left w:color="ffffff" w:space="0" w:sz="6" w:val="single"/>
              <w:bottom w:color="ffffff" w:space="0" w:sz="24" w:val="single"/>
              <w:right w:color="ffffff" w:space="0" w:sz="6" w:val="single"/>
            </w:tcBorders>
            <w:shd w:fill="4f81bd" w:val="clear"/>
            <w:tcMar>
              <w:top w:w="20.0" w:type="dxa"/>
              <w:left w:w="140.0" w:type="dxa"/>
              <w:bottom w:w="100.0" w:type="dxa"/>
              <w:right w:w="140.0" w:type="dxa"/>
            </w:tcMar>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ffffff"/>
                <w:sz w:val="16"/>
                <w:szCs w:val="16"/>
                <w:u w:val="none"/>
                <w:shd w:fill="auto" w:val="clear"/>
                <w:vertAlign w:val="baseline"/>
                <w:rtl w:val="0"/>
              </w:rPr>
              <w:t xml:space="preserve">Dose</w:t>
            </w:r>
            <w:r w:rsidDel="00000000" w:rsidR="00000000" w:rsidRPr="00000000">
              <w:rPr>
                <w:rtl w:val="0"/>
              </w:rPr>
            </w:r>
          </w:p>
        </w:tc>
      </w:tr>
      <w:tr>
        <w:trPr>
          <w:cantSplit w:val="0"/>
          <w:trHeight w:val="165" w:hRule="atLeast"/>
          <w:tblHeader w:val="0"/>
        </w:trPr>
        <w:tc>
          <w:tcPr>
            <w:tcBorders>
              <w:top w:color="ffffff" w:space="0" w:sz="24" w:val="single"/>
              <w:left w:color="ffffff" w:space="0" w:sz="6" w:val="single"/>
              <w:bottom w:color="ffffff" w:space="0" w:sz="6" w:val="single"/>
              <w:right w:color="ffffff" w:space="0" w:sz="6" w:val="single"/>
            </w:tcBorders>
            <w:shd w:fill="4f81bd" w:val="clear"/>
            <w:tcMar>
              <w:top w:w="20.0" w:type="dxa"/>
              <w:left w:w="140.0" w:type="dxa"/>
              <w:bottom w:w="100.0" w:type="dxa"/>
              <w:right w:w="140.0" w:type="dxa"/>
            </w:tcMar>
            <w:vAlign w:val="center"/>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ffffff"/>
                <w:sz w:val="16"/>
                <w:szCs w:val="16"/>
                <w:u w:val="none"/>
                <w:shd w:fill="auto" w:val="clear"/>
                <w:vertAlign w:val="baseline"/>
                <w:rtl w:val="0"/>
              </w:rPr>
              <w:t xml:space="preserve">Above 12 years</w:t>
            </w:r>
            <w:r w:rsidDel="00000000" w:rsidR="00000000" w:rsidRPr="00000000">
              <w:rPr>
                <w:rtl w:val="0"/>
              </w:rPr>
            </w:r>
          </w:p>
        </w:tc>
        <w:tc>
          <w:tcPr>
            <w:gridSpan w:val="2"/>
            <w:tcBorders>
              <w:top w:color="ffffff" w:space="0" w:sz="24" w:val="single"/>
              <w:left w:color="ffffff" w:space="0" w:sz="6" w:val="single"/>
              <w:bottom w:color="ffffff" w:space="0" w:sz="6" w:val="single"/>
              <w:right w:color="ffffff" w:space="0" w:sz="6" w:val="single"/>
            </w:tcBorders>
            <w:shd w:fill="d0d8e8" w:val="clear"/>
            <w:tcMar>
              <w:top w:w="20.0" w:type="dxa"/>
              <w:left w:w="140.0" w:type="dxa"/>
              <w:bottom w:w="100.0" w:type="dxa"/>
              <w:right w:w="140.0" w:type="dxa"/>
            </w:tcMar>
            <w:vAlign w:val="center"/>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Tramadol</w:t>
            </w:r>
          </w:p>
        </w:tc>
        <w:tc>
          <w:tcPr>
            <w:tcBorders>
              <w:top w:color="ffffff" w:space="0" w:sz="24" w:val="single"/>
              <w:left w:color="ffffff" w:space="0" w:sz="6" w:val="single"/>
              <w:bottom w:color="ffffff" w:space="0" w:sz="6" w:val="single"/>
              <w:right w:color="ffffff" w:space="0" w:sz="6" w:val="single"/>
            </w:tcBorders>
            <w:shd w:fill="d0d8e8" w:val="clear"/>
            <w:tcMar>
              <w:top w:w="20.0" w:type="dxa"/>
              <w:left w:w="140.0" w:type="dxa"/>
              <w:bottom w:w="100.0" w:type="dxa"/>
              <w:right w:w="140.0" w:type="dxa"/>
            </w:tcMar>
            <w:vAlign w:val="center"/>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i w:val="0"/>
                <w:smallCaps w:val="0"/>
                <w:strike w:val="0"/>
                <w:color w:val="000000"/>
                <w:sz w:val="16"/>
                <w:szCs w:val="16"/>
                <w:u w:val="none"/>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PO/IV 1 to 2 mg/kg/dose Q8hrly</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i w:val="0"/>
                <w:smallCaps w:val="0"/>
                <w:strike w:val="0"/>
                <w:color w:val="000000"/>
                <w:sz w:val="16"/>
                <w:szCs w:val="16"/>
                <w:u w:val="none"/>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(Starting Max 50mg/dose; 400mg/DAY)</w:t>
            </w:r>
          </w:p>
        </w:tc>
      </w:tr>
      <w:tr>
        <w:trPr>
          <w:cantSplit w:val="0"/>
          <w:trHeight w:val="676.875" w:hRule="atLeast"/>
          <w:tblHeader w:val="0"/>
        </w:trPr>
        <w:tc>
          <w:tcPr>
            <w:vMerge w:val="restart"/>
            <w:tcBorders>
              <w:top w:color="ffffff" w:space="0" w:sz="6" w:val="single"/>
              <w:left w:color="ffffff" w:space="0" w:sz="6" w:val="single"/>
              <w:bottom w:color="ffffff" w:space="0" w:sz="6" w:val="single"/>
              <w:right w:color="ffffff" w:space="0" w:sz="6" w:val="single"/>
            </w:tcBorders>
            <w:shd w:fill="4f81bd" w:val="clear"/>
            <w:tcMar>
              <w:top w:w="20.0" w:type="dxa"/>
              <w:left w:w="140.0" w:type="dxa"/>
              <w:bottom w:w="100.0" w:type="dxa"/>
              <w:right w:w="140.0" w:type="dxa"/>
            </w:tcMar>
            <w:vAlign w:val="center"/>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ffffff"/>
                <w:sz w:val="16"/>
                <w:szCs w:val="16"/>
                <w:u w:val="none"/>
                <w:shd w:fill="auto" w:val="clear"/>
                <w:vertAlign w:val="baseline"/>
                <w:rtl w:val="0"/>
              </w:rPr>
              <w:t xml:space="preserve">No age limit, however consider 50% dose reduction for below 6 months old.</w:t>
            </w:r>
            <w:r w:rsidDel="00000000" w:rsidR="00000000" w:rsidRPr="00000000">
              <w:rPr>
                <w:rtl w:val="0"/>
              </w:rPr>
            </w:r>
          </w:p>
        </w:tc>
        <w:tc>
          <w:tcPr>
            <w:vMerge w:val="restart"/>
            <w:tcBorders>
              <w:top w:color="ffffff" w:space="0" w:sz="6" w:val="single"/>
              <w:left w:color="ffffff" w:space="0" w:sz="6" w:val="single"/>
              <w:bottom w:color="ffffff" w:space="0" w:sz="6" w:val="single"/>
              <w:right w:color="ffffff" w:space="0" w:sz="6" w:val="single"/>
            </w:tcBorders>
            <w:shd w:fill="e9edf4" w:val="clear"/>
            <w:tcMar>
              <w:top w:w="20.0" w:type="dxa"/>
              <w:left w:w="140.0" w:type="dxa"/>
              <w:bottom w:w="100.0" w:type="dxa"/>
              <w:right w:w="140.0" w:type="dxa"/>
            </w:tcMar>
            <w:vAlign w:val="center"/>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Opioids</w:t>
            </w:r>
          </w:p>
        </w:tc>
        <w:tc>
          <w:tcPr>
            <w:tcBorders>
              <w:top w:color="ffffff" w:space="0" w:sz="6" w:val="single"/>
              <w:left w:color="ffffff" w:space="0" w:sz="6" w:val="single"/>
              <w:bottom w:color="ffffff" w:space="0" w:sz="6" w:val="single"/>
              <w:right w:color="ffffff" w:space="0" w:sz="6" w:val="single"/>
            </w:tcBorders>
            <w:shd w:fill="e9edf4" w:val="clear"/>
            <w:tcMar>
              <w:top w:w="20.0" w:type="dxa"/>
              <w:left w:w="140.0" w:type="dxa"/>
              <w:bottom w:w="100.0" w:type="dxa"/>
              <w:right w:w="140.0" w:type="dxa"/>
            </w:tcMar>
            <w:vAlign w:val="center"/>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Morphine</w:t>
            </w:r>
          </w:p>
        </w:tc>
        <w:tc>
          <w:tcPr>
            <w:tcBorders>
              <w:top w:color="ffffff" w:space="0" w:sz="6" w:val="single"/>
              <w:left w:color="ffffff" w:space="0" w:sz="6" w:val="single"/>
              <w:bottom w:color="ffffff" w:space="0" w:sz="6" w:val="single"/>
              <w:right w:color="ffffff" w:space="0" w:sz="6" w:val="single"/>
            </w:tcBorders>
            <w:shd w:fill="e9edf4" w:val="clear"/>
            <w:tcMar>
              <w:top w:w="20.0" w:type="dxa"/>
              <w:left w:w="140.0" w:type="dxa"/>
              <w:bottom w:w="100.0" w:type="dxa"/>
              <w:right w:w="140.0" w:type="dxa"/>
            </w:tcMar>
            <w:vAlign w:val="cente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i w:val="0"/>
                <w:smallCaps w:val="0"/>
                <w:strike w:val="0"/>
                <w:color w:val="000000"/>
                <w:sz w:val="16"/>
                <w:szCs w:val="16"/>
                <w:u w:val="none"/>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PO 0.2 to 0.4mg/kg/dose Q6hrly</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i w:val="0"/>
                <w:smallCaps w:val="0"/>
                <w:strike w:val="0"/>
                <w:color w:val="000000"/>
                <w:sz w:val="16"/>
                <w:szCs w:val="16"/>
                <w:u w:val="none"/>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(Starting Max 10mg/dose)</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i w:val="0"/>
                <w:smallCaps w:val="0"/>
                <w:strike w:val="0"/>
                <w:color w:val="000000"/>
                <w:sz w:val="16"/>
                <w:szCs w:val="16"/>
                <w:u w:val="none"/>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IV morphine infusion 20 mCg/kg/hr</w:t>
            </w:r>
          </w:p>
        </w:tc>
      </w:tr>
      <w:tr>
        <w:trPr>
          <w:cantSplit w:val="0"/>
          <w:trHeight w:val="555" w:hRule="atLeast"/>
          <w:tblHeader w:val="0"/>
        </w:trPr>
        <w:tc>
          <w:tcPr>
            <w:vMerge w:val="continue"/>
            <w:tcBorders>
              <w:top w:color="ffffff" w:space="0" w:sz="6" w:val="single"/>
              <w:left w:color="ffffff" w:space="0" w:sz="6" w:val="single"/>
              <w:bottom w:color="ffffff" w:space="0" w:sz="6" w:val="single"/>
              <w:right w:color="ffffff" w:space="0" w:sz="6" w:val="single"/>
            </w:tcBorders>
            <w:shd w:fill="4f81bd" w:val="clear"/>
            <w:tcMar>
              <w:top w:w="20.0" w:type="dxa"/>
              <w:left w:w="140.0" w:type="dxa"/>
              <w:bottom w:w="100.0" w:type="dxa"/>
              <w:right w:w="140.0" w:type="dxa"/>
            </w:tcMar>
            <w:vAlign w:val="cente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ffffff" w:space="0" w:sz="6" w:val="single"/>
              <w:left w:color="ffffff" w:space="0" w:sz="6" w:val="single"/>
              <w:bottom w:color="ffffff" w:space="0" w:sz="6" w:val="single"/>
              <w:right w:color="ffffff" w:space="0" w:sz="6" w:val="single"/>
            </w:tcBorders>
            <w:shd w:fill="e9edf4" w:val="clear"/>
            <w:tcMar>
              <w:top w:w="20.0" w:type="dxa"/>
              <w:left w:w="140.0" w:type="dxa"/>
              <w:bottom w:w="100.0" w:type="dxa"/>
              <w:right w:w="140.0" w:type="dxa"/>
            </w:tcMar>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d0d8e8" w:val="clear"/>
            <w:tcMar>
              <w:top w:w="20.0" w:type="dxa"/>
              <w:left w:w="140.0" w:type="dxa"/>
              <w:bottom w:w="100.0" w:type="dxa"/>
              <w:right w:w="140.0" w:type="dxa"/>
            </w:tcMar>
            <w:vAlign w:val="center"/>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Oxycodone</w:t>
            </w:r>
          </w:p>
        </w:tc>
        <w:tc>
          <w:tcPr>
            <w:tcBorders>
              <w:top w:color="ffffff" w:space="0" w:sz="6" w:val="single"/>
              <w:left w:color="ffffff" w:space="0" w:sz="6" w:val="single"/>
              <w:bottom w:color="ffffff" w:space="0" w:sz="6" w:val="single"/>
              <w:right w:color="ffffff" w:space="0" w:sz="6" w:val="single"/>
            </w:tcBorders>
            <w:shd w:fill="d0d8e8" w:val="clear"/>
            <w:tcMar>
              <w:top w:w="20.0" w:type="dxa"/>
              <w:left w:w="140.0" w:type="dxa"/>
              <w:bottom w:w="100.0" w:type="dxa"/>
              <w:right w:w="140.0" w:type="dxa"/>
            </w:tcMar>
            <w:vAlign w:val="center"/>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i w:val="0"/>
                <w:smallCaps w:val="0"/>
                <w:strike w:val="0"/>
                <w:color w:val="000000"/>
                <w:sz w:val="16"/>
                <w:szCs w:val="16"/>
                <w:u w:val="none"/>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PO 0.1 to 0.2 mg/kg/dose Q8 to 6 </w:t>
            </w:r>
            <w:r w:rsidDel="00000000" w:rsidR="00000000" w:rsidRPr="00000000">
              <w:rPr>
                <w:rFonts w:ascii="Tahoma" w:cs="Tahoma" w:eastAsia="Tahoma" w:hAnsi="Tahoma"/>
                <w:sz w:val="16"/>
                <w:szCs w:val="16"/>
                <w:rtl w:val="0"/>
              </w:rPr>
              <w:t xml:space="preserve">hourly</w:t>
            </w: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i w:val="0"/>
                <w:smallCaps w:val="0"/>
                <w:strike w:val="0"/>
                <w:color w:val="000000"/>
                <w:sz w:val="16"/>
                <w:szCs w:val="16"/>
                <w:u w:val="none"/>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(Starting Max 10mg/dose)</w:t>
            </w:r>
          </w:p>
        </w:tc>
      </w:tr>
    </w:tbl>
    <w:p w:rsidR="00000000" w:rsidDel="00000000" w:rsidP="00000000" w:rsidRDefault="00000000" w:rsidRPr="00000000" w14:paraId="000000D0">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sz w:val="16"/>
          <w:szCs w:val="16"/>
          <w:rtl w:val="0"/>
        </w:rPr>
        <w:t xml:space="preserve">I</w:t>
      </w: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V Morphine infusion is commonly started for patients who have</w:t>
      </w:r>
    </w:p>
    <w:p w:rsidR="00000000" w:rsidDel="00000000" w:rsidP="00000000" w:rsidRDefault="00000000" w:rsidRPr="00000000" w14:paraId="000000D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Constant severe pain; and</w:t>
      </w:r>
    </w:p>
    <w:p w:rsidR="00000000" w:rsidDel="00000000" w:rsidP="00000000" w:rsidRDefault="00000000" w:rsidRPr="00000000" w14:paraId="000000D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Patients kept Nil‐by‐Mouth (NBM) due to primary pathology or surgery. </w:t>
      </w:r>
    </w:p>
    <w:p w:rsidR="00000000" w:rsidDel="00000000" w:rsidP="00000000" w:rsidRDefault="00000000" w:rsidRPr="00000000" w14:paraId="000000D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It is not advisable in adults as the risk of respiratory dysfunction and sedation in this population outweigh the benefits. Listed below is the recommended IV Morphine infusion dilution and titration by weight.</w:t>
      </w:r>
    </w:p>
    <w:p w:rsidR="00000000" w:rsidDel="00000000" w:rsidP="00000000" w:rsidRDefault="00000000" w:rsidRPr="00000000" w14:paraId="000000D6">
      <w:pPr>
        <w:jc w:val="both"/>
        <w:rPr>
          <w:rFonts w:ascii="Tahoma" w:cs="Tahoma" w:eastAsia="Tahoma" w:hAnsi="Tahoma"/>
          <w:sz w:val="16"/>
          <w:szCs w:val="16"/>
        </w:rPr>
      </w:pPr>
      <w:r w:rsidDel="00000000" w:rsidR="00000000" w:rsidRPr="00000000">
        <w:rPr>
          <w:rtl w:val="0"/>
        </w:rPr>
      </w:r>
    </w:p>
    <w:tbl>
      <w:tblPr>
        <w:tblStyle w:val="Table5"/>
        <w:tblW w:w="51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5.4545454545455"/>
        <w:gridCol w:w="1854.5454545454547"/>
        <w:gridCol w:w="1935"/>
        <w:tblGridChange w:id="0">
          <w:tblGrid>
            <w:gridCol w:w="1385.4545454545455"/>
            <w:gridCol w:w="1854.5454545454547"/>
            <w:gridCol w:w="1935"/>
          </w:tblGrid>
        </w:tblGridChange>
      </w:tblGrid>
      <w:tr>
        <w:trPr>
          <w:cantSplit w:val="0"/>
          <w:trHeight w:val="705" w:hRule="atLeast"/>
          <w:tblHeader w:val="0"/>
        </w:trPr>
        <w:tc>
          <w:tcPr>
            <w:tcBorders>
              <w:top w:color="4f81bd" w:space="0" w:sz="6" w:val="single"/>
              <w:left w:color="4f81bd" w:space="0" w:sz="6" w:val="single"/>
              <w:bottom w:color="4f81bd" w:space="0" w:sz="6" w:val="single"/>
            </w:tcBorders>
            <w:shd w:fill="4f81bd" w:val="clear"/>
            <w:tcMar>
              <w:top w:w="60.0" w:type="dxa"/>
              <w:left w:w="140.0" w:type="dxa"/>
              <w:bottom w:w="60.0" w:type="dxa"/>
              <w:right w:w="140.0" w:type="dxa"/>
            </w:tcMar>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ffffff"/>
                <w:sz w:val="16"/>
                <w:szCs w:val="16"/>
                <w:u w:val="none"/>
                <w:shd w:fill="auto" w:val="clear"/>
                <w:vertAlign w:val="baseline"/>
                <w:rtl w:val="0"/>
              </w:rPr>
              <w:t xml:space="preserve">IV Morphine Infusion</w:t>
            </w:r>
            <w:r w:rsidDel="00000000" w:rsidR="00000000" w:rsidRPr="00000000">
              <w:rPr>
                <w:rtl w:val="0"/>
              </w:rPr>
            </w:r>
          </w:p>
        </w:tc>
        <w:tc>
          <w:tcPr>
            <w:tcBorders>
              <w:top w:color="4f81bd" w:space="0" w:sz="6" w:val="single"/>
              <w:bottom w:color="4f81bd" w:space="0" w:sz="6" w:val="single"/>
            </w:tcBorders>
            <w:shd w:fill="4f81bd" w:val="clear"/>
            <w:tcMar>
              <w:top w:w="60.0" w:type="dxa"/>
              <w:left w:w="140.0" w:type="dxa"/>
              <w:bottom w:w="60.0" w:type="dxa"/>
              <w:right w:w="140.0" w:type="dxa"/>
            </w:tcMar>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ffffff"/>
                <w:sz w:val="16"/>
                <w:szCs w:val="16"/>
                <w:u w:val="none"/>
                <w:shd w:fill="auto" w:val="clear"/>
                <w:vertAlign w:val="baseline"/>
                <w:rtl w:val="0"/>
              </w:rPr>
              <w:t xml:space="preserve">&lt; 50 Kg</w:t>
            </w:r>
            <w:r w:rsidDel="00000000" w:rsidR="00000000" w:rsidRPr="00000000">
              <w:rPr>
                <w:rtl w:val="0"/>
              </w:rPr>
            </w:r>
          </w:p>
        </w:tc>
        <w:tc>
          <w:tcPr>
            <w:tcBorders>
              <w:top w:color="4f81bd" w:space="0" w:sz="6" w:val="single"/>
              <w:bottom w:color="4f81bd" w:space="0" w:sz="6" w:val="single"/>
              <w:right w:color="4f81bd" w:space="0" w:sz="6" w:val="single"/>
            </w:tcBorders>
            <w:shd w:fill="4f81bd" w:val="clear"/>
            <w:tcMar>
              <w:top w:w="60.0" w:type="dxa"/>
              <w:left w:w="140.0" w:type="dxa"/>
              <w:bottom w:w="60.0" w:type="dxa"/>
              <w:right w:w="140.0" w:type="dxa"/>
            </w:tcMar>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ffffff"/>
                <w:sz w:val="16"/>
                <w:szCs w:val="16"/>
                <w:u w:val="none"/>
                <w:shd w:fill="auto" w:val="clear"/>
                <w:vertAlign w:val="baseline"/>
                <w:rtl w:val="0"/>
              </w:rPr>
              <w:t xml:space="preserve">&gt;=50 Kg</w:t>
            </w:r>
            <w:r w:rsidDel="00000000" w:rsidR="00000000" w:rsidRPr="00000000">
              <w:rPr>
                <w:rtl w:val="0"/>
              </w:rPr>
            </w:r>
          </w:p>
        </w:tc>
      </w:tr>
      <w:tr>
        <w:trPr>
          <w:cantSplit w:val="0"/>
          <w:trHeight w:val="45" w:hRule="atLeast"/>
          <w:tblHeader w:val="0"/>
        </w:trPr>
        <w:tc>
          <w:tcPr>
            <w:tcBorders>
              <w:top w:color="4f81bd" w:space="0" w:sz="6" w:val="single"/>
              <w:left w:color="4f81bd" w:space="0" w:sz="6" w:val="single"/>
              <w:bottom w:color="4f81bd" w:space="0" w:sz="6" w:val="single"/>
            </w:tcBorders>
            <w:shd w:fill="e9edf4" w:val="clear"/>
            <w:tcMar>
              <w:top w:w="60.0" w:type="dxa"/>
              <w:left w:w="140.0" w:type="dxa"/>
              <w:bottom w:w="60.0" w:type="dxa"/>
              <w:right w:w="140.0" w:type="dxa"/>
            </w:tcMar>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Dilution</w:t>
            </w:r>
          </w:p>
        </w:tc>
        <w:tc>
          <w:tcPr>
            <w:tcBorders>
              <w:top w:color="4f81bd" w:space="0" w:sz="6" w:val="single"/>
              <w:bottom w:color="4f81bd" w:space="0" w:sz="6" w:val="single"/>
            </w:tcBorders>
            <w:shd w:fill="e9edf4" w:val="clear"/>
            <w:tcMar>
              <w:top w:w="60.0" w:type="dxa"/>
              <w:left w:w="140.0" w:type="dxa"/>
              <w:bottom w:w="60.0" w:type="dxa"/>
              <w:right w:w="140.0" w:type="dxa"/>
            </w:tcMar>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(BW)mg in 50 ml N/S</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1ml/h=20 mcg/kg/h</w:t>
            </w:r>
          </w:p>
        </w:tc>
        <w:tc>
          <w:tcPr>
            <w:tcBorders>
              <w:top w:color="4f81bd" w:space="0" w:sz="6" w:val="single"/>
              <w:bottom w:color="4f81bd" w:space="0" w:sz="6" w:val="single"/>
              <w:right w:color="4f81bd" w:space="0" w:sz="6" w:val="single"/>
            </w:tcBorders>
            <w:shd w:fill="e9edf4" w:val="clear"/>
            <w:tcMar>
              <w:top w:w="60.0" w:type="dxa"/>
              <w:left w:w="140.0" w:type="dxa"/>
              <w:bottom w:w="60.0" w:type="dxa"/>
              <w:right w:w="140.0" w:type="dxa"/>
            </w:tcMar>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sz w:val="16"/>
                <w:szCs w:val="16"/>
                <w:rtl w:val="0"/>
              </w:rPr>
              <w:t xml:space="preserve">50 mg</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in </w:t>
            </w:r>
            <w:r w:rsidDel="00000000" w:rsidR="00000000" w:rsidRPr="00000000">
              <w:rPr>
                <w:rFonts w:ascii="Tahoma" w:cs="Tahoma" w:eastAsia="Tahoma" w:hAnsi="Tahoma"/>
                <w:sz w:val="16"/>
                <w:szCs w:val="16"/>
                <w:rtl w:val="0"/>
              </w:rPr>
              <w:t xml:space="preserve">50 ml</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N/S</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1ml/h=1mg/h</w:t>
            </w:r>
          </w:p>
        </w:tc>
      </w:tr>
      <w:tr>
        <w:trPr>
          <w:cantSplit w:val="0"/>
          <w:tblHeader w:val="0"/>
        </w:trPr>
        <w:tc>
          <w:tcPr>
            <w:tcBorders>
              <w:top w:color="4f81bd" w:space="0" w:sz="6" w:val="single"/>
              <w:left w:color="4f81bd" w:space="0" w:sz="6" w:val="single"/>
              <w:bottom w:color="4f81bd" w:space="0" w:sz="6" w:val="single"/>
            </w:tcBorders>
            <w:shd w:fill="ffffff" w:val="clear"/>
            <w:tcMar>
              <w:top w:w="60.0" w:type="dxa"/>
              <w:left w:w="140.0" w:type="dxa"/>
              <w:bottom w:w="60.0" w:type="dxa"/>
              <w:right w:w="140.0" w:type="dxa"/>
            </w:tcMar>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Starting rate</w:t>
            </w:r>
          </w:p>
        </w:tc>
        <w:tc>
          <w:tcPr>
            <w:gridSpan w:val="2"/>
            <w:tcBorders>
              <w:top w:color="4f81bd" w:space="0" w:sz="6" w:val="single"/>
              <w:bottom w:color="4f81bd" w:space="0" w:sz="6" w:val="single"/>
              <w:right w:color="4f81bd" w:space="0" w:sz="6" w:val="single"/>
            </w:tcBorders>
            <w:shd w:fill="ffffff" w:val="clear"/>
            <w:tcMar>
              <w:top w:w="60.0" w:type="dxa"/>
              <w:left w:w="140.0" w:type="dxa"/>
              <w:bottom w:w="60.0" w:type="dxa"/>
              <w:right w:w="140.0" w:type="dxa"/>
            </w:tcMar>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Start at </w:t>
            </w:r>
            <w:r w:rsidDel="00000000" w:rsidR="00000000" w:rsidRPr="00000000">
              <w:rPr>
                <w:rFonts w:ascii="Tahoma" w:cs="Tahoma" w:eastAsia="Tahoma" w:hAnsi="Tahoma"/>
                <w:sz w:val="16"/>
                <w:szCs w:val="16"/>
                <w:rtl w:val="0"/>
              </w:rPr>
              <w:t xml:space="preserve">1 ml</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/h (20 mcg/kg/h) UNLESS there are concerns regarding airway, over sedation or respiratory complications, decrease by 50%.</w:t>
            </w:r>
          </w:p>
        </w:tc>
      </w:tr>
      <w:tr>
        <w:trPr>
          <w:cantSplit w:val="0"/>
          <w:trHeight w:val="465" w:hRule="atLeast"/>
          <w:tblHeader w:val="0"/>
        </w:trPr>
        <w:tc>
          <w:tcPr>
            <w:tcBorders>
              <w:top w:color="4f81bd" w:space="0" w:sz="6" w:val="single"/>
              <w:left w:color="4f81bd" w:space="0" w:sz="6" w:val="single"/>
              <w:bottom w:color="4f81bd" w:space="0" w:sz="6" w:val="single"/>
            </w:tcBorders>
            <w:shd w:fill="e9edf4" w:val="clear"/>
            <w:tcMar>
              <w:top w:w="60.0" w:type="dxa"/>
              <w:left w:w="140.0" w:type="dxa"/>
              <w:bottom w:w="60.0" w:type="dxa"/>
              <w:right w:w="140.0" w:type="dxa"/>
            </w:tcMar>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Step-wise escalation</w:t>
            </w:r>
          </w:p>
        </w:tc>
        <w:tc>
          <w:tcPr>
            <w:gridSpan w:val="2"/>
            <w:tcBorders>
              <w:top w:color="4f81bd" w:space="0" w:sz="6" w:val="single"/>
              <w:bottom w:color="4f81bd" w:space="0" w:sz="6" w:val="single"/>
              <w:right w:color="4f81bd" w:space="0" w:sz="6" w:val="single"/>
            </w:tcBorders>
            <w:shd w:fill="e9edf4" w:val="clear"/>
            <w:tcMar>
              <w:top w:w="60.0" w:type="dxa"/>
              <w:left w:w="140.0" w:type="dxa"/>
              <w:bottom w:w="60.0" w:type="dxa"/>
              <w:right w:w="140.0" w:type="dxa"/>
            </w:tcMar>
          </w:tcPr>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By 0.5ml/h Q4H; alert registrar if escalation is required</w:t>
            </w:r>
          </w:p>
        </w:tc>
      </w:tr>
      <w:tr>
        <w:trPr>
          <w:cantSplit w:val="0"/>
          <w:tblHeader w:val="0"/>
        </w:trPr>
        <w:tc>
          <w:tcPr>
            <w:tcBorders>
              <w:top w:color="4f81bd" w:space="0" w:sz="6" w:val="single"/>
              <w:left w:color="4f81bd" w:space="0" w:sz="6" w:val="single"/>
              <w:bottom w:color="4f81bd" w:space="0" w:sz="6" w:val="single"/>
            </w:tcBorders>
            <w:shd w:fill="ffffff" w:val="clear"/>
            <w:tcMar>
              <w:top w:w="60.0" w:type="dxa"/>
              <w:left w:w="140.0" w:type="dxa"/>
              <w:bottom w:w="60.0" w:type="dxa"/>
              <w:right w:w="140.0" w:type="dxa"/>
            </w:tcMar>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Maximum dose</w:t>
            </w:r>
          </w:p>
        </w:tc>
        <w:tc>
          <w:tcPr>
            <w:gridSpan w:val="2"/>
            <w:tcBorders>
              <w:top w:color="4f81bd" w:space="0" w:sz="6" w:val="single"/>
              <w:bottom w:color="4f81bd" w:space="0" w:sz="6" w:val="single"/>
              <w:right w:color="4f81bd" w:space="0" w:sz="6" w:val="single"/>
            </w:tcBorders>
            <w:shd w:fill="ffffff" w:val="clear"/>
            <w:tcMar>
              <w:top w:w="60.0" w:type="dxa"/>
              <w:left w:w="140.0" w:type="dxa"/>
              <w:bottom w:w="60.0" w:type="dxa"/>
              <w:right w:w="140.0" w:type="dxa"/>
            </w:tcMar>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1.5ml/h = 30 mcg/kg/h                                                                        </w:t>
            </w:r>
          </w:p>
        </w:tc>
      </w:tr>
      <w:tr>
        <w:trPr>
          <w:cantSplit w:val="0"/>
          <w:tblHeader w:val="0"/>
        </w:trPr>
        <w:tc>
          <w:tcPr>
            <w:tcBorders>
              <w:top w:color="4f81bd" w:space="0" w:sz="6" w:val="single"/>
              <w:left w:color="4f81bd" w:space="0" w:sz="6" w:val="single"/>
              <w:bottom w:color="4f81bd" w:space="0" w:sz="6" w:val="single"/>
            </w:tcBorders>
            <w:shd w:fill="e9edf4" w:val="clear"/>
            <w:tcMar>
              <w:top w:w="60.0" w:type="dxa"/>
              <w:left w:w="140.0" w:type="dxa"/>
              <w:bottom w:w="60.0" w:type="dxa"/>
              <w:right w:w="140.0" w:type="dxa"/>
            </w:tcMa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Co-Analgesics</w:t>
            </w:r>
          </w:p>
        </w:tc>
        <w:tc>
          <w:tcPr>
            <w:gridSpan w:val="2"/>
            <w:tcBorders>
              <w:top w:color="4f81bd" w:space="0" w:sz="6" w:val="single"/>
              <w:bottom w:color="4f81bd" w:space="0" w:sz="6" w:val="single"/>
              <w:right w:color="4f81bd" w:space="0" w:sz="6" w:val="single"/>
            </w:tcBorders>
            <w:shd w:fill="e9edf4" w:val="clear"/>
            <w:tcMar>
              <w:top w:w="60.0" w:type="dxa"/>
              <w:left w:w="140.0" w:type="dxa"/>
              <w:bottom w:w="60.0" w:type="dxa"/>
              <w:right w:w="140.0" w:type="dxa"/>
            </w:tcMar>
          </w:tcPr>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ff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Ensure multimodal analgesics are ordered and served </w:t>
            </w:r>
            <w:r w:rsidDel="00000000" w:rsidR="00000000" w:rsidRPr="00000000">
              <w:rPr>
                <w:rFonts w:ascii="Tahoma" w:cs="Tahoma" w:eastAsia="Tahoma" w:hAnsi="Tahoma"/>
                <w:i w:val="0"/>
                <w:smallCaps w:val="0"/>
                <w:strike w:val="0"/>
                <w:color w:val="ff0000"/>
                <w:sz w:val="16"/>
                <w:szCs w:val="16"/>
                <w:u w:val="none"/>
                <w:shd w:fill="auto" w:val="clear"/>
                <w:vertAlign w:val="baseline"/>
                <w:rtl w:val="0"/>
              </w:rPr>
              <w:t xml:space="preserve">regularly</w:t>
            </w:r>
            <w:r w:rsidDel="00000000" w:rsidR="00000000" w:rsidRPr="00000000">
              <w:rPr>
                <w:rtl w:val="0"/>
              </w:rPr>
            </w:r>
          </w:p>
        </w:tc>
      </w:tr>
    </w:tbl>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br w:type="textWrapping"/>
        <w:t xml:space="preserve">High‐risk patients are</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those with:</w:t>
      </w:r>
    </w:p>
    <w:p w:rsidR="00000000" w:rsidDel="00000000" w:rsidP="00000000" w:rsidRDefault="00000000" w:rsidRPr="00000000" w14:paraId="000000E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altered mental status,</w:t>
      </w:r>
    </w:p>
    <w:p w:rsidR="00000000" w:rsidDel="00000000" w:rsidP="00000000" w:rsidRDefault="00000000" w:rsidRPr="00000000" w14:paraId="000000E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respiratory compromise,</w:t>
      </w:r>
    </w:p>
    <w:p w:rsidR="00000000" w:rsidDel="00000000" w:rsidP="00000000" w:rsidRDefault="00000000" w:rsidRPr="00000000" w14:paraId="000000E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risk factors for obstructive</w:t>
      </w:r>
    </w:p>
    <w:p w:rsidR="00000000" w:rsidDel="00000000" w:rsidP="00000000" w:rsidRDefault="00000000" w:rsidRPr="00000000" w14:paraId="000000F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sleep apnoea,</w:t>
      </w:r>
    </w:p>
    <w:p w:rsidR="00000000" w:rsidDel="00000000" w:rsidP="00000000" w:rsidRDefault="00000000" w:rsidRPr="00000000" w14:paraId="000000F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limited respiratory reserve,</w:t>
      </w:r>
    </w:p>
    <w:p w:rsidR="00000000" w:rsidDel="00000000" w:rsidP="00000000" w:rsidRDefault="00000000" w:rsidRPr="00000000" w14:paraId="000000F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hemodynamically unstable</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16"/>
          <w:szCs w:val="16"/>
          <w:shd w:fill="auto" w:val="clear"/>
          <w:vertAlign w:val="baseline"/>
        </w:rPr>
      </w:pPr>
      <w:r w:rsidDel="00000000" w:rsidR="00000000" w:rsidRPr="00000000">
        <w:rPr>
          <w:rFonts w:ascii="Tahoma" w:cs="Tahoma" w:eastAsia="Tahoma" w:hAnsi="Tahoma"/>
          <w:b w:val="1"/>
          <w:i w:val="0"/>
          <w:smallCaps w:val="0"/>
          <w:strike w:val="0"/>
          <w:color w:val="000000"/>
          <w:sz w:val="16"/>
          <w:szCs w:val="16"/>
          <w:shd w:fill="auto" w:val="clear"/>
          <w:vertAlign w:val="baseline"/>
          <w:rtl w:val="0"/>
        </w:rPr>
        <w:t xml:space="preserve">Pharmacologic treatment for opioid-induced side effects: </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For nausea or vomiting then, options for antiemetics are the following:</w:t>
      </w:r>
    </w:p>
    <w:p w:rsidR="00000000" w:rsidDel="00000000" w:rsidP="00000000" w:rsidRDefault="00000000" w:rsidRPr="00000000" w14:paraId="000000F6">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99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Ondansetron 0.1-0.2 mg/kg/dose Q8H, maximum of 8 mg/dose</w:t>
      </w:r>
    </w:p>
    <w:p w:rsidR="00000000" w:rsidDel="00000000" w:rsidP="00000000" w:rsidRDefault="00000000" w:rsidRPr="00000000" w14:paraId="000000F7">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40" w:lineRule="auto"/>
        <w:ind w:left="99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Dexamethasone 0.1-0.2 mg/kg/dose, Q8H, maximum of 8 mg/dose (if no contraindication)</w:t>
      </w:r>
    </w:p>
    <w:p w:rsidR="00000000" w:rsidDel="00000000" w:rsidP="00000000" w:rsidRDefault="00000000" w:rsidRPr="00000000" w14:paraId="000000F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99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Single or double antiemetics can be prescribed depending on the patient’s requirement.</w:t>
      </w:r>
    </w:p>
    <w:p w:rsidR="00000000" w:rsidDel="00000000" w:rsidP="00000000" w:rsidRDefault="00000000" w:rsidRPr="00000000" w14:paraId="000000F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99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If Ondansetron and Dexamethasone are not adequate, please refer to your consultant—possible options to add: scopolamine patch and antihistamines.</w:t>
      </w:r>
    </w:p>
    <w:p w:rsidR="00000000" w:rsidDel="00000000" w:rsidP="00000000" w:rsidRDefault="00000000" w:rsidRPr="00000000" w14:paraId="000000F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For constipation / Ileus for more than 24 hours, add laxatives (e.g. lactulose, senna)</w:t>
      </w:r>
    </w:p>
    <w:p w:rsidR="00000000" w:rsidDel="00000000" w:rsidP="00000000" w:rsidRDefault="00000000" w:rsidRPr="00000000" w14:paraId="000000F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Urinary retention ‐ consider catheterisation</w:t>
      </w:r>
    </w:p>
    <w:p w:rsidR="00000000" w:rsidDel="00000000" w:rsidP="00000000" w:rsidRDefault="00000000" w:rsidRPr="00000000" w14:paraId="000000F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Pr</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uritus ‐ add antihistamine / calamine/ </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Suubalm®</w:t>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99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PO</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options:</w:t>
      </w: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53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PO Cetirizine </w:t>
      </w:r>
      <w:r w:rsidDel="00000000" w:rsidR="00000000" w:rsidRPr="00000000">
        <w:rPr>
          <w:rFonts w:ascii="Tahoma" w:cs="Tahoma" w:eastAsia="Tahoma" w:hAnsi="Tahoma"/>
          <w:sz w:val="16"/>
          <w:szCs w:val="16"/>
          <w:rtl w:val="0"/>
        </w:rPr>
        <w:t xml:space="preserve">5 mg</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/ml (less sedating)</w:t>
      </w:r>
    </w:p>
    <w:p w:rsidR="00000000" w:rsidDel="00000000" w:rsidP="00000000" w:rsidRDefault="00000000" w:rsidRPr="00000000" w14:paraId="000000FF">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6 - &lt;24 months: 2.5 ml ON</w:t>
      </w:r>
    </w:p>
    <w:p w:rsidR="00000000" w:rsidDel="00000000" w:rsidP="00000000" w:rsidRDefault="00000000" w:rsidRPr="00000000" w14:paraId="00000100">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2 - &lt;6 years: 5ml ON</w:t>
      </w:r>
    </w:p>
    <w:p w:rsidR="00000000" w:rsidDel="00000000" w:rsidP="00000000" w:rsidRDefault="00000000" w:rsidRPr="00000000" w14:paraId="00000101">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&gt;= 6 years: 10 ml ON</w:t>
      </w:r>
    </w:p>
    <w:p w:rsidR="00000000" w:rsidDel="00000000" w:rsidP="00000000" w:rsidRDefault="00000000" w:rsidRPr="00000000" w14:paraId="00000102">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53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PO</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Diphenhydramine </w:t>
      </w:r>
      <w:r w:rsidDel="00000000" w:rsidR="00000000" w:rsidRPr="00000000">
        <w:rPr>
          <w:rFonts w:ascii="Tahoma" w:cs="Tahoma" w:eastAsia="Tahoma" w:hAnsi="Tahoma"/>
          <w:sz w:val="16"/>
          <w:szCs w:val="16"/>
          <w:rtl w:val="0"/>
        </w:rPr>
        <w:t xml:space="preserve">1 mg</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/kg/dose maximum of  50 mg Q8H to Q6H (more sedating)</w:t>
      </w: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99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IV</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options:</w:t>
      </w: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53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IV Diphenhydramine 1 mg/kg/dose maximum of  50 mg Q8H to Q6H (more sedating)</w:t>
      </w:r>
    </w:p>
    <w:p w:rsidR="00000000" w:rsidDel="00000000" w:rsidP="00000000" w:rsidRDefault="00000000" w:rsidRPr="00000000" w14:paraId="00000105">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53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If neither PO Cet</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irizine nor PO/IV Diphenhydramine relieves pruritic symptoms, please escalate to Naloxone (refer to the dosing below).</w:t>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Tahoma" w:cs="Tahoma" w:eastAsia="Tahoma" w:hAnsi="Tahoma"/>
          <w:sz w:val="16"/>
          <w:szCs w:val="16"/>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S</w:t>
      </w:r>
      <w:r w:rsidDel="00000000" w:rsidR="00000000" w:rsidRPr="00000000">
        <w:rPr>
          <w:rFonts w:ascii="Tahoma" w:cs="Tahoma" w:eastAsia="Tahoma" w:hAnsi="Tahoma"/>
          <w:sz w:val="16"/>
          <w:szCs w:val="16"/>
          <w:rtl w:val="0"/>
        </w:rPr>
        <w:t xml:space="preserve">edation ‐ monitor sedation score</w:t>
      </w:r>
    </w:p>
    <w:p w:rsidR="00000000" w:rsidDel="00000000" w:rsidP="00000000" w:rsidRDefault="00000000" w:rsidRPr="00000000" w14:paraId="0000010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Respiratory Depression ‐ monitor SpO2 and respiratory rate</w:t>
      </w:r>
    </w:p>
    <w:p w:rsidR="00000000" w:rsidDel="00000000" w:rsidP="00000000" w:rsidRDefault="00000000" w:rsidRPr="00000000" w14:paraId="0000010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Tolerance ‐ consider opioid rotation (refer Children’s Pain Service)</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Pr>
        <w:drawing>
          <wp:inline distB="0" distT="0" distL="0" distR="0">
            <wp:extent cx="3120073" cy="2266950"/>
            <wp:effectExtent b="0" l="0" r="0" t="0"/>
            <wp:docPr descr="A diagram of a flowchart&#10;&#10;Description automatically generated" id="1400627282" name="image1.png"/>
            <a:graphic>
              <a:graphicData uri="http://schemas.openxmlformats.org/drawingml/2006/picture">
                <pic:pic>
                  <pic:nvPicPr>
                    <pic:cNvPr descr="A diagram of a flowchart&#10;&#10;Description automatically generated" id="0" name="image1.png"/>
                    <pic:cNvPicPr preferRelativeResize="0"/>
                  </pic:nvPicPr>
                  <pic:blipFill>
                    <a:blip r:embed="rId15"/>
                    <a:srcRect b="0" l="0" r="0" t="0"/>
                    <a:stretch>
                      <a:fillRect/>
                    </a:stretch>
                  </pic:blipFill>
                  <pic:spPr>
                    <a:xfrm>
                      <a:off x="0" y="0"/>
                      <a:ext cx="3120073" cy="2266950"/>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sz w:val="16"/>
          <w:szCs w:val="16"/>
          <w:rtl w:val="0"/>
        </w:rPr>
        <w:t xml:space="preserve">Steps</w:t>
      </w: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 for Conversion of IV to Oral Opioid</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sz w:val="16"/>
          <w:szCs w:val="16"/>
        </w:rPr>
      </w:pPr>
      <w:r w:rsidDel="00000000" w:rsidR="00000000" w:rsidRPr="00000000">
        <w:rPr>
          <w:rtl w:val="0"/>
        </w:rPr>
      </w:r>
    </w:p>
    <w:tbl>
      <w:tblPr>
        <w:tblStyle w:val="Table6"/>
        <w:tblW w:w="4530.0" w:type="dxa"/>
        <w:jc w:val="left"/>
        <w:tblInd w:w="478.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0"/>
        <w:tblGridChange w:id="0">
          <w:tblGrid>
            <w:gridCol w:w="4530"/>
          </w:tblGrid>
        </w:tblGridChange>
      </w:tblGrid>
      <w:tr>
        <w:trPr>
          <w:cantSplit w:val="0"/>
          <w:trHeight w:val="905.2499999999999" w:hRule="atLeast"/>
          <w:tblHeader w:val="0"/>
        </w:trPr>
        <w:tc>
          <w:tcPr>
            <w:tcBorders>
              <w:top w:color="ffffff" w:space="0" w:sz="8" w:val="single"/>
              <w:left w:color="ffffff" w:space="0" w:sz="8" w:val="single"/>
              <w:bottom w:color="ffffff" w:space="0" w:sz="8" w:val="single"/>
              <w:right w:color="ffffff" w:space="0" w:sz="8" w:val="single"/>
            </w:tcBorders>
            <w:shd w:fill="d0d8e8" w:val="clear"/>
            <w:tcMar>
              <w:top w:w="54.0" w:type="dxa"/>
              <w:left w:w="108.0" w:type="dxa"/>
              <w:bottom w:w="54.0" w:type="dxa"/>
              <w:right w:w="108.0" w:type="dxa"/>
            </w:tcMar>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STEP 1: </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Determine the total 24-hour dose of current IV opioid.</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 w:right="165"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1"/>
                <w:smallCaps w:val="0"/>
                <w:strike w:val="0"/>
                <w:color w:val="000000"/>
                <w:sz w:val="16"/>
                <w:szCs w:val="16"/>
                <w:u w:val="none"/>
                <w:shd w:fill="auto" w:val="clear"/>
                <w:vertAlign w:val="baseline"/>
                <w:rtl w:val="0"/>
              </w:rPr>
              <w:t xml:space="preserve">Example: Total 24 hr </w:t>
            </w:r>
            <w:r w:rsidDel="00000000" w:rsidR="00000000" w:rsidRPr="00000000">
              <w:rPr>
                <w:rFonts w:ascii="Tahoma" w:cs="Tahoma" w:eastAsia="Tahoma" w:hAnsi="Tahoma"/>
                <w:b w:val="0"/>
                <w:i w:val="1"/>
                <w:smallCaps w:val="0"/>
                <w:strike w:val="0"/>
                <w:color w:val="000000"/>
                <w:sz w:val="16"/>
                <w:szCs w:val="16"/>
                <w:u w:val="none"/>
                <w:shd w:fill="auto" w:val="clear"/>
                <w:vertAlign w:val="baseline"/>
                <w:rtl w:val="0"/>
              </w:rPr>
              <w:t xml:space="preserve">usage</w:t>
            </w:r>
            <w:r w:rsidDel="00000000" w:rsidR="00000000" w:rsidRPr="00000000">
              <w:rPr>
                <w:rFonts w:ascii="Tahoma" w:cs="Tahoma" w:eastAsia="Tahoma" w:hAnsi="Tahoma"/>
                <w:b w:val="0"/>
                <w:i w:val="1"/>
                <w:smallCaps w:val="0"/>
                <w:strike w:val="0"/>
                <w:color w:val="000000"/>
                <w:sz w:val="16"/>
                <w:szCs w:val="16"/>
                <w:u w:val="none"/>
                <w:shd w:fill="auto" w:val="clear"/>
                <w:vertAlign w:val="baseline"/>
                <w:rtl w:val="0"/>
              </w:rPr>
              <w:t xml:space="preserve"> = </w:t>
            </w:r>
            <w:r w:rsidDel="00000000" w:rsidR="00000000" w:rsidRPr="00000000">
              <w:rPr>
                <w:rFonts w:ascii="Tahoma" w:cs="Tahoma" w:eastAsia="Tahoma" w:hAnsi="Tahoma"/>
                <w:i w:val="1"/>
                <w:sz w:val="16"/>
                <w:szCs w:val="16"/>
                <w:u w:val="single"/>
                <w:rtl w:val="0"/>
              </w:rPr>
              <w:t xml:space="preserve">16 mg</w:t>
            </w:r>
            <w:r w:rsidDel="00000000" w:rsidR="00000000" w:rsidRPr="00000000">
              <w:rPr>
                <w:rFonts w:ascii="Tahoma" w:cs="Tahoma" w:eastAsia="Tahoma" w:hAnsi="Tahoma"/>
                <w:b w:val="0"/>
                <w:i w:val="1"/>
                <w:smallCaps w:val="0"/>
                <w:strike w:val="0"/>
                <w:color w:val="000000"/>
                <w:sz w:val="16"/>
                <w:szCs w:val="16"/>
                <w:u w:val="none"/>
                <w:shd w:fill="auto" w:val="clear"/>
                <w:vertAlign w:val="baseline"/>
                <w:rtl w:val="0"/>
              </w:rPr>
              <w:t xml:space="preserve"> (IV Morphine)</w:t>
            </w:r>
            <w:r w:rsidDel="00000000" w:rsidR="00000000" w:rsidRPr="00000000">
              <w:rPr>
                <w:rtl w:val="0"/>
              </w:rPr>
            </w:r>
          </w:p>
        </w:tc>
      </w:tr>
      <w:tr>
        <w:trPr>
          <w:cantSplit w:val="0"/>
          <w:trHeight w:val="869" w:hRule="atLeast"/>
          <w:tblHeader w:val="0"/>
        </w:trPr>
        <w:tc>
          <w:tcPr>
            <w:tcBorders>
              <w:top w:color="ffffff" w:space="0" w:sz="8" w:val="single"/>
              <w:left w:color="ffffff" w:space="0" w:sz="8" w:val="single"/>
              <w:bottom w:color="ffffff" w:space="0" w:sz="8" w:val="single"/>
              <w:right w:color="ffffff" w:space="0" w:sz="8" w:val="single"/>
            </w:tcBorders>
            <w:shd w:fill="e9edf4" w:val="clear"/>
            <w:tcMar>
              <w:top w:w="54.0" w:type="dxa"/>
              <w:left w:w="108.0" w:type="dxa"/>
              <w:bottom w:w="54.0" w:type="dxa"/>
              <w:right w:w="108.0" w:type="dxa"/>
            </w:tcMar>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STEP 2: </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Calculate the 24-hour OME (Oral Morphine Equivalents). </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24-hour OME = 24-hour dose of current IV opioid x number of equianalgesic units in current opioid</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1"/>
                <w:smallCaps w:val="0"/>
                <w:strike w:val="0"/>
                <w:color w:val="000000"/>
                <w:sz w:val="16"/>
                <w:szCs w:val="16"/>
                <w:u w:val="none"/>
                <w:shd w:fill="auto" w:val="clear"/>
                <w:vertAlign w:val="baseline"/>
                <w:rtl w:val="0"/>
              </w:rPr>
              <w:t xml:space="preserve">Example: IV Morphine -&gt; PO Morphine (24-hour OME) : 16x3 = </w:t>
            </w:r>
            <w:r w:rsidDel="00000000" w:rsidR="00000000" w:rsidRPr="00000000">
              <w:rPr>
                <w:rFonts w:ascii="Tahoma" w:cs="Tahoma" w:eastAsia="Tahoma" w:hAnsi="Tahoma"/>
                <w:b w:val="0"/>
                <w:i w:val="1"/>
                <w:smallCaps w:val="0"/>
                <w:strike w:val="0"/>
                <w:color w:val="000000"/>
                <w:sz w:val="16"/>
                <w:szCs w:val="16"/>
                <w:u w:val="single"/>
                <w:shd w:fill="auto" w:val="clear"/>
                <w:vertAlign w:val="baseline"/>
                <w:rtl w:val="0"/>
              </w:rPr>
              <w:t xml:space="preserve">48mg</w:t>
            </w:r>
            <w:r w:rsidDel="00000000" w:rsidR="00000000" w:rsidRPr="00000000">
              <w:rPr>
                <w:rtl w:val="0"/>
              </w:rPr>
            </w:r>
          </w:p>
        </w:tc>
      </w:tr>
      <w:tr>
        <w:trPr>
          <w:cantSplit w:val="0"/>
          <w:trHeight w:val="777" w:hRule="atLeast"/>
          <w:tblHeader w:val="0"/>
        </w:trPr>
        <w:tc>
          <w:tcPr>
            <w:tcBorders>
              <w:top w:color="ffffff" w:space="0" w:sz="8" w:val="single"/>
              <w:left w:color="ffffff" w:space="0" w:sz="8" w:val="single"/>
              <w:bottom w:color="ffffff" w:space="0" w:sz="8" w:val="single"/>
              <w:right w:color="ffffff" w:space="0" w:sz="8" w:val="single"/>
            </w:tcBorders>
            <w:shd w:fill="d0d8e8" w:val="clear"/>
            <w:tcMar>
              <w:top w:w="54.0" w:type="dxa"/>
              <w:left w:w="108.0" w:type="dxa"/>
              <w:bottom w:w="54.0" w:type="dxa"/>
              <w:right w:w="108.0" w:type="dxa"/>
            </w:tcMar>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STEP 3: </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Convert to new opioid using the RATIO of the new opioid to PO Morphine.</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1"/>
                <w:smallCaps w:val="0"/>
                <w:strike w:val="0"/>
                <w:color w:val="000000"/>
                <w:sz w:val="16"/>
                <w:szCs w:val="16"/>
                <w:u w:val="none"/>
                <w:shd w:fill="auto" w:val="clear"/>
                <w:vertAlign w:val="baseline"/>
                <w:rtl w:val="0"/>
              </w:rPr>
              <w:t xml:space="preserve">Example: PO Morphine -&gt; PO Oxycodone: 48/1.5 = </w:t>
            </w:r>
            <w:r w:rsidDel="00000000" w:rsidR="00000000" w:rsidRPr="00000000">
              <w:rPr>
                <w:rFonts w:ascii="Tahoma" w:cs="Tahoma" w:eastAsia="Tahoma" w:hAnsi="Tahoma"/>
                <w:b w:val="0"/>
                <w:i w:val="1"/>
                <w:smallCaps w:val="0"/>
                <w:strike w:val="0"/>
                <w:color w:val="000000"/>
                <w:sz w:val="16"/>
                <w:szCs w:val="16"/>
                <w:u w:val="single"/>
                <w:shd w:fill="auto" w:val="clear"/>
                <w:vertAlign w:val="baseline"/>
                <w:rtl w:val="0"/>
              </w:rPr>
              <w:t xml:space="preserve">32mg</w:t>
            </w:r>
            <w:r w:rsidDel="00000000" w:rsidR="00000000" w:rsidRPr="00000000">
              <w:rPr>
                <w:rtl w:val="0"/>
              </w:rPr>
            </w:r>
          </w:p>
        </w:tc>
      </w:tr>
      <w:tr>
        <w:trPr>
          <w:cantSplit w:val="0"/>
          <w:trHeight w:val="1430" w:hRule="atLeast"/>
          <w:tblHeader w:val="0"/>
        </w:trPr>
        <w:tc>
          <w:tcPr>
            <w:tcBorders>
              <w:top w:color="ffffff" w:space="0" w:sz="8" w:val="single"/>
              <w:left w:color="ffffff" w:space="0" w:sz="8" w:val="single"/>
              <w:bottom w:color="ffffff" w:space="0" w:sz="8" w:val="single"/>
              <w:right w:color="ffffff" w:space="0" w:sz="8" w:val="single"/>
            </w:tcBorders>
            <w:shd w:fill="e9edf4" w:val="clear"/>
            <w:tcMar>
              <w:top w:w="54.0" w:type="dxa"/>
              <w:left w:w="108.0" w:type="dxa"/>
              <w:bottom w:w="54.0" w:type="dxa"/>
              <w:right w:w="108.0" w:type="dxa"/>
            </w:tcMar>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STEP 4: </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Adjust for incomplete cross-tolerance by decreasing the new drug dosage </w:t>
            </w:r>
            <w:r w:rsidDel="00000000" w:rsidR="00000000" w:rsidRPr="00000000">
              <w:rPr>
                <w:rFonts w:ascii="Tahoma" w:cs="Tahoma" w:eastAsia="Tahoma" w:hAnsi="Tahoma"/>
                <w:b w:val="0"/>
                <w:i w:val="0"/>
                <w:smallCaps w:val="0"/>
                <w:strike w:val="0"/>
                <w:color w:val="000000"/>
                <w:sz w:val="16"/>
                <w:szCs w:val="16"/>
                <w:u w:val="single"/>
                <w:shd w:fill="auto" w:val="clear"/>
                <w:vertAlign w:val="baseline"/>
                <w:rtl w:val="0"/>
              </w:rPr>
              <w:t xml:space="preserve">by 50% for opioid naïve acute pain patients, and 25% for chronic pain patients.</w:t>
            </w: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1"/>
                <w:smallCaps w:val="0"/>
                <w:strike w:val="0"/>
                <w:color w:val="000000"/>
                <w:sz w:val="16"/>
                <w:szCs w:val="16"/>
                <w:u w:val="none"/>
                <w:shd w:fill="auto" w:val="clear"/>
                <w:vertAlign w:val="baseline"/>
                <w:rtl w:val="0"/>
              </w:rPr>
              <w:t xml:space="preserve">Example: 50% reduction in dose to account for incomplete cross-tolerance = 0.5 x 32 = </w:t>
            </w:r>
            <w:r w:rsidDel="00000000" w:rsidR="00000000" w:rsidRPr="00000000">
              <w:rPr>
                <w:rFonts w:ascii="Tahoma" w:cs="Tahoma" w:eastAsia="Tahoma" w:hAnsi="Tahoma"/>
                <w:i w:val="1"/>
                <w:sz w:val="16"/>
                <w:szCs w:val="16"/>
                <w:u w:val="single"/>
                <w:rtl w:val="0"/>
              </w:rPr>
              <w:t xml:space="preserve">16 mg</w:t>
            </w:r>
            <w:r w:rsidDel="00000000" w:rsidR="00000000" w:rsidRPr="00000000">
              <w:rPr>
                <w:rFonts w:ascii="Tahoma" w:cs="Tahoma" w:eastAsia="Tahoma" w:hAnsi="Tahoma"/>
                <w:b w:val="0"/>
                <w:i w:val="1"/>
                <w:smallCaps w:val="0"/>
                <w:strike w:val="0"/>
                <w:color w:val="000000"/>
                <w:sz w:val="16"/>
                <w:szCs w:val="16"/>
                <w:u w:val="single"/>
                <w:shd w:fill="auto" w:val="clear"/>
                <w:vertAlign w:val="baseline"/>
                <w:rtl w:val="0"/>
              </w:rPr>
              <w:t xml:space="preserve"> Oxycodone</w:t>
            </w:r>
            <w:r w:rsidDel="00000000" w:rsidR="00000000" w:rsidRPr="00000000">
              <w:rPr>
                <w:rtl w:val="0"/>
              </w:rPr>
            </w:r>
          </w:p>
          <w:p w:rsidR="00000000" w:rsidDel="00000000" w:rsidP="00000000" w:rsidRDefault="00000000" w:rsidRPr="00000000" w14:paraId="0000011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Note that generally </w:t>
            </w:r>
            <w:r w:rsidDel="00000000" w:rsidR="00000000" w:rsidRPr="00000000">
              <w:rPr>
                <w:rFonts w:ascii="Tahoma" w:cs="Tahoma" w:eastAsia="Tahoma" w:hAnsi="Tahoma"/>
                <w:i w:val="0"/>
                <w:smallCaps w:val="0"/>
                <w:strike w:val="0"/>
                <w:color w:val="ff0000"/>
                <w:sz w:val="16"/>
                <w:szCs w:val="16"/>
                <w:u w:val="none"/>
                <w:shd w:fill="auto" w:val="clear"/>
                <w:vertAlign w:val="baseline"/>
                <w:rtl w:val="0"/>
              </w:rPr>
              <w:t xml:space="preserve">do not need </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to adjust for incomplete cross-tolerance when </w:t>
            </w:r>
            <w:r w:rsidDel="00000000" w:rsidR="00000000" w:rsidRPr="00000000">
              <w:rPr>
                <w:rFonts w:ascii="Tahoma" w:cs="Tahoma" w:eastAsia="Tahoma" w:hAnsi="Tahoma"/>
                <w:i w:val="0"/>
                <w:smallCaps w:val="0"/>
                <w:strike w:val="0"/>
                <w:color w:val="ff0000"/>
                <w:sz w:val="16"/>
                <w:szCs w:val="16"/>
                <w:u w:val="none"/>
                <w:shd w:fill="auto" w:val="clear"/>
                <w:vertAlign w:val="baseline"/>
                <w:rtl w:val="0"/>
              </w:rPr>
              <w:t xml:space="preserve">converting from different routes for the same drug</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such as from IV to PO morphine.</w:t>
            </w:r>
          </w:p>
        </w:tc>
      </w:tr>
      <w:tr>
        <w:trPr>
          <w:cantSplit w:val="0"/>
          <w:trHeight w:val="870" w:hRule="atLeast"/>
          <w:tblHeader w:val="0"/>
        </w:trPr>
        <w:tc>
          <w:tcPr>
            <w:tcBorders>
              <w:top w:color="ffffff" w:space="0" w:sz="8" w:val="single"/>
              <w:left w:color="ffffff" w:space="0" w:sz="8" w:val="single"/>
              <w:bottom w:color="ffffff" w:space="0" w:sz="8" w:val="single"/>
              <w:right w:color="ffffff" w:space="0" w:sz="8" w:val="single"/>
            </w:tcBorders>
            <w:shd w:fill="d0d8e8" w:val="clear"/>
            <w:tcMar>
              <w:top w:w="54.0" w:type="dxa"/>
              <w:left w:w="108.0" w:type="dxa"/>
              <w:bottom w:w="54.0" w:type="dxa"/>
              <w:right w:w="108.0" w:type="dxa"/>
            </w:tcMar>
          </w:tcPr>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STEP 5: </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Divide the new 24-hour opioid dose by the number of times the drug is to be given per day. This is determined by the duration of action and formulation.</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1"/>
                <w:smallCaps w:val="0"/>
                <w:strike w:val="0"/>
                <w:color w:val="000000"/>
                <w:sz w:val="16"/>
                <w:szCs w:val="16"/>
                <w:u w:val="none"/>
                <w:shd w:fill="auto" w:val="clear"/>
                <w:vertAlign w:val="baseline"/>
                <w:rtl w:val="0"/>
              </w:rPr>
              <w:t xml:space="preserve">Example: Regular doses 16 mg/4 = </w:t>
            </w:r>
            <w:r w:rsidDel="00000000" w:rsidR="00000000" w:rsidRPr="00000000">
              <w:rPr>
                <w:rFonts w:ascii="Tahoma" w:cs="Tahoma" w:eastAsia="Tahoma" w:hAnsi="Tahoma"/>
                <w:i w:val="1"/>
                <w:sz w:val="16"/>
                <w:szCs w:val="16"/>
                <w:u w:val="single"/>
                <w:rtl w:val="0"/>
              </w:rPr>
              <w:t xml:space="preserve">4 mg</w:t>
            </w:r>
            <w:r w:rsidDel="00000000" w:rsidR="00000000" w:rsidRPr="00000000">
              <w:rPr>
                <w:rFonts w:ascii="Tahoma" w:cs="Tahoma" w:eastAsia="Tahoma" w:hAnsi="Tahoma"/>
                <w:b w:val="0"/>
                <w:i w:val="1"/>
                <w:smallCaps w:val="0"/>
                <w:strike w:val="0"/>
                <w:color w:val="000000"/>
                <w:sz w:val="16"/>
                <w:szCs w:val="16"/>
                <w:u w:val="single"/>
                <w:shd w:fill="auto" w:val="clear"/>
                <w:vertAlign w:val="baseline"/>
                <w:rtl w:val="0"/>
              </w:rPr>
              <w:t xml:space="preserve"> Q6h </w:t>
            </w:r>
            <w:r w:rsidDel="00000000" w:rsidR="00000000" w:rsidRPr="00000000">
              <w:rPr>
                <w:rtl w:val="0"/>
              </w:rPr>
            </w:r>
          </w:p>
        </w:tc>
      </w:tr>
    </w:tbl>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ahoma" w:cs="Tahoma" w:eastAsia="Tahoma" w:hAnsi="Tahoma"/>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Important</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Considerations:</w:t>
      </w: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99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If the calculated conversion dose is less than the recommended dose for the opioids, please prescribe according to the opioid recommended starting dose:</w:t>
      </w:r>
    </w:p>
    <w:p w:rsidR="00000000" w:rsidDel="00000000" w:rsidP="00000000" w:rsidRDefault="00000000" w:rsidRPr="00000000" w14:paraId="0000011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99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Oxycodone 0.1-0.2 mg/kg Q6H Maximum 10 mg **</w:t>
      </w:r>
    </w:p>
    <w:p w:rsidR="00000000" w:rsidDel="00000000" w:rsidP="00000000" w:rsidRDefault="00000000" w:rsidRPr="00000000" w14:paraId="0000011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99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Morphine 0.2-0.3 mg/kg Q4-6H Maximum 10 mg ** </w:t>
      </w:r>
    </w:p>
    <w:p w:rsidR="00000000" w:rsidDel="00000000" w:rsidP="00000000" w:rsidRDefault="00000000" w:rsidRPr="00000000" w14:paraId="0000011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990" w:right="0" w:hanging="360"/>
        <w:jc w:val="both"/>
        <w:rPr>
          <w:rFonts w:ascii="Tahoma" w:cs="Tahoma" w:eastAsia="Tahoma" w:hAnsi="Tahoma"/>
          <w:color w:val="ff0000"/>
          <w:sz w:val="16"/>
          <w:szCs w:val="16"/>
        </w:rPr>
      </w:pPr>
      <w:r w:rsidDel="00000000" w:rsidR="00000000" w:rsidRPr="00000000">
        <w:rPr>
          <w:rFonts w:ascii="Tahoma" w:cs="Tahoma" w:eastAsia="Tahoma" w:hAnsi="Tahoma"/>
          <w:color w:val="ff0000"/>
          <w:sz w:val="16"/>
          <w:szCs w:val="16"/>
          <w:rtl w:val="0"/>
        </w:rPr>
        <w:t xml:space="preserve">Adjust</w:t>
      </w:r>
      <w:r w:rsidDel="00000000" w:rsidR="00000000" w:rsidRPr="00000000">
        <w:rPr>
          <w:rFonts w:ascii="Tahoma" w:cs="Tahoma" w:eastAsia="Tahoma" w:hAnsi="Tahoma"/>
          <w:i w:val="0"/>
          <w:smallCaps w:val="0"/>
          <w:strike w:val="0"/>
          <w:color w:val="ff0000"/>
          <w:sz w:val="16"/>
          <w:szCs w:val="16"/>
          <w:u w:val="none"/>
          <w:shd w:fill="auto" w:val="clear"/>
          <w:vertAlign w:val="baseline"/>
          <w:rtl w:val="0"/>
        </w:rPr>
        <w:t xml:space="preserve"> for current level of pain:</w:t>
      </w: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1346.4566929133857" w:right="0" w:hanging="359.9999999999999"/>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Moderate</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pain (4-6/ 10) </w:t>
      </w:r>
      <w:r w:rsidDel="00000000" w:rsidR="00000000" w:rsidRPr="00000000">
        <w:rPr>
          <w:rFonts w:ascii="Tahoma" w:cs="Tahoma" w:eastAsia="Tahoma" w:hAnsi="Tahoma"/>
          <w:b w:val="0"/>
          <w:i w:val="0"/>
          <w:smallCaps w:val="0"/>
          <w:strike w:val="0"/>
          <w:color w:val="000000"/>
          <w:sz w:val="16"/>
          <w:szCs w:val="16"/>
          <w:u w:val="single"/>
          <w:shd w:fill="auto" w:val="clear"/>
          <w:vertAlign w:val="baseline"/>
          <w:rtl w:val="0"/>
        </w:rPr>
        <w:t xml:space="preserve">increase the calculated dose by 25-50%</w:t>
      </w: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1346.4566929133857" w:right="0" w:hanging="359.9999999999999"/>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Severe</w:t>
      </w:r>
      <w:r w:rsidDel="00000000" w:rsidR="00000000" w:rsidRPr="00000000">
        <w:rPr>
          <w:rFonts w:ascii="Tahoma" w:cs="Tahoma" w:eastAsia="Tahoma" w:hAnsi="Tahoma"/>
          <w:sz w:val="16"/>
          <w:szCs w:val="16"/>
          <w:rtl w:val="0"/>
        </w:rPr>
        <w:t xml:space="preserve">/uncontrolled pain (7-10/ 10) </w:t>
      </w:r>
      <w:r w:rsidDel="00000000" w:rsidR="00000000" w:rsidRPr="00000000">
        <w:rPr>
          <w:rFonts w:ascii="Tahoma" w:cs="Tahoma" w:eastAsia="Tahoma" w:hAnsi="Tahoma"/>
          <w:sz w:val="16"/>
          <w:szCs w:val="16"/>
          <w:rtl w:val="0"/>
        </w:rPr>
        <w:t xml:space="preserve">increase calculated dose by 50-100%</w:t>
      </w:r>
    </w:p>
    <w:p w:rsidR="00000000" w:rsidDel="00000000" w:rsidP="00000000" w:rsidRDefault="00000000" w:rsidRPr="00000000" w14:paraId="00000122">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1346.4566929133857" w:right="0" w:hanging="359.9999999999999"/>
        <w:jc w:val="both"/>
        <w:rPr>
          <w:rFonts w:ascii="Tahoma" w:cs="Tahoma" w:eastAsia="Tahoma" w:hAnsi="Tahoma"/>
          <w:color w:val="ff0000"/>
          <w:sz w:val="16"/>
          <w:szCs w:val="16"/>
        </w:rPr>
      </w:pPr>
      <w:r w:rsidDel="00000000" w:rsidR="00000000" w:rsidRPr="00000000">
        <w:rPr>
          <w:rFonts w:ascii="Tahoma" w:cs="Tahoma" w:eastAsia="Tahoma" w:hAnsi="Tahoma"/>
          <w:color w:val="ff0000"/>
          <w:sz w:val="16"/>
          <w:szCs w:val="16"/>
          <w:rtl w:val="0"/>
        </w:rPr>
        <w:t xml:space="preserve">Please do not exceed the maximum allowable dose**</w:t>
      </w:r>
    </w:p>
    <w:p w:rsidR="00000000" w:rsidDel="00000000" w:rsidP="00000000" w:rsidRDefault="00000000" w:rsidRPr="00000000" w14:paraId="0000012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99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Consider</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w:t>
      </w:r>
      <w:r w:rsidDel="00000000" w:rsidR="00000000" w:rsidRPr="00000000">
        <w:rPr>
          <w:rFonts w:ascii="Tahoma" w:cs="Tahoma" w:eastAsia="Tahoma" w:hAnsi="Tahoma"/>
          <w:i w:val="0"/>
          <w:smallCaps w:val="0"/>
          <w:strike w:val="0"/>
          <w:color w:val="ff0000"/>
          <w:sz w:val="16"/>
          <w:szCs w:val="16"/>
          <w:u w:val="none"/>
          <w:shd w:fill="auto" w:val="clear"/>
          <w:vertAlign w:val="baseline"/>
          <w:rtl w:val="0"/>
        </w:rPr>
        <w:t xml:space="preserve">breakthrough doses</w:t>
      </w: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for uncontrolled or episodic pain.</w:t>
      </w: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99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10</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of the </w:t>
      </w:r>
      <w:r w:rsidDel="00000000" w:rsidR="00000000" w:rsidRPr="00000000">
        <w:rPr>
          <w:rFonts w:ascii="Tahoma" w:cs="Tahoma" w:eastAsia="Tahoma" w:hAnsi="Tahoma"/>
          <w:sz w:val="16"/>
          <w:szCs w:val="16"/>
          <w:rtl w:val="0"/>
        </w:rPr>
        <w:t xml:space="preserve">24 H</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computed dose Q3H</w:t>
      </w:r>
      <w:r w:rsidDel="00000000" w:rsidR="00000000" w:rsidRPr="00000000">
        <w:rPr>
          <w:rFonts w:ascii="Tahoma" w:cs="Tahoma" w:eastAsia="Tahoma" w:hAnsi="Tahoma"/>
          <w:sz w:val="16"/>
          <w:szCs w:val="16"/>
          <w:rtl w:val="0"/>
        </w:rPr>
        <w:t xml:space="preserve">. </w:t>
      </w:r>
      <w:r w:rsidDel="00000000" w:rsidR="00000000" w:rsidRPr="00000000">
        <w:rPr>
          <w:rFonts w:ascii="Tahoma" w:cs="Tahoma" w:eastAsia="Tahoma" w:hAnsi="Tahoma"/>
          <w:sz w:val="16"/>
          <w:szCs w:val="16"/>
          <w:rtl w:val="0"/>
        </w:rPr>
        <w:t xml:space="preserve">Example</w:t>
      </w:r>
      <w:sdt>
        <w:sdtPr>
          <w:tag w:val="goog_rdk_1"/>
        </w:sdtPr>
        <w:sdtContent>
          <w:r w:rsidDel="00000000" w:rsidR="00000000" w:rsidRPr="00000000">
            <w:rPr>
              <w:rFonts w:ascii="Arial Unicode MS" w:cs="Arial Unicode MS" w:eastAsia="Arial Unicode MS" w:hAnsi="Arial Unicode MS"/>
              <w:b w:val="0"/>
              <w:smallCaps w:val="0"/>
              <w:strike w:val="0"/>
              <w:sz w:val="16"/>
              <w:szCs w:val="16"/>
              <w:u w:val="none"/>
              <w:shd w:fill="auto" w:val="clear"/>
              <w:vertAlign w:val="baseline"/>
              <w:rtl w:val="0"/>
            </w:rPr>
            <w:t xml:space="preserve">: 10% of 16mg = 1.6mg ≈ </w:t>
          </w:r>
        </w:sdtContent>
      </w:sdt>
      <w:r w:rsidDel="00000000" w:rsidR="00000000" w:rsidRPr="00000000">
        <w:rPr>
          <w:rFonts w:ascii="Tahoma" w:cs="Tahoma" w:eastAsia="Tahoma" w:hAnsi="Tahoma"/>
          <w:b w:val="0"/>
          <w:smallCaps w:val="0"/>
          <w:strike w:val="0"/>
          <w:sz w:val="16"/>
          <w:szCs w:val="16"/>
          <w:u w:val="single"/>
          <w:shd w:fill="auto" w:val="clear"/>
          <w:vertAlign w:val="baseline"/>
          <w:rtl w:val="0"/>
        </w:rPr>
        <w:t xml:space="preserve">1.5mg q3H PRN</w:t>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99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Account</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for renal and liver dysfunction and drug interactions.</w:t>
      </w:r>
      <w:r w:rsidDel="00000000" w:rsidR="00000000" w:rsidRPr="00000000">
        <w:rPr>
          <w:rtl w:val="0"/>
        </w:rPr>
      </w:r>
    </w:p>
    <w:p w:rsidR="00000000" w:rsidDel="00000000" w:rsidP="00000000" w:rsidRDefault="00000000" w:rsidRPr="00000000" w14:paraId="00000126">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16"/>
          <w:szCs w:val="16"/>
          <w:shd w:fill="auto" w:val="clear"/>
          <w:vertAlign w:val="baseline"/>
        </w:rPr>
      </w:pPr>
      <w:r w:rsidDel="00000000" w:rsidR="00000000" w:rsidRPr="00000000">
        <w:rPr>
          <w:rFonts w:ascii="Tahoma" w:cs="Tahoma" w:eastAsia="Tahoma" w:hAnsi="Tahoma"/>
          <w:b w:val="1"/>
          <w:i w:val="0"/>
          <w:smallCaps w:val="0"/>
          <w:strike w:val="0"/>
          <w:color w:val="000000"/>
          <w:sz w:val="16"/>
          <w:szCs w:val="16"/>
          <w:shd w:fill="auto" w:val="clear"/>
          <w:vertAlign w:val="baseline"/>
          <w:rtl w:val="0"/>
        </w:rPr>
        <w:t xml:space="preserve">Special Precautions:</w:t>
      </w:r>
    </w:p>
    <w:p w:rsidR="00000000" w:rsidDel="00000000" w:rsidP="00000000" w:rsidRDefault="00000000" w:rsidRPr="00000000" w14:paraId="00000128">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Do NOT use codeine* due to inter‐individual variation in metabolism to morphine. Risk of overdose.</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Codeine and Tramadol have FDA contraindication. The latter to be used with caution and only on advice of a pain physician.</w:t>
      </w:r>
    </w:p>
    <w:p w:rsidR="00000000" w:rsidDel="00000000" w:rsidP="00000000" w:rsidRDefault="00000000" w:rsidRPr="00000000" w14:paraId="0000012B">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16"/>
          <w:szCs w:val="16"/>
          <w:shd w:fill="auto" w:val="clear"/>
          <w:vertAlign w:val="baseline"/>
        </w:rPr>
      </w:pPr>
      <w:r w:rsidDel="00000000" w:rsidR="00000000" w:rsidRPr="00000000">
        <w:rPr>
          <w:rFonts w:ascii="Tahoma" w:cs="Tahoma" w:eastAsia="Tahoma" w:hAnsi="Tahoma"/>
          <w:b w:val="1"/>
          <w:i w:val="0"/>
          <w:smallCaps w:val="0"/>
          <w:strike w:val="0"/>
          <w:color w:val="000000"/>
          <w:sz w:val="16"/>
          <w:szCs w:val="16"/>
          <w:shd w:fill="auto" w:val="clear"/>
          <w:vertAlign w:val="baseline"/>
          <w:rtl w:val="0"/>
        </w:rPr>
        <w:t xml:space="preserve">Adverse effects: </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Young and obese children with a history of obstructive sleep apnea are at higher risk of developing serious opioid-induced ventilatory impairment and death. Safety of oral codeine in children is unpredictable due to genetic differences in the metabolism and should not be used in children, particularly after tonsillectomy and adenoidectomy due to an increased risk of opioid-induced ventilatory impairment and death. Postoperative opioid therapy in children and adolescents may lead to long term opioid use and misuse in later life. Risk factors include type of surgery, psychological and social factors and other substance abuse. Adverse drug events in children and adolescents sent home with prescription opioids are common. A sensible approach should be used in prescribing discharge opioids, with consideration for child’s anticipated opioid requirements. The tablet number/volume of opioid solution should be judicious and </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individualised</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Carer/parental/patient education is necessary about risks of opioids and how to safely dispose of unused medications and should ideally be both verbal and written.</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16"/>
          <w:szCs w:val="16"/>
          <w:u w:val="single"/>
        </w:rPr>
      </w:pPr>
      <w:r w:rsidDel="00000000" w:rsidR="00000000" w:rsidRPr="00000000">
        <w:br w:type="page"/>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16"/>
          <w:szCs w:val="16"/>
          <w:shd w:fill="auto" w:val="clear"/>
          <w:vertAlign w:val="baseline"/>
        </w:rPr>
      </w:pPr>
      <w:r w:rsidDel="00000000" w:rsidR="00000000" w:rsidRPr="00000000">
        <w:rPr>
          <w:rFonts w:ascii="Tahoma" w:cs="Tahoma" w:eastAsia="Tahoma" w:hAnsi="Tahoma"/>
          <w:b w:val="1"/>
          <w:i w:val="0"/>
          <w:smallCaps w:val="0"/>
          <w:strike w:val="0"/>
          <w:color w:val="000000"/>
          <w:sz w:val="16"/>
          <w:szCs w:val="16"/>
          <w:shd w:fill="auto" w:val="clear"/>
          <w:vertAlign w:val="baseline"/>
          <w:rtl w:val="0"/>
        </w:rPr>
        <w:t xml:space="preserve">Opioid overdose</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6"/>
          <w:szCs w:val="16"/>
          <w:u w:val="single"/>
          <w:shd w:fill="auto" w:val="clear"/>
          <w:vertAlign w:val="baseline"/>
        </w:rPr>
      </w:pPr>
      <w:r w:rsidDel="00000000" w:rsidR="00000000" w:rsidRPr="00000000">
        <w:rPr>
          <w:rFonts w:ascii="Tahoma" w:cs="Tahoma" w:eastAsia="Tahoma" w:hAnsi="Tahoma"/>
          <w:b w:val="0"/>
          <w:i w:val="0"/>
          <w:smallCaps w:val="0"/>
          <w:strike w:val="0"/>
          <w:color w:val="000000"/>
          <w:sz w:val="16"/>
          <w:szCs w:val="16"/>
          <w:u w:val="single"/>
          <w:shd w:fill="auto" w:val="clear"/>
          <w:vertAlign w:val="baseline"/>
          <w:rtl w:val="0"/>
        </w:rPr>
        <w:t xml:space="preserve">In Event of Opioid Overdose</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Observe the following symptoms or signs:</w:t>
      </w:r>
    </w:p>
    <w:p w:rsidR="00000000" w:rsidDel="00000000" w:rsidP="00000000" w:rsidRDefault="00000000" w:rsidRPr="00000000" w14:paraId="000001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Oversedation</w:t>
      </w:r>
    </w:p>
    <w:p w:rsidR="00000000" w:rsidDel="00000000" w:rsidP="00000000" w:rsidRDefault="00000000" w:rsidRPr="00000000" w14:paraId="000001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Miosis</w:t>
      </w:r>
    </w:p>
    <w:p w:rsidR="00000000" w:rsidDel="00000000" w:rsidP="00000000" w:rsidRDefault="00000000" w:rsidRPr="00000000" w14:paraId="000001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Hypoventilation</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DO NOT LEAVE THE PATIENT ALONE</w:t>
      </w:r>
    </w:p>
    <w:p w:rsidR="00000000" w:rsidDel="00000000" w:rsidP="00000000" w:rsidRDefault="00000000" w:rsidRPr="00000000" w14:paraId="0000013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Conduct airway, breathing, and circulation check.</w:t>
      </w:r>
    </w:p>
    <w:p w:rsidR="00000000" w:rsidDel="00000000" w:rsidP="00000000" w:rsidRDefault="00000000" w:rsidRPr="00000000" w14:paraId="0000013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Call for help as soon as possible.</w:t>
      </w:r>
    </w:p>
    <w:p w:rsidR="00000000" w:rsidDel="00000000" w:rsidP="00000000" w:rsidRDefault="00000000" w:rsidRPr="00000000" w14:paraId="0000013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16"/>
          <w:szCs w:val="16"/>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Administer NALOXONE in the following cases:</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Pr>
        <w:drawing>
          <wp:inline distB="0" distT="0" distL="0" distR="0">
            <wp:extent cx="3296920" cy="1950720"/>
            <wp:effectExtent b="0" l="0" r="0" t="0"/>
            <wp:docPr descr="A close-up of a chart&#10;&#10;Description automatically generated" id="1400627281" name="image3.png"/>
            <a:graphic>
              <a:graphicData uri="http://schemas.openxmlformats.org/drawingml/2006/picture">
                <pic:pic>
                  <pic:nvPicPr>
                    <pic:cNvPr descr="A close-up of a chart&#10;&#10;Description automatically generated" id="0" name="image3.png"/>
                    <pic:cNvPicPr preferRelativeResize="0"/>
                  </pic:nvPicPr>
                  <pic:blipFill>
                    <a:blip r:embed="rId16"/>
                    <a:srcRect b="0" l="0" r="0" t="0"/>
                    <a:stretch>
                      <a:fillRect/>
                    </a:stretch>
                  </pic:blipFill>
                  <pic:spPr>
                    <a:xfrm>
                      <a:off x="0" y="0"/>
                      <a:ext cx="3296920" cy="195072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jc w:val="both"/>
        <w:rPr>
          <w:rFonts w:ascii="Tahoma" w:cs="Tahoma" w:eastAsia="Tahoma" w:hAnsi="Tahoma"/>
          <w:sz w:val="16"/>
          <w:szCs w:val="16"/>
        </w:rPr>
      </w:pPr>
      <w:r w:rsidDel="00000000" w:rsidR="00000000" w:rsidRPr="00000000">
        <w:rPr>
          <w:rtl w:val="0"/>
        </w:rPr>
      </w:r>
    </w:p>
    <w:sectPr>
      <w:type w:val="nextPage"/>
      <w:pgSz w:h="8640" w:w="5760" w:orient="portrait"/>
      <w:pgMar w:bottom="567" w:top="567" w:left="284" w:right="284" w:header="284" w:footer="28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Arial Unicode MS"/>
  <w:font w:name="Comic Sans MS"/>
  <w:font w:name="Courier New"/>
  <w:font w:name="Tahoma">
    <w:embedRegular w:fontKey="{00000000-0000-0000-0000-000000000000}" r:id="rId1" w:subsetted="0"/>
    <w:embedBold w:fontKey="{00000000-0000-0000-0000-000000000000}" r:id="rId2" w:subsetted="0"/>
  </w:font>
  <w:font w:name="Permanent Marker">
    <w:embedRegular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4">
    <w:pPr>
      <w:pBdr>
        <w:top w:space="0" w:sz="0" w:val="nil"/>
        <w:left w:space="0" w:sz="0" w:val="nil"/>
        <w:bottom w:space="0" w:sz="0" w:val="nil"/>
        <w:right w:space="0" w:sz="0" w:val="nil"/>
        <w:between w:space="0" w:sz="0" w:val="nil"/>
      </w:pBdr>
      <w:tabs>
        <w:tab w:val="center" w:leader="none" w:pos="4320"/>
        <w:tab w:val="right" w:leader="none" w:pos="8640"/>
      </w:tabs>
      <w:jc w:val="center"/>
      <w:rPr>
        <w:rFonts w:ascii="Comic Sans MS" w:cs="Comic Sans MS" w:eastAsia="Comic Sans MS" w:hAnsi="Comic Sans MS"/>
        <w:b w:val="1"/>
        <w:color w:val="666699"/>
        <w:sz w:val="14"/>
        <w:szCs w:val="14"/>
      </w:rPr>
    </w:pPr>
    <w:r w:rsidDel="00000000" w:rsidR="00000000" w:rsidRPr="00000000">
      <w:rPr>
        <w:rFonts w:ascii="Comic Sans MS" w:cs="Comic Sans MS" w:eastAsia="Comic Sans MS" w:hAnsi="Comic Sans MS"/>
        <w:b w:val="1"/>
        <w:color w:val="666699"/>
        <w:sz w:val="14"/>
        <w:szCs w:val="1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tabs>
        <w:tab w:val="center" w:leader="none" w:pos="4320"/>
        <w:tab w:val="right" w:leader="none" w:pos="8640"/>
      </w:tabs>
      <w:rPr>
        <w:rFonts w:ascii="Comic Sans MS" w:cs="Comic Sans MS" w:eastAsia="Comic Sans MS" w:hAnsi="Comic Sans MS"/>
        <w:color w:val="000000"/>
        <w:sz w:val="14"/>
        <w:szCs w:val="1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6">
    <w:pPr>
      <w:pBdr>
        <w:top w:space="0" w:sz="0" w:val="nil"/>
        <w:left w:space="0" w:sz="0" w:val="nil"/>
        <w:bottom w:space="0" w:sz="0" w:val="nil"/>
        <w:right w:space="0" w:sz="0" w:val="nil"/>
        <w:between w:space="0" w:sz="0" w:val="nil"/>
      </w:pBdr>
      <w:tabs>
        <w:tab w:val="center" w:leader="none" w:pos="4320"/>
        <w:tab w:val="right" w:leader="none" w:pos="8640"/>
      </w:tabs>
      <w:jc w:val="center"/>
      <w:rPr>
        <w:rFonts w:ascii="Comic Sans MS" w:cs="Comic Sans MS" w:eastAsia="Comic Sans MS" w:hAnsi="Comic Sans MS"/>
        <w:b w:val="1"/>
        <w:color w:val="666699"/>
        <w:sz w:val="14"/>
        <w:szCs w:val="14"/>
      </w:rPr>
    </w:pPr>
    <w:r w:rsidDel="00000000" w:rsidR="00000000" w:rsidRPr="00000000">
      <w:rPr>
        <w:rFonts w:ascii="Comic Sans MS" w:cs="Comic Sans MS" w:eastAsia="Comic Sans MS" w:hAnsi="Comic Sans MS"/>
        <w:b w:val="1"/>
        <w:color w:val="666699"/>
        <w:sz w:val="14"/>
        <w:szCs w:val="1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tabs>
        <w:tab w:val="center" w:leader="none" w:pos="4320"/>
        <w:tab w:val="right" w:leader="none" w:pos="8640"/>
      </w:tabs>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8">
    <w:pPr>
      <w:pBdr>
        <w:top w:space="0" w:sz="0" w:val="nil"/>
        <w:left w:space="0" w:sz="0" w:val="nil"/>
        <w:bottom w:space="0" w:sz="0" w:val="nil"/>
        <w:right w:space="0" w:sz="0" w:val="nil"/>
        <w:between w:space="0" w:sz="0" w:val="nil"/>
      </w:pBdr>
      <w:tabs>
        <w:tab w:val="center" w:leader="none" w:pos="4320"/>
        <w:tab w:val="right" w:leader="none" w:pos="864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0">
    <w:pPr>
      <w:pBdr>
        <w:top w:space="0" w:sz="0" w:val="nil"/>
        <w:left w:space="0" w:sz="0" w:val="nil"/>
        <w:bottom w:space="0" w:sz="0" w:val="nil"/>
        <w:right w:space="0" w:sz="0" w:val="nil"/>
        <w:between w:space="0" w:sz="0" w:val="nil"/>
      </w:pBdr>
      <w:tabs>
        <w:tab w:val="center" w:leader="none" w:pos="4320"/>
        <w:tab w:val="right" w:leader="none" w:pos="8640"/>
      </w:tabs>
      <w:rPr>
        <w:rFonts w:ascii="Arial" w:cs="Arial" w:eastAsia="Arial" w:hAnsi="Arial"/>
        <w:color w:val="000000"/>
        <w:sz w:val="22"/>
        <w:szCs w:val="2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1">
    <w:pPr>
      <w:pBdr>
        <w:top w:space="0" w:sz="0" w:val="nil"/>
        <w:left w:space="0" w:sz="0" w:val="nil"/>
        <w:bottom w:space="0" w:sz="0" w:val="nil"/>
        <w:right w:space="0" w:sz="0" w:val="nil"/>
        <w:between w:space="0" w:sz="0" w:val="nil"/>
      </w:pBdr>
      <w:tabs>
        <w:tab w:val="center" w:leader="none" w:pos="4320"/>
        <w:tab w:val="right" w:leader="none" w:pos="8640"/>
      </w:tabs>
      <w:jc w:val="center"/>
      <w:rPr>
        <w:rFonts w:ascii="Permanent Marker" w:cs="Permanent Marker" w:eastAsia="Permanent Marker" w:hAnsi="Permanent Marker"/>
        <w:b w:val="1"/>
        <w:smallCaps w:val="1"/>
        <w:color w:val="808080"/>
        <w:sz w:val="16"/>
        <w:szCs w:val="16"/>
      </w:rPr>
    </w:pPr>
    <w:bookmarkStart w:colFirst="0" w:colLast="0" w:name="_heading=h.gjdgxs" w:id="0"/>
    <w:bookmarkEnd w:id="0"/>
    <w:r w:rsidDel="00000000" w:rsidR="00000000" w:rsidRPr="00000000">
      <w:rPr>
        <w:rFonts w:ascii="Permanent Marker" w:cs="Permanent Marker" w:eastAsia="Permanent Marker" w:hAnsi="Permanent Marker"/>
        <w:b w:val="1"/>
        <w:smallCaps w:val="1"/>
        <w:color w:val="808080"/>
        <w:sz w:val="16"/>
        <w:szCs w:val="16"/>
        <w:rtl w:val="0"/>
      </w:rPr>
      <w:t xml:space="preserve">Paediatric</w:t>
    </w:r>
    <w:r w:rsidDel="00000000" w:rsidR="00000000" w:rsidRPr="00000000">
      <w:rPr>
        <w:rFonts w:ascii="Permanent Marker" w:cs="Permanent Marker" w:eastAsia="Permanent Marker" w:hAnsi="Permanent Marker"/>
        <w:b w:val="1"/>
        <w:smallCaps w:val="1"/>
        <w:color w:val="808080"/>
        <w:sz w:val="16"/>
        <w:szCs w:val="16"/>
        <w:rtl w:val="0"/>
      </w:rPr>
      <w:t xml:space="preserve"> </w:t>
    </w:r>
    <w:r w:rsidDel="00000000" w:rsidR="00000000" w:rsidRPr="00000000">
      <w:rPr>
        <w:rFonts w:ascii="Permanent Marker" w:cs="Permanent Marker" w:eastAsia="Permanent Marker" w:hAnsi="Permanent Marker"/>
        <w:b w:val="1"/>
        <w:smallCaps w:val="1"/>
        <w:color w:val="808080"/>
        <w:sz w:val="16"/>
        <w:szCs w:val="16"/>
        <w:rtl w:val="0"/>
      </w:rPr>
      <w:t xml:space="preserve">Anaesthesia</w:t>
    </w: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tabs>
        <w:tab w:val="center" w:leader="none" w:pos="4320"/>
        <w:tab w:val="right" w:leader="none" w:pos="8640"/>
      </w:tabs>
      <w:jc w:val="center"/>
      <w:rPr>
        <w:rFonts w:ascii="Permanent Marker" w:cs="Permanent Marker" w:eastAsia="Permanent Marker" w:hAnsi="Permanent Marker"/>
        <w:b w:val="1"/>
        <w:smallCaps w:val="1"/>
        <w:color w:val="808080"/>
        <w:sz w:val="16"/>
        <w:szCs w:val="16"/>
      </w:rPr>
    </w:pPr>
    <w:bookmarkStart w:colFirst="0" w:colLast="0" w:name="_heading=h.qt38yoh1bii8" w:id="1"/>
    <w:bookmarkEnd w:id="1"/>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3">
    <w:pPr>
      <w:pBdr>
        <w:top w:space="0" w:sz="0" w:val="nil"/>
        <w:left w:space="0" w:sz="0" w:val="nil"/>
        <w:bottom w:space="0" w:sz="0" w:val="nil"/>
        <w:right w:space="0" w:sz="0" w:val="nil"/>
        <w:between w:space="0" w:sz="0" w:val="nil"/>
      </w:pBdr>
      <w:tabs>
        <w:tab w:val="center" w:leader="none" w:pos="4320"/>
        <w:tab w:val="right" w:leader="none" w:pos="8640"/>
      </w:tabs>
      <w:rPr>
        <w:rFonts w:ascii="Arial" w:cs="Arial" w:eastAsia="Arial" w:hAnsi="Arial"/>
        <w:color w:val="000000"/>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sz w:val="28"/>
      <w:szCs w:val="28"/>
    </w:rPr>
  </w:style>
  <w:style w:type="paragraph" w:styleId="Heading2">
    <w:name w:val="heading 2"/>
    <w:basedOn w:val="Normal"/>
    <w:next w:val="Normal"/>
    <w:pPr>
      <w:keepNext w:val="1"/>
    </w:pPr>
    <w:rPr>
      <w:b w:val="1"/>
      <w:smallCaps w:val="1"/>
      <w:sz w:val="18"/>
      <w:szCs w:val="18"/>
    </w:rPr>
  </w:style>
  <w:style w:type="paragraph" w:styleId="Heading3">
    <w:name w:val="heading 3"/>
    <w:basedOn w:val="Normal"/>
    <w:next w:val="Normal"/>
    <w:pPr>
      <w:keepNext w:val="1"/>
    </w:pPr>
    <w:rPr>
      <w:rFonts w:ascii="Arial" w:cs="Arial" w:eastAsia="Arial" w:hAnsi="Arial"/>
      <w:b w:val="1"/>
      <w:color w:val="3366ff"/>
      <w:sz w:val="18"/>
      <w:szCs w:val="18"/>
    </w:rPr>
  </w:style>
  <w:style w:type="paragraph" w:styleId="Heading4">
    <w:name w:val="heading 4"/>
    <w:basedOn w:val="Normal"/>
    <w:next w:val="Normal"/>
    <w:pPr>
      <w:keepNext w:val="1"/>
    </w:pPr>
    <w:rPr>
      <w:b w:val="1"/>
      <w:smallCaps w:val="1"/>
      <w:sz w:val="20"/>
      <w:szCs w:val="20"/>
    </w:rPr>
  </w:style>
  <w:style w:type="paragraph" w:styleId="Heading5">
    <w:name w:val="heading 5"/>
    <w:basedOn w:val="Normal"/>
    <w:next w:val="Normal"/>
    <w:pPr>
      <w:keepNext w:val="1"/>
      <w:spacing w:line="288" w:lineRule="auto"/>
    </w:pPr>
    <w:rPr>
      <w:rFonts w:ascii="Arial" w:cs="Arial" w:eastAsia="Arial" w:hAnsi="Arial"/>
      <w:b w:val="1"/>
      <w:sz w:val="16"/>
      <w:szCs w:val="16"/>
    </w:rPr>
  </w:style>
  <w:style w:type="paragraph" w:styleId="Heading6">
    <w:name w:val="heading 6"/>
    <w:basedOn w:val="Normal"/>
    <w:next w:val="Normal"/>
    <w:pPr>
      <w:keepNext w:val="1"/>
      <w:spacing w:line="288" w:lineRule="auto"/>
    </w:pPr>
    <w:rPr>
      <w:rFonts w:ascii="Arial" w:cs="Arial" w:eastAsia="Arial" w:hAnsi="Arial"/>
      <w:sz w:val="15"/>
      <w:szCs w:val="15"/>
      <w:u w:val="single"/>
    </w:rPr>
  </w:style>
  <w:style w:type="paragraph" w:styleId="Title">
    <w:name w:val="Title"/>
    <w:basedOn w:val="Normal"/>
    <w:next w:val="Normal"/>
    <w:pPr>
      <w:jc w:val="center"/>
    </w:pPr>
    <w:rPr>
      <w:rFonts w:ascii="Tahoma" w:cs="Tahoma" w:eastAsia="Tahoma" w:hAnsi="Tahoma"/>
      <w:b w:val="1"/>
      <w:color w:val="3366ff"/>
      <w:sz w:val="18"/>
      <w:szCs w:val="1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Pr>
    <w:rPr>
      <w:sz w:val="28"/>
      <w:szCs w:val="28"/>
    </w:rPr>
  </w:style>
  <w:style w:type="paragraph" w:styleId="Heading2">
    <w:name w:val="heading 2"/>
    <w:basedOn w:val="Normal"/>
    <w:next w:val="Normal"/>
    <w:pPr>
      <w:keepNext w:val="1"/>
    </w:pPr>
    <w:rPr>
      <w:b w:val="1"/>
      <w:smallCaps w:val="1"/>
      <w:sz w:val="18"/>
      <w:szCs w:val="18"/>
    </w:rPr>
  </w:style>
  <w:style w:type="paragraph" w:styleId="Heading3">
    <w:name w:val="heading 3"/>
    <w:basedOn w:val="Normal"/>
    <w:next w:val="Normal"/>
    <w:pPr>
      <w:keepNext w:val="1"/>
    </w:pPr>
    <w:rPr>
      <w:rFonts w:ascii="Arial" w:cs="Arial" w:eastAsia="Arial" w:hAnsi="Arial"/>
      <w:b w:val="1"/>
      <w:color w:val="3366ff"/>
      <w:sz w:val="18"/>
      <w:szCs w:val="18"/>
    </w:rPr>
  </w:style>
  <w:style w:type="paragraph" w:styleId="Heading4">
    <w:name w:val="heading 4"/>
    <w:basedOn w:val="Normal"/>
    <w:next w:val="Normal"/>
    <w:pPr>
      <w:keepNext w:val="1"/>
    </w:pPr>
    <w:rPr>
      <w:b w:val="1"/>
      <w:smallCaps w:val="1"/>
      <w:sz w:val="20"/>
      <w:szCs w:val="20"/>
    </w:rPr>
  </w:style>
  <w:style w:type="paragraph" w:styleId="Heading5">
    <w:name w:val="heading 5"/>
    <w:basedOn w:val="Normal"/>
    <w:next w:val="Normal"/>
    <w:pPr>
      <w:keepNext w:val="1"/>
      <w:spacing w:line="288" w:lineRule="auto"/>
    </w:pPr>
    <w:rPr>
      <w:rFonts w:ascii="Arial" w:cs="Arial" w:eastAsia="Arial" w:hAnsi="Arial"/>
      <w:b w:val="1"/>
      <w:sz w:val="16"/>
      <w:szCs w:val="16"/>
    </w:rPr>
  </w:style>
  <w:style w:type="paragraph" w:styleId="Heading6">
    <w:name w:val="heading 6"/>
    <w:basedOn w:val="Normal"/>
    <w:next w:val="Normal"/>
    <w:pPr>
      <w:keepNext w:val="1"/>
      <w:spacing w:line="288" w:lineRule="auto"/>
    </w:pPr>
    <w:rPr>
      <w:rFonts w:ascii="Arial" w:cs="Arial" w:eastAsia="Arial" w:hAnsi="Arial"/>
      <w:sz w:val="15"/>
      <w:szCs w:val="15"/>
      <w:u w:val="single"/>
    </w:rPr>
  </w:style>
  <w:style w:type="paragraph" w:styleId="Title">
    <w:name w:val="Title"/>
    <w:basedOn w:val="Normal"/>
    <w:next w:val="Normal"/>
    <w:pPr>
      <w:jc w:val="center"/>
    </w:pPr>
    <w:rPr>
      <w:rFonts w:ascii="Tahoma" w:cs="Tahoma" w:eastAsia="Tahoma" w:hAnsi="Tahoma"/>
      <w:b w:val="1"/>
      <w:color w:val="3366ff"/>
      <w:sz w:val="18"/>
      <w:szCs w:val="18"/>
    </w:rPr>
  </w:style>
  <w:style w:type="paragraph" w:styleId="Normal" w:default="1">
    <w:name w:val="Normal"/>
    <w:qFormat w:val="1"/>
    <w:rsid w:val="00AD320A"/>
  </w:style>
  <w:style w:type="paragraph" w:styleId="Heading1">
    <w:name w:val="heading 1"/>
    <w:basedOn w:val="Normal"/>
    <w:next w:val="Normal"/>
    <w:uiPriority w:val="9"/>
    <w:qFormat w:val="1"/>
    <w:rsid w:val="00AD320A"/>
    <w:pPr>
      <w:keepNext w:val="1"/>
      <w:outlineLvl w:val="0"/>
    </w:pPr>
    <w:rPr>
      <w:noProof w:val="1"/>
      <w:sz w:val="28"/>
    </w:rPr>
  </w:style>
  <w:style w:type="paragraph" w:styleId="Heading2">
    <w:name w:val="heading 2"/>
    <w:basedOn w:val="Normal"/>
    <w:next w:val="Normal"/>
    <w:uiPriority w:val="9"/>
    <w:semiHidden w:val="1"/>
    <w:unhideWhenUsed w:val="1"/>
    <w:qFormat w:val="1"/>
    <w:rsid w:val="00AD320A"/>
    <w:pPr>
      <w:keepNext w:val="1"/>
      <w:outlineLvl w:val="1"/>
    </w:pPr>
    <w:rPr>
      <w:b w:val="1"/>
      <w:caps w:val="1"/>
      <w:noProof w:val="1"/>
      <w:sz w:val="18"/>
    </w:rPr>
  </w:style>
  <w:style w:type="paragraph" w:styleId="Heading3">
    <w:name w:val="heading 3"/>
    <w:basedOn w:val="Normal"/>
    <w:next w:val="Normal"/>
    <w:uiPriority w:val="9"/>
    <w:semiHidden w:val="1"/>
    <w:unhideWhenUsed w:val="1"/>
    <w:qFormat w:val="1"/>
    <w:rsid w:val="00AD320A"/>
    <w:pPr>
      <w:keepNext w:val="1"/>
      <w:outlineLvl w:val="2"/>
    </w:pPr>
    <w:rPr>
      <w:rFonts w:ascii="Arial" w:eastAsia="Arial Unicode MS" w:hAnsi="Arial"/>
      <w:b w:val="1"/>
      <w:color w:val="3366ff"/>
      <w:sz w:val="18"/>
    </w:rPr>
  </w:style>
  <w:style w:type="paragraph" w:styleId="Heading4">
    <w:name w:val="heading 4"/>
    <w:basedOn w:val="Normal"/>
    <w:next w:val="Normal"/>
    <w:uiPriority w:val="9"/>
    <w:semiHidden w:val="1"/>
    <w:unhideWhenUsed w:val="1"/>
    <w:qFormat w:val="1"/>
    <w:rsid w:val="00AD320A"/>
    <w:pPr>
      <w:keepNext w:val="1"/>
      <w:outlineLvl w:val="3"/>
    </w:pPr>
    <w:rPr>
      <w:b w:val="1"/>
      <w:caps w:val="1"/>
      <w:noProof w:val="1"/>
      <w:sz w:val="20"/>
    </w:rPr>
  </w:style>
  <w:style w:type="paragraph" w:styleId="Heading5">
    <w:name w:val="heading 5"/>
    <w:basedOn w:val="Normal"/>
    <w:next w:val="Normal"/>
    <w:uiPriority w:val="9"/>
    <w:semiHidden w:val="1"/>
    <w:unhideWhenUsed w:val="1"/>
    <w:qFormat w:val="1"/>
    <w:rsid w:val="00AD320A"/>
    <w:pPr>
      <w:keepNext w:val="1"/>
      <w:spacing w:line="288" w:lineRule="auto"/>
      <w:outlineLvl w:val="4"/>
    </w:pPr>
    <w:rPr>
      <w:rFonts w:ascii="Arial" w:eastAsia="Arial Unicode MS" w:hAnsi="Arial"/>
      <w:b w:val="1"/>
      <w:sz w:val="16"/>
    </w:rPr>
  </w:style>
  <w:style w:type="paragraph" w:styleId="Heading6">
    <w:name w:val="heading 6"/>
    <w:basedOn w:val="Normal"/>
    <w:next w:val="Normal"/>
    <w:uiPriority w:val="9"/>
    <w:semiHidden w:val="1"/>
    <w:unhideWhenUsed w:val="1"/>
    <w:qFormat w:val="1"/>
    <w:rsid w:val="00AD320A"/>
    <w:pPr>
      <w:keepNext w:val="1"/>
      <w:spacing w:line="288" w:lineRule="auto"/>
      <w:outlineLvl w:val="5"/>
    </w:pPr>
    <w:rPr>
      <w:rFonts w:ascii="Arial" w:eastAsia="Arial Unicode MS" w:hAnsi="Arial"/>
      <w:sz w:val="15"/>
      <w:u w:val="single"/>
    </w:rPr>
  </w:style>
  <w:style w:type="paragraph" w:styleId="Heading7">
    <w:name w:val="heading 7"/>
    <w:basedOn w:val="Normal"/>
    <w:next w:val="Normal"/>
    <w:qFormat w:val="1"/>
    <w:rsid w:val="00AD320A"/>
    <w:pPr>
      <w:keepNext w:val="1"/>
      <w:spacing w:line="288" w:lineRule="auto"/>
      <w:outlineLvl w:val="6"/>
    </w:pPr>
    <w:rPr>
      <w:rFonts w:ascii="Arial" w:eastAsia="Arial Unicode MS" w:hAnsi="Arial"/>
      <w:color w:val="3366ff"/>
      <w:sz w:val="16"/>
      <w:u w:val="single"/>
    </w:rPr>
  </w:style>
  <w:style w:type="paragraph" w:styleId="Heading8">
    <w:name w:val="heading 8"/>
    <w:basedOn w:val="Normal"/>
    <w:next w:val="Normal"/>
    <w:qFormat w:val="1"/>
    <w:rsid w:val="00AD320A"/>
    <w:pPr>
      <w:keepNext w:val="1"/>
      <w:spacing w:line="360" w:lineRule="auto"/>
      <w:outlineLvl w:val="7"/>
    </w:pPr>
    <w:rPr>
      <w:rFonts w:ascii="Arial" w:eastAsia="Arial Unicode MS" w:hAnsi="Arial"/>
      <w:b w:val="1"/>
      <w:sz w:val="15"/>
    </w:rPr>
  </w:style>
  <w:style w:type="paragraph" w:styleId="Heading9">
    <w:name w:val="heading 9"/>
    <w:basedOn w:val="Normal"/>
    <w:next w:val="Normal"/>
    <w:qFormat w:val="1"/>
    <w:rsid w:val="00AD320A"/>
    <w:pPr>
      <w:keepNext w:val="1"/>
      <w:spacing w:line="288" w:lineRule="auto"/>
      <w:outlineLvl w:val="8"/>
    </w:pPr>
    <w:rPr>
      <w:rFonts w:ascii="Arial" w:hAnsi="Arial"/>
      <w:b w:val="1"/>
      <w:color w:val="000000"/>
      <w:sz w:val="1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uiPriority w:val="10"/>
    <w:qFormat w:val="1"/>
    <w:rsid w:val="00AD320A"/>
    <w:pPr>
      <w:jc w:val="center"/>
    </w:pPr>
    <w:rPr>
      <w:rFonts w:ascii="Tahoma" w:hAnsi="Tahoma"/>
      <w:b w:val="1"/>
      <w:color w:val="3366ff"/>
      <w:sz w:val="18"/>
    </w:rPr>
  </w:style>
  <w:style w:type="paragraph" w:styleId="BodyText">
    <w:name w:val="Body Text"/>
    <w:basedOn w:val="Normal"/>
    <w:semiHidden w:val="1"/>
    <w:rsid w:val="00AD320A"/>
    <w:pPr>
      <w:jc w:val="both"/>
    </w:pPr>
    <w:rPr>
      <w:rFonts w:ascii="Arial" w:hAnsi="Arial"/>
      <w:sz w:val="22"/>
    </w:rPr>
  </w:style>
  <w:style w:type="paragraph" w:styleId="BodyText2">
    <w:name w:val="Body Text 2"/>
    <w:basedOn w:val="Normal"/>
    <w:semiHidden w:val="1"/>
    <w:rsid w:val="00AD320A"/>
    <w:rPr>
      <w:noProof w:val="1"/>
      <w:sz w:val="18"/>
    </w:rPr>
  </w:style>
  <w:style w:type="paragraph" w:styleId="BodyTextIndent">
    <w:name w:val="Body Text Indent"/>
    <w:basedOn w:val="Normal"/>
    <w:semiHidden w:val="1"/>
    <w:rsid w:val="00AD320A"/>
    <w:pPr>
      <w:ind w:left="720" w:hanging="720"/>
      <w:jc w:val="both"/>
    </w:pPr>
    <w:rPr>
      <w:sz w:val="22"/>
      <w:lang w:val="en-GB"/>
    </w:rPr>
  </w:style>
  <w:style w:type="paragraph" w:styleId="BodyTextIndent2">
    <w:name w:val="Body Text Indent 2"/>
    <w:basedOn w:val="Normal"/>
    <w:semiHidden w:val="1"/>
    <w:rsid w:val="00AD320A"/>
    <w:pPr>
      <w:ind w:left="720" w:hanging="360"/>
    </w:pPr>
    <w:rPr>
      <w:sz w:val="20"/>
      <w:lang w:val="en-GB"/>
    </w:rPr>
  </w:style>
  <w:style w:type="paragraph" w:styleId="BodyText3">
    <w:name w:val="Body Text 3"/>
    <w:basedOn w:val="Normal"/>
    <w:semiHidden w:val="1"/>
    <w:rsid w:val="00AD320A"/>
    <w:pPr>
      <w:jc w:val="both"/>
    </w:pPr>
    <w:rPr>
      <w:rFonts w:ascii="Arial Unicode MS" w:eastAsia="Arial Unicode MS" w:hAnsi="Arial Unicode MS"/>
      <w:sz w:val="16"/>
    </w:rPr>
  </w:style>
  <w:style w:type="paragraph" w:styleId="Header">
    <w:name w:val="header"/>
    <w:basedOn w:val="Normal"/>
    <w:semiHidden w:val="1"/>
    <w:rsid w:val="00AD320A"/>
    <w:pPr>
      <w:tabs>
        <w:tab w:val="center" w:pos="4320"/>
        <w:tab w:val="right" w:pos="8640"/>
      </w:tabs>
    </w:pPr>
    <w:rPr>
      <w:rFonts w:ascii="Arial" w:hAnsi="Arial"/>
      <w:sz w:val="22"/>
      <w:lang w:val="en-GB"/>
    </w:rPr>
  </w:style>
  <w:style w:type="paragraph" w:styleId="BodyTextIndent3">
    <w:name w:val="Body Text Indent 3"/>
    <w:basedOn w:val="Normal"/>
    <w:semiHidden w:val="1"/>
    <w:rsid w:val="00AD320A"/>
    <w:pPr>
      <w:ind w:left="-360" w:firstLine="720"/>
    </w:pPr>
    <w:rPr>
      <w:rFonts w:ascii="Arial" w:hAnsi="Arial"/>
      <w:color w:val="000000"/>
      <w:sz w:val="15"/>
    </w:rPr>
  </w:style>
  <w:style w:type="paragraph" w:styleId="Footer">
    <w:name w:val="footer"/>
    <w:basedOn w:val="Normal"/>
    <w:semiHidden w:val="1"/>
    <w:rsid w:val="00AD320A"/>
    <w:pPr>
      <w:tabs>
        <w:tab w:val="center" w:pos="4320"/>
        <w:tab w:val="right" w:pos="8640"/>
      </w:tabs>
    </w:pPr>
  </w:style>
  <w:style w:type="character" w:styleId="PageNumber">
    <w:name w:val="page number"/>
    <w:basedOn w:val="DefaultParagraphFont"/>
    <w:semiHidden w:val="1"/>
    <w:rsid w:val="00AD320A"/>
    <w:rPr>
      <w:rFonts w:ascii="Comic Sans MS" w:hAnsi="Comic Sans MS"/>
      <w:b w:val="1"/>
      <w:color w:val="666699"/>
      <w:sz w:val="14"/>
    </w:rPr>
  </w:style>
  <w:style w:type="paragraph" w:styleId="DocumentMap">
    <w:name w:val="Document Map"/>
    <w:basedOn w:val="Normal"/>
    <w:semiHidden w:val="1"/>
    <w:rsid w:val="00AD320A"/>
    <w:pPr>
      <w:shd w:color="auto" w:fill="000080" w:val="clear"/>
    </w:pPr>
    <w:rPr>
      <w:rFonts w:ascii="Tahoma" w:hAnsi="Tahoma"/>
    </w:rPr>
  </w:style>
  <w:style w:type="character" w:styleId="Hyperlink">
    <w:name w:val="Hyperlink"/>
    <w:basedOn w:val="DefaultParagraphFont"/>
    <w:semiHidden w:val="1"/>
    <w:rsid w:val="00AD320A"/>
    <w:rPr>
      <w:color w:val="0000ff"/>
      <w:u w:val="single"/>
    </w:rPr>
  </w:style>
  <w:style w:type="paragraph" w:styleId="NormalWeb">
    <w:name w:val="Normal (Web)"/>
    <w:basedOn w:val="Normal"/>
    <w:uiPriority w:val="99"/>
    <w:semiHidden w:val="1"/>
    <w:rsid w:val="00AD320A"/>
    <w:pPr>
      <w:spacing w:after="100" w:afterAutospacing="1" w:before="100" w:beforeAutospacing="1"/>
    </w:pPr>
    <w:rPr>
      <w:rFonts w:eastAsia="SimSun"/>
    </w:rPr>
  </w:style>
  <w:style w:type="character" w:styleId="Strong">
    <w:name w:val="Strong"/>
    <w:basedOn w:val="DefaultParagraphFont"/>
    <w:qFormat w:val="1"/>
    <w:rsid w:val="00AD320A"/>
    <w:rPr>
      <w:b w:val="1"/>
    </w:rPr>
  </w:style>
  <w:style w:type="character" w:styleId="Emphasis">
    <w:name w:val="Emphasis"/>
    <w:basedOn w:val="DefaultParagraphFont"/>
    <w:qFormat w:val="1"/>
    <w:rsid w:val="00AD320A"/>
    <w:rPr>
      <w:i w:val="1"/>
    </w:rPr>
  </w:style>
  <w:style w:type="paragraph" w:styleId="Index1">
    <w:name w:val="index 1"/>
    <w:basedOn w:val="Normal"/>
    <w:next w:val="Normal"/>
    <w:autoRedefine w:val="1"/>
    <w:semiHidden w:val="1"/>
    <w:rsid w:val="00AD320A"/>
    <w:pPr>
      <w:ind w:left="240" w:hanging="240"/>
    </w:pPr>
  </w:style>
  <w:style w:type="paragraph" w:styleId="Index2">
    <w:name w:val="index 2"/>
    <w:basedOn w:val="Normal"/>
    <w:next w:val="Normal"/>
    <w:autoRedefine w:val="1"/>
    <w:semiHidden w:val="1"/>
    <w:rsid w:val="00AD320A"/>
    <w:pPr>
      <w:ind w:left="480" w:hanging="240"/>
    </w:pPr>
  </w:style>
  <w:style w:type="paragraph" w:styleId="Index3">
    <w:name w:val="index 3"/>
    <w:basedOn w:val="Normal"/>
    <w:next w:val="Normal"/>
    <w:autoRedefine w:val="1"/>
    <w:semiHidden w:val="1"/>
    <w:rsid w:val="00AD320A"/>
    <w:pPr>
      <w:ind w:left="720" w:hanging="240"/>
    </w:pPr>
  </w:style>
  <w:style w:type="paragraph" w:styleId="Index4">
    <w:name w:val="index 4"/>
    <w:basedOn w:val="Normal"/>
    <w:next w:val="Normal"/>
    <w:autoRedefine w:val="1"/>
    <w:semiHidden w:val="1"/>
    <w:rsid w:val="00AD320A"/>
    <w:pPr>
      <w:ind w:left="960" w:hanging="240"/>
    </w:pPr>
  </w:style>
  <w:style w:type="paragraph" w:styleId="Index5">
    <w:name w:val="index 5"/>
    <w:basedOn w:val="Normal"/>
    <w:next w:val="Normal"/>
    <w:autoRedefine w:val="1"/>
    <w:semiHidden w:val="1"/>
    <w:rsid w:val="00AD320A"/>
    <w:pPr>
      <w:ind w:left="1200" w:hanging="240"/>
    </w:pPr>
  </w:style>
  <w:style w:type="paragraph" w:styleId="Index6">
    <w:name w:val="index 6"/>
    <w:basedOn w:val="Normal"/>
    <w:next w:val="Normal"/>
    <w:autoRedefine w:val="1"/>
    <w:semiHidden w:val="1"/>
    <w:rsid w:val="00AD320A"/>
    <w:pPr>
      <w:ind w:left="1440" w:hanging="240"/>
    </w:pPr>
  </w:style>
  <w:style w:type="paragraph" w:styleId="Index7">
    <w:name w:val="index 7"/>
    <w:basedOn w:val="Normal"/>
    <w:next w:val="Normal"/>
    <w:autoRedefine w:val="1"/>
    <w:semiHidden w:val="1"/>
    <w:rsid w:val="00AD320A"/>
    <w:pPr>
      <w:ind w:left="1680" w:hanging="240"/>
    </w:pPr>
  </w:style>
  <w:style w:type="paragraph" w:styleId="Index8">
    <w:name w:val="index 8"/>
    <w:basedOn w:val="Normal"/>
    <w:next w:val="Normal"/>
    <w:autoRedefine w:val="1"/>
    <w:semiHidden w:val="1"/>
    <w:rsid w:val="00AD320A"/>
    <w:pPr>
      <w:ind w:left="1920" w:hanging="240"/>
    </w:pPr>
  </w:style>
  <w:style w:type="paragraph" w:styleId="Index9">
    <w:name w:val="index 9"/>
    <w:basedOn w:val="Normal"/>
    <w:next w:val="Normal"/>
    <w:autoRedefine w:val="1"/>
    <w:semiHidden w:val="1"/>
    <w:rsid w:val="00AD320A"/>
    <w:pPr>
      <w:ind w:left="2160" w:hanging="240"/>
    </w:pPr>
  </w:style>
  <w:style w:type="paragraph" w:styleId="IndexHeading">
    <w:name w:val="index heading"/>
    <w:basedOn w:val="Normal"/>
    <w:next w:val="Index1"/>
    <w:semiHidden w:val="1"/>
    <w:rsid w:val="00AD320A"/>
  </w:style>
  <w:style w:type="paragraph" w:styleId="ListParagraph">
    <w:name w:val="List Paragraph"/>
    <w:basedOn w:val="Normal"/>
    <w:uiPriority w:val="34"/>
    <w:qFormat w:val="1"/>
    <w:rsid w:val="00A678C7"/>
    <w:pPr>
      <w:ind w:left="720"/>
      <w:contextualSpacing w:val="1"/>
    </w:pPr>
  </w:style>
  <w:style w:type="paragraph" w:styleId="BalloonText">
    <w:name w:val="Balloon Text"/>
    <w:basedOn w:val="Normal"/>
    <w:link w:val="BalloonTextChar"/>
    <w:uiPriority w:val="99"/>
    <w:semiHidden w:val="1"/>
    <w:unhideWhenUsed w:val="1"/>
    <w:rsid w:val="00DE3C86"/>
    <w:rPr>
      <w:rFonts w:ascii="Tahoma" w:cs="Tahoma" w:hAnsi="Tahoma"/>
      <w:sz w:val="16"/>
      <w:szCs w:val="16"/>
    </w:rPr>
  </w:style>
  <w:style w:type="character" w:styleId="BalloonTextChar" w:customStyle="1">
    <w:name w:val="Balloon Text Char"/>
    <w:basedOn w:val="DefaultParagraphFont"/>
    <w:link w:val="BalloonText"/>
    <w:uiPriority w:val="99"/>
    <w:semiHidden w:val="1"/>
    <w:rsid w:val="00DE3C86"/>
    <w:rPr>
      <w:rFonts w:ascii="Tahoma" w:cs="Tahoma" w:hAnsi="Tahoma"/>
      <w:sz w:val="16"/>
      <w:szCs w:val="16"/>
    </w:rPr>
  </w:style>
  <w:style w:type="table" w:styleId="TableGrid">
    <w:name w:val="Table Grid"/>
    <w:basedOn w:val="TableNormal"/>
    <w:uiPriority w:val="59"/>
    <w:rsid w:val="00272D79"/>
    <w:rPr>
      <w:rFonts w:eastAsia="SimSun" w:asciiTheme="minorHAnsi" w:cstheme="minorBidi" w:hAnsiTheme="minorHAnsi"/>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CellMar>
        <w:left w:w="0.0" w:type="dxa"/>
        <w:right w:w="0.0" w:type="dxa"/>
      </w:tblCellMar>
    </w:tblPr>
  </w:style>
  <w:style w:type="table" w:styleId="a1" w:customStyle="1">
    <w:basedOn w:val="TableNormal"/>
    <w:tblPr>
      <w:tblStyleRowBandSize w:val="1"/>
      <w:tblStyleColBandSize w:val="1"/>
      <w:tblCellMar>
        <w:left w:w="0.0" w:type="dxa"/>
        <w:right w:w="0.0" w:type="dxa"/>
      </w:tblCellMar>
    </w:tblPr>
  </w:style>
  <w:style w:type="table" w:styleId="a2" w:customStyle="1">
    <w:basedOn w:val="TableNormal"/>
    <w:tblPr>
      <w:tblStyleRowBandSize w:val="1"/>
      <w:tblStyleColBandSize w:val="1"/>
      <w:tblCellMar>
        <w:left w:w="0.0" w:type="dxa"/>
        <w:right w:w="0.0" w:type="dxa"/>
      </w:tblCellMar>
    </w:tblPr>
  </w:style>
  <w:style w:type="table" w:styleId="a3" w:customStyle="1">
    <w:basedOn w:val="TableNormal"/>
    <w:tblPr>
      <w:tblStyleRowBandSize w:val="1"/>
      <w:tblStyleColBandSize w:val="1"/>
      <w:tblCellMar>
        <w:left w:w="0.0" w:type="dxa"/>
        <w:right w:w="0.0" w:type="dxa"/>
      </w:tblCellMar>
    </w:tblPr>
  </w:style>
  <w:style w:type="table" w:styleId="a4" w:customStyle="1">
    <w:basedOn w:val="TableNormal"/>
    <w:tblPr>
      <w:tblStyleRowBandSize w:val="1"/>
      <w:tblStyleColBandSize w:val="1"/>
      <w:tblCellMar>
        <w:left w:w="0.0" w:type="dxa"/>
        <w:right w:w="0.0" w:type="dxa"/>
      </w:tblCellMar>
    </w:tblPr>
  </w:style>
  <w:style w:type="table" w:styleId="a5" w:customStyle="1">
    <w:basedOn w:val="TableNormal"/>
    <w:tblPr>
      <w:tblStyleRowBandSize w:val="1"/>
      <w:tblStyleColBandSize w:val="1"/>
      <w:tblCellMar>
        <w:left w:w="0.0" w:type="dxa"/>
        <w:right w:w="0.0" w:type="dxa"/>
      </w:tblCellMar>
    </w:tblPr>
  </w:style>
  <w:style w:type="table" w:styleId="a6" w:customStyle="1">
    <w:basedOn w:val="TableNormal"/>
    <w:tblPr>
      <w:tblStyleRowBandSize w:val="1"/>
      <w:tblStyleColBandSize w:val="1"/>
      <w:tblCellMar>
        <w:left w:w="0.0" w:type="dxa"/>
        <w:right w:w="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left w:w="0.0" w:type="dxa"/>
        <w:right w:w="0.0" w:type="dxa"/>
      </w:tblCellMar>
    </w:tblPr>
  </w:style>
  <w:style w:type="table" w:styleId="a9" w:customStyle="1">
    <w:basedOn w:val="TableNormal"/>
    <w:tblPr>
      <w:tblStyleRowBandSize w:val="1"/>
      <w:tblStyleColBandSize w:val="1"/>
      <w:tblCellMar>
        <w:left w:w="0.0" w:type="dxa"/>
        <w:right w:w="0.0" w:type="dxa"/>
      </w:tblCellMar>
    </w:tblPr>
  </w:style>
  <w:style w:type="table" w:styleId="aa" w:customStyle="1">
    <w:basedOn w:val="TableNormal"/>
    <w:tblPr>
      <w:tblStyleRowBandSize w:val="1"/>
      <w:tblStyleColBandSize w:val="1"/>
      <w:tblCellMar>
        <w:left w:w="0.0" w:type="dxa"/>
        <w:right w:w="0.0" w:type="dxa"/>
      </w:tblCellMar>
    </w:tblPr>
  </w:style>
  <w:style w:type="table" w:styleId="ab" w:customStyle="1">
    <w:basedOn w:val="TableNormal"/>
    <w:tblPr>
      <w:tblStyleRowBandSize w:val="1"/>
      <w:tblStyleColBandSize w:val="1"/>
      <w:tblCellMar>
        <w:left w:w="0.0" w:type="dxa"/>
        <w:right w:w="0.0" w:type="dxa"/>
      </w:tblCellMar>
    </w:tblPr>
  </w:style>
  <w:style w:type="table" w:styleId="ac" w:customStyle="1">
    <w:basedOn w:val="TableNormal"/>
    <w:tblPr>
      <w:tblStyleRowBandSize w:val="1"/>
      <w:tblStyleColBandSize w:val="1"/>
      <w:tblCellMar>
        <w:left w:w="0.0" w:type="dxa"/>
        <w:right w:w="0.0" w:type="dxa"/>
      </w:tblCellMar>
    </w:tblPr>
  </w:style>
  <w:style w:type="table" w:styleId="ad" w:customStyle="1">
    <w:basedOn w:val="TableNormal"/>
    <w:tblPr>
      <w:tblStyleRowBandSize w:val="1"/>
      <w:tblStyleColBandSize w:val="1"/>
      <w:tblCellMar>
        <w:left w:w="0.0" w:type="dxa"/>
        <w:right w:w="0.0" w:type="dxa"/>
      </w:tblCellMar>
    </w:tblPr>
  </w:style>
  <w:style w:type="table" w:styleId="ae" w:customStyle="1">
    <w:basedOn w:val="TableNormal"/>
    <w:tblPr>
      <w:tblStyleRowBandSize w:val="1"/>
      <w:tblStyleColBandSize w:val="1"/>
      <w:tblCellMar>
        <w:left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sz w:val="22"/>
      <w:szCs w:val="22"/>
    </w:rPr>
    <w:tblPr>
      <w:tblStyleRowBandSize w:val="1"/>
      <w:tblStyleColBandSize w:val="1"/>
      <w:tblCellMar>
        <w:top w:w="15.0" w:type="dxa"/>
        <w:left w:w="15.0" w:type="dxa"/>
        <w:bottom w:w="15.0" w:type="dxa"/>
        <w:right w:w="15.0" w:type="dxa"/>
      </w:tblCellMar>
    </w:tblPr>
  </w:style>
  <w:style w:type="table" w:styleId="Table2">
    <w:basedOn w:val="TableNormal"/>
    <w:rPr>
      <w:rFonts w:ascii="Calibri" w:cs="Calibri" w:eastAsia="Calibri" w:hAnsi="Calibri"/>
      <w:sz w:val="22"/>
      <w:szCs w:val="22"/>
    </w:rPr>
    <w:tblPr>
      <w:tblStyleRowBandSize w:val="1"/>
      <w:tblStyleColBandSize w:val="1"/>
      <w:tblCellMar>
        <w:top w:w="15.0" w:type="dxa"/>
        <w:left w:w="15.0" w:type="dxa"/>
        <w:bottom w:w="15.0" w:type="dxa"/>
        <w:right w:w="15.0" w:type="dxa"/>
      </w:tblCellMar>
    </w:tblPr>
  </w:style>
  <w:style w:type="table" w:styleId="Table3">
    <w:basedOn w:val="TableNormal"/>
    <w:rPr>
      <w:rFonts w:ascii="Calibri" w:cs="Calibri" w:eastAsia="Calibri" w:hAnsi="Calibri"/>
      <w:sz w:val="22"/>
      <w:szCs w:val="22"/>
    </w:rPr>
    <w:tblPr>
      <w:tblStyleRowBandSize w:val="1"/>
      <w:tblStyleColBandSize w:val="1"/>
      <w:tblCellMar>
        <w:top w:w="15.0" w:type="dxa"/>
        <w:left w:w="15.0" w:type="dxa"/>
        <w:bottom w:w="15.0" w:type="dxa"/>
        <w:right w:w="15.0" w:type="dxa"/>
      </w:tblCellMar>
    </w:tblPr>
  </w:style>
  <w:style w:type="table" w:styleId="Table4">
    <w:basedOn w:val="TableNormal"/>
    <w:rPr>
      <w:rFonts w:ascii="Calibri" w:cs="Calibri" w:eastAsia="Calibri" w:hAnsi="Calibri"/>
      <w:sz w:val="22"/>
      <w:szCs w:val="22"/>
    </w:rPr>
    <w:tblPr>
      <w:tblStyleRowBandSize w:val="1"/>
      <w:tblStyleColBandSize w:val="1"/>
      <w:tblCellMar>
        <w:top w:w="15.0" w:type="dxa"/>
        <w:left w:w="15.0" w:type="dxa"/>
        <w:bottom w:w="15.0" w:type="dxa"/>
        <w:right w:w="15.0" w:type="dxa"/>
      </w:tblCellMar>
    </w:tblPr>
  </w:style>
  <w:style w:type="table" w:styleId="Table5">
    <w:basedOn w:val="TableNormal"/>
    <w:rPr>
      <w:rFonts w:ascii="Calibri" w:cs="Calibri" w:eastAsia="Calibri" w:hAnsi="Calibri"/>
      <w:sz w:val="22"/>
      <w:szCs w:val="22"/>
    </w:rPr>
    <w:tblPr>
      <w:tblStyleRowBandSize w:val="1"/>
      <w:tblStyleColBandSize w:val="1"/>
      <w:tblCellMar>
        <w:top w:w="15.0" w:type="dxa"/>
        <w:left w:w="15.0" w:type="dxa"/>
        <w:bottom w:w="15.0" w:type="dxa"/>
        <w:right w:w="15.0" w:type="dxa"/>
      </w:tblCellMar>
    </w:tblPr>
  </w:style>
  <w:style w:type="table" w:styleId="Table6">
    <w:basedOn w:val="TableNormal"/>
    <w:rPr>
      <w:rFonts w:ascii="Calibri" w:cs="Calibri" w:eastAsia="Calibri" w:hAnsi="Calibri"/>
      <w:sz w:val="22"/>
      <w:szCs w:val="22"/>
    </w:r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3.xml"/><Relationship Id="rId13" Type="http://schemas.openxmlformats.org/officeDocument/2006/relationships/footer" Target="footer2.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1.png"/><Relationship Id="rId14" Type="http://schemas.openxmlformats.org/officeDocument/2006/relationships/hyperlink" Target="about:blank" TargetMode="Externa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PermanentMarker-regular.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6L95RqOukwgqgBy+/I+68OFHdQ==">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2023-08-19T14:33:00Z</dcterms:created>
  <dc:creator>dr03268i</dc:creator>
</cp:coreProperties>
</file>