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113" w:right="-20" w:firstLine="0"/>
        <w:jc w:val="center"/>
        <w:rPr>
          <w:rFonts w:ascii="Tahoma" w:cs="Tahoma" w:eastAsia="Tahoma" w:hAnsi="Tahoma"/>
          <w:b w:val="1"/>
          <w:color w:val="0000ff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color w:val="3366ff"/>
          <w:sz w:val="16"/>
          <w:szCs w:val="16"/>
          <w:rtl w:val="0"/>
        </w:rPr>
        <w:t xml:space="preserve">SUSPECTED ANAPHYLAXIS DURING ANAESTHESIA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4"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276225</wp:posOffset>
                </wp:positionH>
                <wp:positionV relativeFrom="paragraph">
                  <wp:posOffset>90646</wp:posOffset>
                </wp:positionV>
                <wp:extent cx="2981325" cy="24250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91775" y="3621325"/>
                          <a:ext cx="2981325" cy="242500"/>
                          <a:chOff x="3291775" y="3621325"/>
                          <a:chExt cx="3958500" cy="317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31600" y="3626100"/>
                            <a:ext cx="3705000" cy="307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291775" y="3626100"/>
                            <a:ext cx="39585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40.999999046325684" w:line="360"/>
                                <w:ind w:left="1098.0000305175781" w:right="973.0000305175781" w:firstLine="1098.0000305175781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ahoma" w:cs="Tahoma" w:eastAsia="Tahoma" w:hAnsi="Tahom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ANAPHYLAXIS IS A LIFE-THREATENING CRISIS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276225</wp:posOffset>
                </wp:positionH>
                <wp:positionV relativeFrom="paragraph">
                  <wp:posOffset>90646</wp:posOffset>
                </wp:positionV>
                <wp:extent cx="2981325" cy="2425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1325" cy="24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before="4"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41" w:line="240" w:lineRule="auto"/>
        <w:ind w:left="1098" w:right="973" w:firstLine="0"/>
        <w:jc w:val="center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40" w:lineRule="auto"/>
        <w:ind w:left="720" w:right="-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Prompt diagnosis requires early recognition of signs &amp; symptoms.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right="-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Early treatment with adrenaline &amp; fluid replacement is crucial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beforeAutospacing="0" w:line="240" w:lineRule="auto"/>
        <w:ind w:left="720" w:right="-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Severe anaphylaxis can lead to cardiovascular collapse and death</w:t>
      </w:r>
    </w:p>
    <w:p w:rsidR="00000000" w:rsidDel="00000000" w:rsidP="00000000" w:rsidRDefault="00000000" w:rsidRPr="00000000" w14:paraId="00000008">
      <w:pPr>
        <w:spacing w:after="0" w:before="41" w:line="240" w:lineRule="auto"/>
        <w:ind w:left="83" w:right="-7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41" w:line="240" w:lineRule="auto"/>
        <w:ind w:left="83" w:right="-75" w:firstLine="0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Immediate Management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left" w:leader="none" w:pos="580"/>
        </w:tabs>
        <w:spacing w:after="0" w:afterAutospacing="0" w:before="40" w:line="240" w:lineRule="auto"/>
        <w:ind w:left="720" w:right="-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16"/>
          <w:szCs w:val="16"/>
          <w:rtl w:val="0"/>
        </w:rPr>
        <w:t xml:space="preserve">CALL FOR HELP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and crash cart, note the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tabs>
          <w:tab w:val="left" w:leader="none" w:pos="580"/>
        </w:tabs>
        <w:spacing w:after="0" w:afterAutospacing="0" w:before="0" w:beforeAutospacing="0" w:line="240" w:lineRule="auto"/>
        <w:ind w:left="720" w:right="26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Maintain the airway and administer oxygen 100%. Intubate and ventilate with oxygen if necessary.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leader="none" w:pos="580"/>
        </w:tabs>
        <w:spacing w:after="0" w:afterAutospacing="0" w:before="0" w:beforeAutospacing="0" w:line="240" w:lineRule="auto"/>
        <w:ind w:left="720" w:right="-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Elevate the patient’s legs if there is hypotension.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leader="none" w:pos="580"/>
        </w:tabs>
        <w:spacing w:after="0" w:before="0" w:beforeAutospacing="0" w:line="240" w:lineRule="auto"/>
        <w:ind w:left="720" w:right="-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If appropriate, start cardiopulmonary resuscitation immediately according to Pediatric Life Support algorithm.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leader="none" w:pos="580"/>
        </w:tabs>
        <w:spacing w:after="0" w:line="240" w:lineRule="auto"/>
        <w:ind w:left="720" w:right="-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Administer Epinephrine. </w:t>
      </w:r>
      <w:r w:rsidDel="00000000" w:rsidR="00000000" w:rsidRPr="00000000">
        <w:rPr>
          <w:rFonts w:ascii="Tahoma" w:cs="Tahoma" w:eastAsia="Tahoma" w:hAnsi="Tahoma"/>
          <w:sz w:val="16"/>
          <w:szCs w:val="1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Allergy Immunology Joint Task Force on Practice Parameters (JTFPP) published a 2023 practice parameter update for anaphylaxis.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br w:type="textWrapping"/>
        <w:t xml:space="preserve">Intramuscular epinephrine is now advised, preferably in the anterolateral part of the thigh in preference to deltoid.</w:t>
        <w:br w:type="textWrapping"/>
        <w:br w:type="textWrapping"/>
        <w:t xml:space="preserve">A simplified approach for epinephrine administration is now advised in children based on their body weight (bw). (2023 guidelines)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 15 kg bw: inject 0.1 mg (0.1 mg/0.1 mL) or 0.15 mg injector (2023 GL)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15–30 kg bw: Inject 0.15 mg (0.15 mg/0.15 mL)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30 kg bw: Inject 0.3 mg (0.3 mg/0.5 mL)</w:t>
      </w:r>
    </w:p>
    <w:p w:rsidR="00000000" w:rsidDel="00000000" w:rsidP="00000000" w:rsidRDefault="00000000" w:rsidRPr="00000000" w14:paraId="00000013">
      <w:pPr>
        <w:tabs>
          <w:tab w:val="left" w:leader="none" w:pos="580"/>
        </w:tabs>
        <w:spacing w:after="0" w:before="40" w:line="240" w:lineRule="auto"/>
        <w:ind w:left="0" w:right="306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Repeat every 5-15mins.use should be limited to those patients with hypotension unresponsive to IV fluids or in cardiovascular collapse at a dose of 0.01 mg/kg over 5 minutes.</w:t>
      </w:r>
    </w:p>
    <w:p w:rsidR="00000000" w:rsidDel="00000000" w:rsidP="00000000" w:rsidRDefault="00000000" w:rsidRPr="00000000" w14:paraId="00000014">
      <w:pPr>
        <w:tabs>
          <w:tab w:val="left" w:leader="none" w:pos="580"/>
        </w:tabs>
        <w:spacing w:after="0" w:before="40" w:line="240" w:lineRule="auto"/>
        <w:ind w:left="0" w:right="306" w:firstLine="0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Consider starting a low dose intravenous infusion of epinephrine </w:t>
        <w:br w:type="textWrapping"/>
        <w:t xml:space="preserve">0.1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ugs /kg/min (maximum 1 ug/kg/min).</w:t>
      </w:r>
    </w:p>
    <w:p w:rsidR="00000000" w:rsidDel="00000000" w:rsidP="00000000" w:rsidRDefault="00000000" w:rsidRPr="00000000" w14:paraId="00000015">
      <w:pPr>
        <w:spacing w:after="0" w:line="240" w:lineRule="auto"/>
        <w:ind w:right="-75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right="-75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right="-75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Secondary management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tabs>
          <w:tab w:val="left" w:leader="none" w:pos="580"/>
        </w:tabs>
        <w:spacing w:after="0" w:before="40" w:line="240" w:lineRule="auto"/>
        <w:ind w:left="720" w:right="-20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Corticosteroids and antihistamine should be used only after epinephrine administration.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tabs>
          <w:tab w:val="left" w:leader="none" w:pos="580"/>
        </w:tabs>
        <w:spacing w:after="0" w:before="40" w:line="240" w:lineRule="auto"/>
        <w:ind w:left="720" w:right="-20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Corticosteroids (Hydrocortisone i.v. 2-4 mg/kg (max dose 200mg)) are of no proven value but may help in preventing biphasic reactions.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tabs>
          <w:tab w:val="left" w:leader="none" w:pos="580"/>
        </w:tabs>
        <w:spacing w:after="0" w:before="40" w:line="240" w:lineRule="auto"/>
        <w:ind w:left="720" w:right="-20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Antihistamines may be helpful in treating pruritis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tabs>
          <w:tab w:val="left" w:leader="none" w:pos="580"/>
        </w:tabs>
        <w:spacing w:after="0" w:before="40" w:line="240" w:lineRule="auto"/>
        <w:ind w:left="720" w:right="-20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If there is persistent wheeze (bronchospasm) treat with an i.v. infusion of salbutamol. If a suitable breathing system connector is available, a metered-dose inhaler may be appropriate.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tabs>
          <w:tab w:val="left" w:leader="none" w:pos="580"/>
        </w:tabs>
        <w:spacing w:after="0" w:line="240" w:lineRule="auto"/>
        <w:ind w:left="720" w:right="195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If the blood pressure does not recover despite epinephrine infusion, consider: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tabs>
          <w:tab w:val="left" w:leader="none" w:pos="580"/>
        </w:tabs>
        <w:spacing w:after="0" w:line="240" w:lineRule="auto"/>
        <w:ind w:left="1170" w:right="195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IV vasopressin (bolus 0.03 units/kg then 2 units/h); titrate according to BP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</w:tabs>
        <w:spacing w:after="0" w:before="10" w:line="240" w:lineRule="auto"/>
        <w:ind w:left="720" w:right="1342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Administer 20 ml/kg crystalloid at a high rate (large volumes may be required).</w:t>
      </w:r>
    </w:p>
    <w:p w:rsidR="00000000" w:rsidDel="00000000" w:rsidP="00000000" w:rsidRDefault="00000000" w:rsidRPr="00000000" w14:paraId="0000001F">
      <w:pPr>
        <w:spacing w:after="0" w:before="8"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right="-20" w:firstLine="0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Immediate Investigations</w:t>
      </w:r>
    </w:p>
    <w:p w:rsidR="00000000" w:rsidDel="00000000" w:rsidP="00000000" w:rsidRDefault="00000000" w:rsidRPr="00000000" w14:paraId="00000021">
      <w:pPr>
        <w:spacing w:after="0" w:line="240" w:lineRule="auto"/>
        <w:ind w:right="-2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If facilities available send sample for Mast cell tryptase. Levels increase within 15 mins, peak at 3 hours and return to baseline at 6-8 hours </w:t>
      </w:r>
    </w:p>
    <w:p w:rsidR="00000000" w:rsidDel="00000000" w:rsidP="00000000" w:rsidRDefault="00000000" w:rsidRPr="00000000" w14:paraId="00000022">
      <w:pPr>
        <w:spacing w:after="0" w:line="240" w:lineRule="auto"/>
        <w:ind w:right="-2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Take three blood samples in plain tubes (brown top) at following times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line="240" w:lineRule="auto"/>
        <w:ind w:left="1170" w:right="-20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immediately after the reaction has been treated (within 1 hour of the reaction), and.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line="240" w:lineRule="auto"/>
        <w:ind w:left="1170" w:right="-20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up to 6 hours after the reaction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line="240" w:lineRule="auto"/>
        <w:ind w:left="1170" w:right="-20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24 h after the reaction</w:t>
      </w:r>
    </w:p>
    <w:p w:rsidR="00000000" w:rsidDel="00000000" w:rsidP="00000000" w:rsidRDefault="00000000" w:rsidRPr="00000000" w14:paraId="00000026">
      <w:pPr>
        <w:spacing w:after="0" w:before="31" w:line="240" w:lineRule="auto"/>
        <w:ind w:right="73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31" w:line="240" w:lineRule="auto"/>
        <w:ind w:right="73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It is essential to state the time on samples (and time from onset of reaction) and record this in the notes.</w:t>
      </w:r>
    </w:p>
    <w:p w:rsidR="00000000" w:rsidDel="00000000" w:rsidP="00000000" w:rsidRDefault="00000000" w:rsidRPr="00000000" w14:paraId="00000028">
      <w:pPr>
        <w:spacing w:after="0" w:before="31" w:line="240" w:lineRule="auto"/>
        <w:ind w:left="720" w:right="73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31" w:line="240" w:lineRule="auto"/>
        <w:ind w:right="73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Postoperative monitoring</w:t>
      </w:r>
    </w:p>
    <w:p w:rsidR="00000000" w:rsidDel="00000000" w:rsidP="00000000" w:rsidRDefault="00000000" w:rsidRPr="00000000" w14:paraId="0000002A">
      <w:pPr>
        <w:spacing w:after="0" w:before="31" w:line="240" w:lineRule="auto"/>
        <w:ind w:right="73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The </w:t>
      </w:r>
      <w:r w:rsidDel="00000000" w:rsidR="00000000" w:rsidRPr="00000000">
        <w:rPr>
          <w:rFonts w:ascii="Tahoma" w:cs="Tahoma" w:eastAsia="Tahoma" w:hAnsi="Tahoma"/>
          <w:sz w:val="16"/>
          <w:szCs w:val="16"/>
          <w:u w:val="single"/>
          <w:rtl w:val="0"/>
        </w:rPr>
        <w:t xml:space="preserve">patient should be monitored for a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minimum 4 hours after last dose of adrenaline because of danger of biphasic response. Biphasic reaction occurs in 3-20% of patients.</w:t>
      </w:r>
    </w:p>
    <w:p w:rsidR="00000000" w:rsidDel="00000000" w:rsidP="00000000" w:rsidRDefault="00000000" w:rsidRPr="00000000" w14:paraId="0000002B">
      <w:pPr>
        <w:spacing w:after="0" w:before="31" w:line="240" w:lineRule="auto"/>
        <w:ind w:right="73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31" w:line="240" w:lineRule="auto"/>
        <w:ind w:right="73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31" w:line="240" w:lineRule="auto"/>
        <w:ind w:right="73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31" w:line="240" w:lineRule="auto"/>
        <w:ind w:right="73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Later Investigations and management: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720" w:right="73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C1 inhibitor for functional assay (C1INH)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3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Urine VMA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3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Radioallergosorbent test (RAST) or cutaneous antigen testing by a specialist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leader="none" w:pos="580"/>
        </w:tabs>
        <w:spacing w:after="0" w:line="240" w:lineRule="auto"/>
        <w:ind w:left="720" w:right="210" w:hanging="36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Ensure detailed analysis and proper documentation of events surrounding the suspected anaphylactic reaction.</w:t>
      </w:r>
    </w:p>
    <w:p w:rsidR="00000000" w:rsidDel="00000000" w:rsidP="00000000" w:rsidRDefault="00000000" w:rsidRPr="00000000" w14:paraId="00000033">
      <w:pPr>
        <w:tabs>
          <w:tab w:val="left" w:leader="none" w:pos="580"/>
        </w:tabs>
        <w:spacing w:after="0" w:line="240" w:lineRule="auto"/>
        <w:ind w:right="21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580"/>
        </w:tabs>
        <w:spacing w:after="0" w:line="240" w:lineRule="auto"/>
        <w:ind w:right="21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41" w:line="240" w:lineRule="auto"/>
        <w:ind w:left="113" w:right="-20" w:firstLine="0"/>
        <w:rPr>
          <w:rFonts w:ascii="Tahoma" w:cs="Tahoma" w:eastAsia="Tahoma" w:hAnsi="Tahoma"/>
          <w:i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41" w:line="240" w:lineRule="auto"/>
        <w:ind w:left="113" w:right="-20" w:firstLine="0"/>
        <w:rPr>
          <w:rFonts w:ascii="Tahoma" w:cs="Tahoma" w:eastAsia="Tahoma" w:hAnsi="Tahoma"/>
          <w:i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References: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6" w:line="240" w:lineRule="auto"/>
        <w:ind w:left="720" w:right="73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Suspected anaphylactic reactions associated with anaesthesia, revised edition 2009. Association of Anaesthetists of Great Britain and Ireland.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720" w:right="71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Australian and New Zealand Anaesthetic Allergy Group Anaphylaxis Management Guidelines. Last modified on: 21 April 2016</w:t>
      </w:r>
      <w:hyperlink r:id="rId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http://anzaag.com/Mgmt%20Resources.aspx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Frith K, Smith J, Joshi P, Ford LS, Vale S. Updated anaphylaxis guidelines: management in infants and children. Aust Prescr. 2021 Jun;44(3):91-95. doi: 10.18773/austprescr.2021.016. Epub 2021 Jun 1. PMID: 34211247; PMCID: PMC8236874.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Jeffrey F Linzer, Sr, Chief Editor: Kirsten A Bechtel, MD. Pediatric Anaphylaxis, Medscape. Updated: Feb 2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7 2004.  </w:t>
      </w:r>
      <w:hyperlink r:id="rId9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https://emedicine.medscape.com/article/799744-overview</w:t>
        </w:r>
      </w:hyperlink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(site accessed September 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Royal Childrens Hospital &gt;</w:t>
      </w:r>
      <w:hyperlink r:id="rId10">
        <w:r w:rsidDel="00000000" w:rsidR="00000000" w:rsidRPr="00000000">
          <w:rPr>
            <w:rFonts w:ascii="Tahoma" w:cs="Tahoma" w:eastAsia="Tahoma" w:hAnsi="Tahoma"/>
            <w:color w:val="0000ff"/>
            <w:sz w:val="16"/>
            <w:szCs w:val="16"/>
            <w:u w:val="single"/>
            <w:rtl w:val="0"/>
          </w:rPr>
          <w:t xml:space="preserve">Clinical Practice Guidelines&gt; Anaphylaxis. </w:t>
        </w:r>
      </w:hyperlink>
      <w:r w:rsidDel="00000000" w:rsidR="00000000" w:rsidRPr="00000000">
        <w:rPr>
          <w:rFonts w:ascii="Tahoma" w:cs="Tahoma" w:eastAsia="Tahoma" w:hAnsi="Tahoma"/>
          <w:color w:val="0000ff"/>
          <w:sz w:val="16"/>
          <w:szCs w:val="16"/>
          <w:u w:val="single"/>
          <w:rtl w:val="0"/>
        </w:rPr>
        <w:t xml:space="preserve">https://www.rch.org.au/clinicalguide/guideline_index/anaphylaxis/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(site accessed September 24)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11" w:type="default"/>
          <w:footerReference r:id="rId12" w:type="default"/>
          <w:pgSz w:h="8640" w:w="5760" w:orient="portrait"/>
          <w:pgMar w:bottom="480" w:top="460" w:left="180" w:right="160" w:header="270" w:footer="28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820"/>
        </w:tabs>
        <w:spacing w:after="0" w:before="1" w:line="240" w:lineRule="auto"/>
        <w:ind w:left="833" w:right="71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type w:val="nextPage"/>
      <w:pgSz w:h="8640" w:w="5760" w:orient="portrait"/>
      <w:pgMar w:bottom="480" w:top="460" w:left="180" w:right="160" w:header="270" w:footer="28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Permanent Marker">
    <w:embedRegular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spacing w:after="0" w:line="200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1638300</wp:posOffset>
              </wp:positionH>
              <wp:positionV relativeFrom="paragraph">
                <wp:posOffset>5130800</wp:posOffset>
              </wp:positionV>
              <wp:extent cx="123825" cy="13271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93613" y="3723168"/>
                        <a:ext cx="104775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180"/>
                            <w:ind w:left="40" w:right="-20" w:firstLine="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mic Sans MS" w:cs="Comic Sans MS" w:eastAsia="Comic Sans MS" w:hAnsi="Comic Sans M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1638300</wp:posOffset>
              </wp:positionH>
              <wp:positionV relativeFrom="paragraph">
                <wp:posOffset>5130800</wp:posOffset>
              </wp:positionV>
              <wp:extent cx="123825" cy="132715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327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rFonts w:ascii="Permanent Marker" w:cs="Permanent Marker" w:eastAsia="Permanent Marker" w:hAnsi="Permanent Marker"/>
        <w:b w:val="1"/>
        <w:smallCaps w:val="1"/>
        <w:color w:val="808080"/>
        <w:sz w:val="16"/>
        <w:szCs w:val="16"/>
      </w:rPr>
    </w:pPr>
    <w:r w:rsidDel="00000000" w:rsidR="00000000" w:rsidRPr="00000000">
      <w:rPr>
        <w:rFonts w:ascii="Permanent Marker" w:cs="Permanent Marker" w:eastAsia="Permanent Marker" w:hAnsi="Permanent Marker"/>
        <w:b w:val="1"/>
        <w:smallCaps w:val="1"/>
        <w:color w:val="808080"/>
        <w:sz w:val="16"/>
        <w:szCs w:val="16"/>
        <w:rtl w:val="0"/>
      </w:rPr>
      <w:t xml:space="preserve">Paediatric Anaesthesia</w:t>
    </w:r>
  </w:p>
  <w:p w:rsidR="00000000" w:rsidDel="00000000" w:rsidP="00000000" w:rsidRDefault="00000000" w:rsidRPr="00000000" w14:paraId="00000040">
    <w:pPr>
      <w:spacing w:after="0" w:line="200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102B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65557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434BC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4BC6"/>
  </w:style>
  <w:style w:type="paragraph" w:styleId="Footer">
    <w:name w:val="footer"/>
    <w:basedOn w:val="Normal"/>
    <w:link w:val="FooterChar"/>
    <w:uiPriority w:val="99"/>
    <w:unhideWhenUsed w:val="1"/>
    <w:rsid w:val="00434BC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4BC6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61A5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61A55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461A55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Revision">
    <w:name w:val="Revision"/>
    <w:hidden w:val="1"/>
    <w:uiPriority w:val="99"/>
    <w:semiHidden w:val="1"/>
    <w:rsid w:val="00B579D4"/>
    <w:pPr>
      <w:widowControl w:val="1"/>
      <w:spacing w:after="0" w:line="240" w:lineRule="auto"/>
    </w:pPr>
  </w:style>
  <w:style w:type="paragraph" w:styleId="NormalWeb">
    <w:name w:val="Normal (Web)"/>
    <w:basedOn w:val="Normal"/>
    <w:uiPriority w:val="99"/>
    <w:unhideWhenUsed w:val="1"/>
    <w:rsid w:val="00AB2086"/>
    <w:pPr>
      <w:widowControl w:val="1"/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val="en-PK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65557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yperlink">
    <w:name w:val="Hyperlink"/>
    <w:basedOn w:val="DefaultParagraphFont"/>
    <w:uiPriority w:val="99"/>
    <w:unhideWhenUsed w:val="1"/>
    <w:rsid w:val="006655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6555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8684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about:blank" TargetMode="External"/><Relationship Id="rId12" Type="http://schemas.openxmlformats.org/officeDocument/2006/relationships/footer" Target="footer1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PermanentMarker-regular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8x14GFXbbc+SGwJscEdejPnjnQ==">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2019-05-02T08:36:00Z</dcterms:created>
  <dc:creator>C L Bong</dc:creator>
</cp:coreProperties>
</file>