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ahoma" w:cs="Tahoma" w:eastAsia="Tahoma" w:hAnsi="Tahoma"/>
          <w:b w:val="1"/>
          <w:color w:val="0000ff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color w:val="0000ff"/>
          <w:sz w:val="16"/>
          <w:szCs w:val="16"/>
          <w:rtl w:val="0"/>
        </w:rPr>
        <w:t xml:space="preserve">ANAESTHESIA FOR PAEDIATRIC ONCOLOGY RADIOTHERAPY / IMAGING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support may be required for Radiotherapy (RT) and Diagnostic Imaging in a patient’s treatment plan. </w:t>
      </w:r>
    </w:p>
    <w:p w:rsidR="00000000" w:rsidDel="00000000" w:rsidP="00000000" w:rsidRDefault="00000000" w:rsidRPr="00000000" w14:paraId="00000003">
      <w:pPr>
        <w:pStyle w:val="Heading2"/>
        <w:spacing w:after="160" w:line="259" w:lineRule="auto"/>
        <w:jc w:val="both"/>
        <w:rPr/>
      </w:pPr>
      <w:bookmarkStart w:colFirst="0" w:colLast="0" w:name="_heading=h.ttr04scjlgse" w:id="0"/>
      <w:bookmarkEnd w:id="0"/>
      <w:r w:rsidDel="00000000" w:rsidR="00000000" w:rsidRPr="00000000">
        <w:rPr>
          <w:rtl w:val="0"/>
        </w:rPr>
        <w:t xml:space="preserve">Radiotherapy (RT) 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Modes of RT include photon beam therapy, proton beam therapy and brachytherapy.Prior to commencement of RT, CT Simulation is done to plan for precise irradiation. A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mould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or face shield may be made to facilitate patient set up and treatment accuracy.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duration of treatment can vary from 2 to 6 weeks depending on the primary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tumour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and treatment goals. 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Cooperation and immobilization of the child is needed. This can be achieved via General Anaesthesia (GA) or Sedation depending on treatment requirements and the patient.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GA is delivered via a volatile or intravenous technique. With an intravenous technique, propofol or dexmedetomidine may be the drug of choice. TIVA using TCI infusion allows for interindividual consistency as multiple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anaesthetists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may be involved in the patient’s care during long treatment periods of 4 to 6 weeks. 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Adequate maintenance of oxygenation, ventilation and airway patency is paramount. Oxygenation is often achieved via nasal cannulae, face mask or a supraglottic device. The airway device for CT Simulation and subsequent RT must be similar especially when a head shield is applied. Capnography and pulse oximetry to monitor adequacy of ventilation and oxygenation is important as clinical observation by the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anaesthetist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is not possible during radiation dose delivery. Central vein access using Port a Cath, Hickman Catheter or peripherally inserted central catheter (PICC)</w:t>
      </w:r>
    </w:p>
    <w:p w:rsidR="00000000" w:rsidDel="00000000" w:rsidP="00000000" w:rsidRDefault="00000000" w:rsidRPr="00000000" w14:paraId="00000009">
      <w:pPr>
        <w:pStyle w:val="Heading2"/>
        <w:spacing w:after="160" w:line="259" w:lineRule="auto"/>
        <w:jc w:val="both"/>
        <w:rPr/>
      </w:pPr>
      <w:bookmarkStart w:colFirst="0" w:colLast="0" w:name="_heading=h.s03wxcr93b42" w:id="1"/>
      <w:bookmarkEnd w:id="1"/>
      <w:r w:rsidDel="00000000" w:rsidR="00000000" w:rsidRPr="00000000">
        <w:rPr>
          <w:rtl w:val="0"/>
        </w:rPr>
        <w:t xml:space="preserve">Care of Central Line 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Prevent line infection by using a sterile technique. Scrub the connection hub and its Luer threads with an antimicrobial wipe using a rotating motion ( 10 X). A aseptic non touch technique can be used in the presence of an extension connector. Use chlorhexidine and not plan alcohol swabs.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Maintain line patency by using: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Tahoma" w:cs="Tahoma" w:eastAsia="Tahoma" w:hAnsi="Tahoma"/>
          <w:sz w:val="16"/>
          <w:szCs w:val="16"/>
        </w:rPr>
      </w:pPr>
      <w:bookmarkStart w:colFirst="0" w:colLast="0" w:name="_heading=h.gjdgxs" w:id="2"/>
      <w:bookmarkEnd w:id="2"/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minimal infusion rates 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59" w:lineRule="auto"/>
        <w:ind w:left="1133.8582677165355" w:hanging="360"/>
        <w:jc w:val="both"/>
        <w:rPr>
          <w:rFonts w:ascii="Tahoma" w:cs="Tahoma" w:eastAsia="Tahoma" w:hAnsi="Tahoma"/>
          <w:sz w:val="16"/>
          <w:szCs w:val="16"/>
        </w:rPr>
      </w:pPr>
      <w:bookmarkStart w:colFirst="0" w:colLast="0" w:name="_heading=h.31rag66z3wn" w:id="3"/>
      <w:bookmarkEnd w:id="3"/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5 ml/ h for PICC and Hickman small (white) lumen 13ml/h for Hickman large (red) lumen and Port a Cath (with fluid restriction)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59" w:lineRule="auto"/>
        <w:ind w:left="1133.8582677165355" w:hanging="360"/>
        <w:jc w:val="both"/>
        <w:rPr>
          <w:rFonts w:ascii="Tahoma" w:cs="Tahoma" w:eastAsia="Tahoma" w:hAnsi="Tahoma"/>
          <w:sz w:val="16"/>
          <w:szCs w:val="16"/>
        </w:rPr>
      </w:pPr>
      <w:bookmarkStart w:colFirst="0" w:colLast="0" w:name="_heading=h.vvdfj65vwxha" w:id="4"/>
      <w:bookmarkEnd w:id="4"/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21 mls/h for Port a Cath.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pulsatile flushing method ( 10 X 1ml boluses ) to reduce protein and bacterial adhesion.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flush using positive pressure to prevent backflow of blood and clamp catheter just prior to injecting the last ml of heparin saline.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locking volumes :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40" w:lineRule="auto"/>
        <w:ind w:left="1133.8582677165355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5 mls of heparin saline (10 IU/ml ) for Hickman and Port a Cath (daily use)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40" w:lineRule="auto"/>
        <w:ind w:left="1133.8582677165355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3 mls of heparin saline (10 IU/ml ) for PICC.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40" w:lineRule="auto"/>
        <w:ind w:left="1133.8582677165355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5 mls of heparin saline (100 IU / ml ) for weekly flushing of Port a Cath.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jc w:val="both"/>
        <w:rPr/>
      </w:pPr>
      <w:bookmarkStart w:colFirst="0" w:colLast="0" w:name="_heading=h.lxp5lhzhs9yd" w:id="5"/>
      <w:bookmarkEnd w:id="5"/>
      <w:r w:rsidDel="00000000" w:rsidR="00000000" w:rsidRPr="00000000">
        <w:rPr>
          <w:rtl w:val="0"/>
        </w:rPr>
        <w:t xml:space="preserve">Platelet Threshold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20,000 platelets per microliter of blood in the absence of clinical bleeding in view of possible airway device insertion for conduct of GA. 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Platelet threshold for oncology is &gt; 10, 000/ml in non neutropenic patients, &gt;20, 000/ml in neutropenic patients, &gt;50,000/ml for LP or Port a Cath insertion. </w:t>
      </w:r>
    </w:p>
    <w:p w:rsidR="00000000" w:rsidDel="00000000" w:rsidP="00000000" w:rsidRDefault="00000000" w:rsidRPr="00000000" w14:paraId="00000019">
      <w:pPr>
        <w:pStyle w:val="Heading2"/>
        <w:spacing w:after="160" w:line="259" w:lineRule="auto"/>
        <w:jc w:val="both"/>
        <w:rPr/>
      </w:pPr>
      <w:bookmarkStart w:colFirst="0" w:colLast="0" w:name="_heading=h.n7qjx6jv4n09" w:id="6"/>
      <w:bookmarkEnd w:id="6"/>
      <w:r w:rsidDel="00000000" w:rsidR="00000000" w:rsidRPr="00000000">
        <w:rPr>
          <w:rtl w:val="0"/>
        </w:rPr>
        <w:t xml:space="preserve">MIBG Scan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scan is for neuroendocrine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tumours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e.g. neuroblastoma. The isotope (iodine 123 mea -iodobenzylguanidine) is given 2 days prior to the MIBG scans. If the child is unwell e.g. URTI, an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consult is necessary prior to isotope injection. The scans are done over 2 consecutive days. Glucose feeds can be given for MIBG scans. Fast patients according to fasting guidelines.</w:t>
      </w:r>
    </w:p>
    <w:p w:rsidR="00000000" w:rsidDel="00000000" w:rsidP="00000000" w:rsidRDefault="00000000" w:rsidRPr="00000000" w14:paraId="0000001B">
      <w:pPr>
        <w:pStyle w:val="Heading2"/>
        <w:spacing w:after="160" w:line="259" w:lineRule="auto"/>
        <w:jc w:val="both"/>
        <w:rPr/>
      </w:pPr>
      <w:bookmarkStart w:colFirst="0" w:colLast="0" w:name="_heading=h.yiyjiyrl6w62" w:id="7"/>
      <w:bookmarkEnd w:id="7"/>
      <w:r w:rsidDel="00000000" w:rsidR="00000000" w:rsidRPr="00000000">
        <w:rPr>
          <w:rtl w:val="0"/>
        </w:rPr>
        <w:t xml:space="preserve">PET Scan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Pet Scans can be performed for oncology or non oncology patients. Patients are admitted on the day before the scan. Venous access (peripheral /central) is established for isotope injection. Anticipated GA time is about 1 hour after isotope injection.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Tahoma" w:cs="Tahoma" w:eastAsia="Tahoma" w:hAnsi="Tahoma"/>
          <w:color w:val="ff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ff0000"/>
          <w:sz w:val="16"/>
          <w:szCs w:val="16"/>
          <w:rtl w:val="0"/>
        </w:rPr>
        <w:t xml:space="preserve">Glucose feeds or dextrose containing drips must be stopped 4 h prior to isotope (FDG) injection.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160" w:line="259" w:lineRule="auto"/>
        <w:jc w:val="both"/>
        <w:rPr/>
      </w:pPr>
      <w:bookmarkStart w:colFirst="0" w:colLast="0" w:name="_heading=h.gauc9cdhj82a" w:id="8"/>
      <w:bookmarkEnd w:id="8"/>
      <w:r w:rsidDel="00000000" w:rsidR="00000000" w:rsidRPr="00000000">
        <w:rPr>
          <w:rtl w:val="0"/>
        </w:rPr>
        <w:br w:type="textWrapping"/>
        <w:t xml:space="preserve">Brain PET Scan /EEG (Neurology Patients)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Patients receive an EEG and a Brain PET Scan in the Department of Nuclear Medicine. EEG is done an hour before and 1 hour after FDG injection prior to the PET scan. 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patient may require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support for both EEG and PET Scan or only for PET Scan, depending on the degree of cooperation. Discussion with the Neurology Speciality Care Nurse / Neurologist is useful.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Tahoma" w:cs="Tahoma" w:eastAsia="Tahoma" w:hAnsi="Tahoma"/>
          <w:color w:val="ff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ff0000"/>
          <w:sz w:val="16"/>
          <w:szCs w:val="16"/>
          <w:rtl w:val="0"/>
        </w:rPr>
        <w:t xml:space="preserve">Glucose feeds or dextrose containing drips must be stopped 4 h prior to FDG isotope injection. </w:t>
      </w:r>
    </w:p>
    <w:p w:rsidR="00000000" w:rsidDel="00000000" w:rsidP="00000000" w:rsidRDefault="00000000" w:rsidRPr="00000000" w14:paraId="00000022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8640" w:w="5760" w:orient="portrait"/>
      <w:pgMar w:bottom="567" w:top="567" w:left="284" w:right="284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ic Sans MS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Permanent Marker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Paediatric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Anaesthesia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Style w:val="Heading1"/>
      <w:spacing w:line="288" w:lineRule="auto"/>
      <w:jc w:val="center"/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</w:rPr>
    </w:pPr>
    <w:bookmarkStart w:colFirst="0" w:colLast="0" w:name="_heading=h.3ieo94xzexdp" w:id="9"/>
    <w:bookmarkEnd w:id="9"/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60" w:line="259" w:lineRule="auto"/>
    </w:pPr>
    <w:rPr>
      <w:rFonts w:ascii="Tahoma" w:cs="Tahoma" w:eastAsia="Tahoma" w:hAnsi="Tahoma"/>
      <w:sz w:val="16"/>
      <w:szCs w:val="16"/>
      <w:u w:val="single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  <w:qFormat w:val="1"/>
    <w:rsid w:val="00D11AE3"/>
    <w:rPr>
      <w:sz w:val="24"/>
    </w:rPr>
  </w:style>
  <w:style w:type="paragraph" w:styleId="Heading1">
    <w:name w:val="heading 1"/>
    <w:basedOn w:val="Normal"/>
    <w:next w:val="Normal"/>
    <w:qFormat w:val="1"/>
    <w:rsid w:val="00D11AE3"/>
    <w:pPr>
      <w:keepNext w:val="1"/>
      <w:outlineLvl w:val="0"/>
    </w:pPr>
    <w:rPr>
      <w:noProof w:val="1"/>
      <w:sz w:val="28"/>
    </w:rPr>
  </w:style>
  <w:style w:type="paragraph" w:styleId="Heading2">
    <w:name w:val="heading 2"/>
    <w:basedOn w:val="Normal"/>
    <w:next w:val="Normal"/>
    <w:qFormat w:val="1"/>
    <w:rsid w:val="00D11AE3"/>
    <w:pPr>
      <w:keepNext w:val="1"/>
      <w:outlineLvl w:val="1"/>
    </w:pPr>
    <w:rPr>
      <w:b w:val="1"/>
      <w:caps w:val="1"/>
      <w:noProof w:val="1"/>
      <w:sz w:val="18"/>
    </w:rPr>
  </w:style>
  <w:style w:type="paragraph" w:styleId="Heading3">
    <w:name w:val="heading 3"/>
    <w:basedOn w:val="Normal"/>
    <w:next w:val="Normal"/>
    <w:qFormat w:val="1"/>
    <w:rsid w:val="00D11AE3"/>
    <w:pPr>
      <w:keepNext w:val="1"/>
      <w:outlineLvl w:val="2"/>
    </w:pPr>
    <w:rPr>
      <w:rFonts w:ascii="Arial" w:eastAsia="Arial Unicode MS" w:hAnsi="Arial"/>
      <w:b w:val="1"/>
      <w:color w:val="3366ff"/>
      <w:sz w:val="18"/>
    </w:rPr>
  </w:style>
  <w:style w:type="paragraph" w:styleId="Heading4">
    <w:name w:val="heading 4"/>
    <w:basedOn w:val="Normal"/>
    <w:next w:val="Normal"/>
    <w:qFormat w:val="1"/>
    <w:rsid w:val="00D11AE3"/>
    <w:pPr>
      <w:keepNext w:val="1"/>
      <w:outlineLvl w:val="3"/>
    </w:pPr>
    <w:rPr>
      <w:b w:val="1"/>
      <w:caps w:val="1"/>
      <w:noProof w:val="1"/>
      <w:sz w:val="20"/>
    </w:rPr>
  </w:style>
  <w:style w:type="paragraph" w:styleId="Heading5">
    <w:name w:val="heading 5"/>
    <w:basedOn w:val="Normal"/>
    <w:next w:val="Normal"/>
    <w:qFormat w:val="1"/>
    <w:rsid w:val="00D11AE3"/>
    <w:pPr>
      <w:keepNext w:val="1"/>
      <w:spacing w:line="288" w:lineRule="auto"/>
      <w:outlineLvl w:val="4"/>
    </w:pPr>
    <w:rPr>
      <w:rFonts w:ascii="Arial" w:eastAsia="Arial Unicode MS" w:hAnsi="Arial"/>
      <w:b w:val="1"/>
      <w:sz w:val="16"/>
    </w:rPr>
  </w:style>
  <w:style w:type="paragraph" w:styleId="Heading6">
    <w:name w:val="heading 6"/>
    <w:basedOn w:val="Normal"/>
    <w:next w:val="Normal"/>
    <w:qFormat w:val="1"/>
    <w:rsid w:val="00D11AE3"/>
    <w:pPr>
      <w:keepNext w:val="1"/>
      <w:spacing w:line="288" w:lineRule="auto"/>
      <w:outlineLvl w:val="5"/>
    </w:pPr>
    <w:rPr>
      <w:rFonts w:ascii="Arial" w:eastAsia="Arial Unicode MS" w:hAnsi="Arial"/>
      <w:sz w:val="15"/>
      <w:u w:val="single"/>
    </w:rPr>
  </w:style>
  <w:style w:type="paragraph" w:styleId="Heading7">
    <w:name w:val="heading 7"/>
    <w:basedOn w:val="Normal"/>
    <w:next w:val="Normal"/>
    <w:qFormat w:val="1"/>
    <w:rsid w:val="00D11AE3"/>
    <w:pPr>
      <w:keepNext w:val="1"/>
      <w:spacing w:line="288" w:lineRule="auto"/>
      <w:outlineLvl w:val="6"/>
    </w:pPr>
    <w:rPr>
      <w:rFonts w:ascii="Arial" w:eastAsia="Arial Unicode MS" w:hAnsi="Arial"/>
      <w:color w:val="3366ff"/>
      <w:sz w:val="16"/>
      <w:u w:val="single"/>
    </w:rPr>
  </w:style>
  <w:style w:type="paragraph" w:styleId="Heading8">
    <w:name w:val="heading 8"/>
    <w:basedOn w:val="Normal"/>
    <w:next w:val="Normal"/>
    <w:qFormat w:val="1"/>
    <w:rsid w:val="00D11AE3"/>
    <w:pPr>
      <w:keepNext w:val="1"/>
      <w:spacing w:line="360" w:lineRule="auto"/>
      <w:outlineLvl w:val="7"/>
    </w:pPr>
    <w:rPr>
      <w:rFonts w:ascii="Arial" w:eastAsia="Arial Unicode MS" w:hAnsi="Arial"/>
      <w:b w:val="1"/>
      <w:sz w:val="15"/>
    </w:rPr>
  </w:style>
  <w:style w:type="paragraph" w:styleId="Heading9">
    <w:name w:val="heading 9"/>
    <w:basedOn w:val="Normal"/>
    <w:next w:val="Normal"/>
    <w:qFormat w:val="1"/>
    <w:rsid w:val="00D11AE3"/>
    <w:pPr>
      <w:keepNext w:val="1"/>
      <w:spacing w:line="288" w:lineRule="auto"/>
      <w:outlineLvl w:val="8"/>
    </w:pPr>
    <w:rPr>
      <w:rFonts w:ascii="Arial" w:hAnsi="Arial"/>
      <w:b w:val="1"/>
      <w:color w:val="000000"/>
      <w:sz w:val="1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sid w:val="00D11AE3"/>
    <w:pPr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semiHidden w:val="1"/>
    <w:rsid w:val="00D11AE3"/>
    <w:rPr>
      <w:noProof w:val="1"/>
      <w:sz w:val="18"/>
    </w:rPr>
  </w:style>
  <w:style w:type="paragraph" w:styleId="BodyTextIndent">
    <w:name w:val="Body Text Indent"/>
    <w:basedOn w:val="Normal"/>
    <w:semiHidden w:val="1"/>
    <w:rsid w:val="00D11AE3"/>
    <w:pPr>
      <w:ind w:left="720" w:hanging="720"/>
      <w:jc w:val="both"/>
    </w:pPr>
    <w:rPr>
      <w:sz w:val="22"/>
      <w:lang w:val="en-GB"/>
    </w:rPr>
  </w:style>
  <w:style w:type="paragraph" w:styleId="BodyTextIndent2">
    <w:name w:val="Body Text Indent 2"/>
    <w:basedOn w:val="Normal"/>
    <w:semiHidden w:val="1"/>
    <w:rsid w:val="00D11AE3"/>
    <w:pPr>
      <w:ind w:left="720" w:hanging="360"/>
    </w:pPr>
    <w:rPr>
      <w:sz w:val="20"/>
      <w:lang w:val="en-GB"/>
    </w:rPr>
  </w:style>
  <w:style w:type="paragraph" w:styleId="BodyText3">
    <w:name w:val="Body Text 3"/>
    <w:basedOn w:val="Normal"/>
    <w:semiHidden w:val="1"/>
    <w:rsid w:val="00D11AE3"/>
    <w:pPr>
      <w:jc w:val="both"/>
    </w:pPr>
    <w:rPr>
      <w:rFonts w:ascii="Arial Unicode MS" w:eastAsia="Arial Unicode MS" w:hAnsi="Arial Unicode MS"/>
      <w:sz w:val="16"/>
    </w:rPr>
  </w:style>
  <w:style w:type="paragraph" w:styleId="Header">
    <w:name w:val="header"/>
    <w:basedOn w:val="Normal"/>
    <w:semiHidden w:val="1"/>
    <w:rsid w:val="00D11AE3"/>
    <w:pPr>
      <w:tabs>
        <w:tab w:val="center" w:pos="4320"/>
        <w:tab w:val="right" w:pos="8640"/>
      </w:tabs>
    </w:pPr>
    <w:rPr>
      <w:rFonts w:ascii="Arial" w:hAnsi="Arial"/>
      <w:sz w:val="22"/>
      <w:lang w:val="en-GB"/>
    </w:rPr>
  </w:style>
  <w:style w:type="paragraph" w:styleId="Title">
    <w:name w:val="Title"/>
    <w:basedOn w:val="Normal"/>
    <w:qFormat w:val="1"/>
    <w:rsid w:val="00D11AE3"/>
    <w:pPr>
      <w:jc w:val="center"/>
    </w:pPr>
    <w:rPr>
      <w:rFonts w:ascii="Tahoma" w:hAnsi="Tahoma"/>
      <w:b w:val="1"/>
      <w:color w:val="3366ff"/>
      <w:sz w:val="18"/>
    </w:rPr>
  </w:style>
  <w:style w:type="paragraph" w:styleId="BodyTextIndent3">
    <w:name w:val="Body Text Indent 3"/>
    <w:basedOn w:val="Normal"/>
    <w:semiHidden w:val="1"/>
    <w:rsid w:val="00D11AE3"/>
    <w:pPr>
      <w:ind w:left="-360" w:firstLine="720"/>
    </w:pPr>
    <w:rPr>
      <w:rFonts w:ascii="Arial" w:hAnsi="Arial"/>
      <w:color w:val="000000"/>
      <w:sz w:val="15"/>
    </w:rPr>
  </w:style>
  <w:style w:type="paragraph" w:styleId="Footer">
    <w:name w:val="footer"/>
    <w:basedOn w:val="Normal"/>
    <w:semiHidden w:val="1"/>
    <w:rsid w:val="00D11A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  <w:rsid w:val="00D11AE3"/>
    <w:rPr>
      <w:rFonts w:ascii="Comic Sans MS" w:hAnsi="Comic Sans MS"/>
      <w:b w:val="1"/>
      <w:color w:val="666699"/>
      <w:sz w:val="14"/>
    </w:rPr>
  </w:style>
  <w:style w:type="paragraph" w:styleId="DocumentMap">
    <w:name w:val="Document Map"/>
    <w:basedOn w:val="Normal"/>
    <w:semiHidden w:val="1"/>
    <w:rsid w:val="00D11AE3"/>
    <w:pPr>
      <w:shd w:color="auto" w:fill="000080" w:val="clear"/>
    </w:pPr>
    <w:rPr>
      <w:rFonts w:ascii="Tahoma" w:hAnsi="Tahoma"/>
    </w:rPr>
  </w:style>
  <w:style w:type="character" w:styleId="Hyperlink">
    <w:name w:val="Hyperlink"/>
    <w:basedOn w:val="DefaultParagraphFont"/>
    <w:semiHidden w:val="1"/>
    <w:rsid w:val="00D11AE3"/>
    <w:rPr>
      <w:color w:val="0000ff"/>
      <w:u w:val="single"/>
    </w:rPr>
  </w:style>
  <w:style w:type="paragraph" w:styleId="NormalWeb">
    <w:name w:val="Normal (Web)"/>
    <w:basedOn w:val="Normal"/>
    <w:semiHidden w:val="1"/>
    <w:rsid w:val="00D11AE3"/>
    <w:pPr>
      <w:spacing w:after="100" w:afterAutospacing="1" w:before="100" w:beforeAutospacing="1"/>
    </w:pPr>
    <w:rPr>
      <w:rFonts w:eastAsia="SimSun"/>
      <w:lang w:eastAsia="zh-CN"/>
    </w:rPr>
  </w:style>
  <w:style w:type="character" w:styleId="Strong">
    <w:name w:val="Strong"/>
    <w:basedOn w:val="DefaultParagraphFont"/>
    <w:qFormat w:val="1"/>
    <w:rsid w:val="00D11AE3"/>
    <w:rPr>
      <w:b w:val="1"/>
    </w:rPr>
  </w:style>
  <w:style w:type="character" w:styleId="Emphasis">
    <w:name w:val="Emphasis"/>
    <w:basedOn w:val="DefaultParagraphFont"/>
    <w:qFormat w:val="1"/>
    <w:rsid w:val="00D11AE3"/>
    <w:rPr>
      <w:i w:val="1"/>
    </w:rPr>
  </w:style>
  <w:style w:type="paragraph" w:styleId="Index1">
    <w:name w:val="index 1"/>
    <w:basedOn w:val="Normal"/>
    <w:next w:val="Normal"/>
    <w:autoRedefine w:val="1"/>
    <w:semiHidden w:val="1"/>
    <w:rsid w:val="00D11AE3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rsid w:val="00D11AE3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rsid w:val="00D11AE3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rsid w:val="00D11AE3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rsid w:val="00D11AE3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rsid w:val="00D11AE3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rsid w:val="00D11AE3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rsid w:val="00D11AE3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rsid w:val="00D11AE3"/>
    <w:pPr>
      <w:ind w:left="2160" w:hanging="240"/>
    </w:pPr>
  </w:style>
  <w:style w:type="paragraph" w:styleId="IndexHeading">
    <w:name w:val="index heading"/>
    <w:basedOn w:val="Normal"/>
    <w:next w:val="Index1"/>
    <w:semiHidden w:val="1"/>
    <w:rsid w:val="00D11AE3"/>
  </w:style>
  <w:style w:type="paragraph" w:styleId="ListParagraph">
    <w:name w:val="List Paragraph"/>
    <w:basedOn w:val="Normal"/>
    <w:uiPriority w:val="34"/>
    <w:qFormat w:val="1"/>
    <w:rsid w:val="003E114A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A574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A574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zRx+2LVMdujdMc328zds8ff5WQ==">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2016-11-21T09:05:00Z</dcterms:created>
  <dc:creator>dr03268i</dc:creator>
</cp:coreProperties>
</file>