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88" w:lineRule="auto"/>
        <w:jc w:val="center"/>
        <w:rPr>
          <w:rFonts w:ascii="Tahoma" w:cs="Tahoma" w:eastAsia="Tahoma" w:hAnsi="Tahoma"/>
          <w:b w:val="1"/>
          <w:color w:val="3366ff"/>
          <w:sz w:val="16"/>
          <w:szCs w:val="16"/>
        </w:rPr>
      </w:pPr>
      <w:r w:rsidDel="00000000" w:rsidR="00000000" w:rsidRPr="00000000">
        <w:rPr>
          <w:rFonts w:ascii="Tahoma" w:cs="Tahoma" w:eastAsia="Tahoma" w:hAnsi="Tahoma"/>
          <w:b w:val="1"/>
          <w:color w:val="3366ff"/>
          <w:sz w:val="16"/>
          <w:szCs w:val="16"/>
          <w:rtl w:val="0"/>
        </w:rPr>
        <w:t xml:space="preserve">CENTRAL NEURAXIAL BLOCK (CNB) TECHNIQUES</w:t>
      </w:r>
    </w:p>
    <w:p w:rsidR="00000000" w:rsidDel="00000000" w:rsidP="00000000" w:rsidRDefault="00000000" w:rsidRPr="00000000" w14:paraId="00000002">
      <w:pPr>
        <w:spacing w:line="288" w:lineRule="auto"/>
        <w:jc w:val="both"/>
        <w:rPr>
          <w:rFonts w:ascii="Tahoma" w:cs="Tahoma" w:eastAsia="Tahoma" w:hAnsi="Tahoma"/>
          <w:b w:val="1"/>
          <w:color w:val="3366ff"/>
          <w:sz w:val="16"/>
          <w:szCs w:val="16"/>
        </w:rPr>
      </w:pPr>
      <w:r w:rsidDel="00000000" w:rsidR="00000000" w:rsidRPr="00000000">
        <w:rPr>
          <w:rtl w:val="0"/>
        </w:rPr>
      </w:r>
    </w:p>
    <w:p w:rsidR="00000000" w:rsidDel="00000000" w:rsidP="00000000" w:rsidRDefault="00000000" w:rsidRPr="00000000" w14:paraId="0000000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Contraindications to CNB</w:t>
      </w: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00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Parental Objection, allergy to drugs used, sepsis, meningitis, coagulopathy, raised intracranial pressure, anatomic malformations of the spine, infection at the puncture site. </w:t>
      </w:r>
    </w:p>
    <w:p w:rsidR="00000000" w:rsidDel="00000000" w:rsidP="00000000" w:rsidRDefault="00000000" w:rsidRPr="00000000" w14:paraId="00000005">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Nursing issues may be a relative contraindication eg. lack of adequate nursing support/ monitoring facilities post-op</w:t>
      </w:r>
    </w:p>
    <w:p w:rsidR="00000000" w:rsidDel="00000000" w:rsidP="00000000" w:rsidRDefault="00000000" w:rsidRPr="00000000" w14:paraId="00000007">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CAUDAL </w:t>
      </w:r>
    </w:p>
    <w:p w:rsidR="00000000" w:rsidDel="00000000" w:rsidP="00000000" w:rsidRDefault="00000000" w:rsidRPr="00000000" w14:paraId="00000009">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sacral hiatus, bound by the sacral cornu, lies at the tip of the equilateral triangle formed by the 2 posterior sacral iliac spines.</w:t>
      </w:r>
    </w:p>
    <w:p w:rsidR="00000000" w:rsidDel="00000000" w:rsidP="00000000" w:rsidRDefault="00000000" w:rsidRPr="00000000" w14:paraId="0000000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Using an aseptic technique, the sacrococcygeal membrane is pierced with a  needle / cannula.</w:t>
      </w:r>
    </w:p>
    <w:p w:rsidR="00000000" w:rsidDel="00000000" w:rsidP="00000000" w:rsidRDefault="00000000" w:rsidRPr="00000000" w14:paraId="0000000B">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C">
      <w:pPr>
        <w:tabs>
          <w:tab w:val="left" w:leader="none" w:pos="0"/>
        </w:tabs>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Exercise caution in the presence of a sacral dimple. Check if an ultrasound or MRI has been done to exclude the presence </w:t>
      </w:r>
      <w:r w:rsidDel="00000000" w:rsidR="00000000" w:rsidRPr="00000000">
        <w:rPr>
          <w:rFonts w:ascii="Tahoma" w:cs="Tahoma" w:eastAsia="Tahoma" w:hAnsi="Tahoma"/>
          <w:sz w:val="16"/>
          <w:szCs w:val="16"/>
          <w:rtl w:val="0"/>
        </w:rPr>
        <w:t xml:space="preserve">of a low</w:t>
      </w:r>
      <w:r w:rsidDel="00000000" w:rsidR="00000000" w:rsidRPr="00000000">
        <w:rPr>
          <w:rFonts w:ascii="Tahoma" w:cs="Tahoma" w:eastAsia="Tahoma" w:hAnsi="Tahoma"/>
          <w:sz w:val="16"/>
          <w:szCs w:val="16"/>
          <w:rtl w:val="0"/>
        </w:rPr>
        <w:t xml:space="preserve"> lying dural sac or tethered cord. Explain adverse effects of hypotension (uncommon), motor block, urinary retention, </w:t>
      </w:r>
      <w:r w:rsidDel="00000000" w:rsidR="00000000" w:rsidRPr="00000000">
        <w:rPr>
          <w:rFonts w:ascii="Tahoma" w:cs="Tahoma" w:eastAsia="Tahoma" w:hAnsi="Tahoma"/>
          <w:sz w:val="16"/>
          <w:szCs w:val="16"/>
          <w:rtl w:val="0"/>
        </w:rPr>
        <w:t xml:space="preserve">intra-vascular</w:t>
      </w:r>
      <w:r w:rsidDel="00000000" w:rsidR="00000000" w:rsidRPr="00000000">
        <w:rPr>
          <w:rFonts w:ascii="Tahoma" w:cs="Tahoma" w:eastAsia="Tahoma" w:hAnsi="Tahoma"/>
          <w:sz w:val="16"/>
          <w:szCs w:val="16"/>
          <w:rtl w:val="0"/>
        </w:rPr>
        <w:t xml:space="preserve"> injection, inadvertent dural puncture.</w:t>
      </w:r>
    </w:p>
    <w:p w:rsidR="00000000" w:rsidDel="00000000" w:rsidP="00000000" w:rsidRDefault="00000000" w:rsidRPr="00000000" w14:paraId="0000000D">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Concentration: 0.2 - 0.25% levobupivacaine generally used but calculate permissible dose to avoid toxicity. Concentration may need to be decreased if an increase in volume is required to achieve an appropriate level of block.</w:t>
      </w:r>
    </w:p>
    <w:p w:rsidR="00000000" w:rsidDel="00000000" w:rsidP="00000000" w:rsidRDefault="00000000" w:rsidRPr="00000000" w14:paraId="0000000F">
      <w:pPr>
        <w:spacing w:line="288" w:lineRule="auto"/>
        <w:jc w:val="both"/>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10">
      <w:pPr>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Volume of local </w:t>
      </w:r>
      <w:r w:rsidDel="00000000" w:rsidR="00000000" w:rsidRPr="00000000">
        <w:rPr>
          <w:rFonts w:ascii="Tahoma" w:cs="Tahoma" w:eastAsia="Tahoma" w:hAnsi="Tahoma"/>
          <w:sz w:val="16"/>
          <w:szCs w:val="16"/>
          <w:u w:val="single"/>
          <w:rtl w:val="0"/>
        </w:rPr>
        <w:t xml:space="preserve">anaesthetic</w:t>
      </w:r>
      <w:r w:rsidDel="00000000" w:rsidR="00000000" w:rsidRPr="00000000">
        <w:rPr>
          <w:rFonts w:ascii="Tahoma" w:cs="Tahoma" w:eastAsia="Tahoma" w:hAnsi="Tahoma"/>
          <w:sz w:val="16"/>
          <w:szCs w:val="16"/>
          <w:u w:val="single"/>
          <w:rtl w:val="0"/>
        </w:rPr>
        <w:t xml:space="preserve"> &amp; estimated level of block </w:t>
      </w:r>
    </w:p>
    <w:p w:rsidR="00000000" w:rsidDel="00000000" w:rsidP="00000000" w:rsidRDefault="00000000" w:rsidRPr="00000000" w14:paraId="00000011">
      <w:pPr>
        <w:jc w:val="both"/>
        <w:rPr>
          <w:rFonts w:ascii="Tahoma" w:cs="Tahoma" w:eastAsia="Tahoma" w:hAnsi="Tahoma"/>
          <w:sz w:val="16"/>
          <w:szCs w:val="16"/>
        </w:rPr>
      </w:pPr>
      <w:r w:rsidDel="00000000" w:rsidR="00000000" w:rsidRPr="00000000">
        <w:rPr>
          <w:rtl w:val="0"/>
        </w:rPr>
      </w:r>
    </w:p>
    <w:tbl>
      <w:tblPr>
        <w:tblStyle w:val="Table1"/>
        <w:tblW w:w="5103.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2553"/>
        <w:tblGridChange w:id="0">
          <w:tblGrid>
            <w:gridCol w:w="2550"/>
            <w:gridCol w:w="2553"/>
          </w:tblGrid>
        </w:tblGridChange>
      </w:tblGrid>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2">
            <w:pPr>
              <w:spacing w:after="40" w:before="40" w:line="288" w:lineRule="auto"/>
              <w:jc w:val="both"/>
              <w:rPr>
                <w:rFonts w:ascii="Tahoma" w:cs="Tahoma" w:eastAsia="Tahoma" w:hAnsi="Tahoma"/>
                <w:color w:val="4f81bd"/>
                <w:sz w:val="16"/>
                <w:szCs w:val="16"/>
              </w:rPr>
            </w:pPr>
            <w:r w:rsidDel="00000000" w:rsidR="00000000" w:rsidRPr="00000000">
              <w:rPr>
                <w:rFonts w:ascii="Tahoma" w:cs="Tahoma" w:eastAsia="Tahoma" w:hAnsi="Tahoma"/>
                <w:sz w:val="16"/>
                <w:szCs w:val="16"/>
                <w:rtl w:val="0"/>
              </w:rPr>
              <w:t xml:space="preserve">0.5 ml/ kg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3">
            <w:pPr>
              <w:spacing w:after="40" w:before="40" w:line="288" w:lineRule="auto"/>
              <w:jc w:val="both"/>
              <w:rPr>
                <w:rFonts w:ascii="Tahoma" w:cs="Tahoma" w:eastAsia="Tahoma" w:hAnsi="Tahoma"/>
                <w:color w:val="4f81bd"/>
                <w:sz w:val="16"/>
                <w:szCs w:val="16"/>
              </w:rPr>
            </w:pPr>
            <w:r w:rsidDel="00000000" w:rsidR="00000000" w:rsidRPr="00000000">
              <w:rPr>
                <w:rFonts w:ascii="Tahoma" w:cs="Tahoma" w:eastAsia="Tahoma" w:hAnsi="Tahoma"/>
                <w:sz w:val="16"/>
                <w:szCs w:val="16"/>
                <w:rtl w:val="0"/>
              </w:rPr>
              <w:t xml:space="preserve">perineum or sole of feet</w:t>
            </w: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4">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0.75- 1.0 ml/ kg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5">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lumbosacral </w:t>
            </w: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6">
            <w:pPr>
              <w:spacing w:after="40" w:before="40" w:line="288" w:lineRule="auto"/>
              <w:jc w:val="both"/>
              <w:rPr>
                <w:rFonts w:ascii="Tahoma" w:cs="Tahoma" w:eastAsia="Tahoma" w:hAnsi="Tahoma"/>
                <w:color w:val="4f81bd"/>
                <w:sz w:val="16"/>
                <w:szCs w:val="16"/>
              </w:rPr>
            </w:pPr>
            <w:r w:rsidDel="00000000" w:rsidR="00000000" w:rsidRPr="00000000">
              <w:rPr>
                <w:rFonts w:ascii="Tahoma" w:cs="Tahoma" w:eastAsia="Tahoma" w:hAnsi="Tahoma"/>
                <w:sz w:val="16"/>
                <w:szCs w:val="16"/>
                <w:rtl w:val="0"/>
              </w:rPr>
              <w:t xml:space="preserve">1.0- 1.25 ml/ kg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7">
            <w:pPr>
              <w:spacing w:after="40" w:before="40" w:line="288" w:lineRule="auto"/>
              <w:jc w:val="both"/>
              <w:rPr>
                <w:rFonts w:ascii="Tahoma" w:cs="Tahoma" w:eastAsia="Tahoma" w:hAnsi="Tahoma"/>
                <w:color w:val="4f81bd"/>
                <w:sz w:val="16"/>
                <w:szCs w:val="16"/>
              </w:rPr>
            </w:pPr>
            <w:r w:rsidDel="00000000" w:rsidR="00000000" w:rsidRPr="00000000">
              <w:rPr>
                <w:rFonts w:ascii="Tahoma" w:cs="Tahoma" w:eastAsia="Tahoma" w:hAnsi="Tahoma"/>
                <w:sz w:val="16"/>
                <w:szCs w:val="16"/>
                <w:rtl w:val="0"/>
              </w:rPr>
              <w:t xml:space="preserve">thoracolumbar (up to T10)</w:t>
            </w: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8">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1.25- 1.5 ml/ kg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9">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mid thoracic </w:t>
            </w:r>
            <w:r w:rsidDel="00000000" w:rsidR="00000000" w:rsidRPr="00000000">
              <w:rPr>
                <w:rtl w:val="0"/>
              </w:rPr>
            </w:r>
          </w:p>
        </w:tc>
      </w:tr>
    </w:tbl>
    <w:p w:rsidR="00000000" w:rsidDel="00000000" w:rsidP="00000000" w:rsidRDefault="00000000" w:rsidRPr="00000000" w14:paraId="0000001A">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B">
      <w:pP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Takasaki: 0.06 ml / segment / kg  or  0.7 ml / kg</w:t>
      </w:r>
    </w:p>
    <w:p w:rsidR="00000000" w:rsidDel="00000000" w:rsidP="00000000" w:rsidRDefault="00000000" w:rsidRPr="00000000" w14:paraId="0000001C">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Maximum volume should not exceed 20mls. </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sz w:val="16"/>
          <w:szCs w:val="16"/>
          <w:rtl w:val="0"/>
        </w:rPr>
        <w:t xml:space="preserve">If a higher</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level of </w:t>
      </w:r>
      <w:r w:rsidDel="00000000" w:rsidR="00000000" w:rsidRPr="00000000">
        <w:rPr>
          <w:rFonts w:ascii="Tahoma" w:cs="Tahoma" w:eastAsia="Tahoma" w:hAnsi="Tahoma"/>
          <w:sz w:val="16"/>
          <w:szCs w:val="16"/>
          <w:rtl w:val="0"/>
        </w:rPr>
        <w:t xml:space="preserve">analgesia is needed</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consider lumbar epidural.</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Suitable as sole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anaesthetic</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technique for ex - premature infants at significant risk of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post-operative</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apnoea.</w:t>
      </w:r>
      <w:r w:rsidDel="00000000" w:rsidR="00000000" w:rsidRPr="00000000">
        <w:rPr>
          <w:rtl w:val="0"/>
        </w:rPr>
      </w:r>
    </w:p>
    <w:p w:rsidR="00000000" w:rsidDel="00000000" w:rsidP="00000000" w:rsidRDefault="00000000" w:rsidRPr="00000000" w14:paraId="00000020">
      <w:pPr>
        <w:spacing w:line="288" w:lineRule="auto"/>
        <w:ind w:left="426"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1">
      <w:pPr>
        <w:tabs>
          <w:tab w:val="left" w:leader="none" w:pos="0"/>
        </w:tabs>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Block Duration</w:t>
      </w:r>
    </w:p>
    <w:p w:rsidR="00000000" w:rsidDel="00000000" w:rsidP="00000000" w:rsidRDefault="00000000" w:rsidRPr="00000000" w14:paraId="00000022">
      <w:pPr>
        <w:tabs>
          <w:tab w:val="left" w:leader="none" w:pos="0"/>
        </w:tabs>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Duration of single-shot (SS) plain caudal block : 2-3 hr</w:t>
      </w:r>
    </w:p>
    <w:p w:rsidR="00000000" w:rsidDel="00000000" w:rsidP="00000000" w:rsidRDefault="00000000" w:rsidRPr="00000000" w14:paraId="00000023">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4">
      <w:pPr>
        <w:tabs>
          <w:tab w:val="left" w:leader="none" w:pos="0"/>
        </w:tabs>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CAUDAL blockade can be extended with ADDITIVES:</w:t>
      </w:r>
    </w:p>
    <w:p w:rsidR="00000000" w:rsidDel="00000000" w:rsidP="00000000" w:rsidRDefault="00000000" w:rsidRPr="00000000" w14:paraId="00000025">
      <w:pPr>
        <w:tabs>
          <w:tab w:val="left" w:leader="none" w:pos="0"/>
        </w:tabs>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Ketamine (preservative free) </w:t>
      </w:r>
      <w:r w:rsidDel="00000000" w:rsidR="00000000" w:rsidRPr="00000000">
        <w:rPr>
          <w:rFonts w:ascii="Tahoma" w:cs="Tahoma" w:eastAsia="Tahoma" w:hAnsi="Tahoma"/>
          <w:sz w:val="16"/>
          <w:szCs w:val="16"/>
          <w:rtl w:val="0"/>
        </w:rPr>
        <w:t xml:space="preserve">0.5-1 mg</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 kg</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Increasing evidence shows histopathological changes with ketamine adjunct use. Avoid if possible, especially in &lt;1 yr old</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If necessary, S-Ketamine is preferred over racemic ketamine, as it is less neurotoxic.</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Prolongs analgesic effect to 8-12 hours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sdt>
        <w:sdtPr>
          <w:tag w:val="goog_rdk_0"/>
        </w:sdtPr>
        <w:sdtContent>
          <w:r w:rsidDel="00000000" w:rsidR="00000000" w:rsidRPr="00000000">
            <w:rPr>
              <w:rFonts w:ascii="Arial Unicode MS" w:cs="Arial Unicode MS" w:eastAsia="Arial Unicode MS" w:hAnsi="Arial Unicode MS"/>
              <w:i w:val="0"/>
              <w:smallCaps w:val="0"/>
              <w:strike w:val="0"/>
              <w:color w:val="000000"/>
              <w:sz w:val="16"/>
              <w:szCs w:val="16"/>
              <w:u w:val="none"/>
              <w:shd w:fill="auto" w:val="clear"/>
              <w:vertAlign w:val="baseline"/>
              <w:rtl w:val="0"/>
            </w:rPr>
            <w:t xml:space="preserve">Side effect: psychomimetic, especially for dose ≥1mg/kg </w:t>
          </w:r>
        </w:sdtContent>
      </w:sdt>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Clonidine 1-2mcg / kg</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Improves analgesic effect &amp; prolongs duration of action to 4-6 hrs.</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Side effects: hypotension ( if &gt;2 mcg / kg), bradycardia,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post-operation</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sedation, blunts ventilatory response to rising CO</w:t>
      </w:r>
      <w:r w:rsidDel="00000000" w:rsidR="00000000" w:rsidRPr="00000000">
        <w:rPr>
          <w:rFonts w:ascii="Tahoma" w:cs="Tahoma" w:eastAsia="Tahoma" w:hAnsi="Tahoma"/>
          <w:i w:val="0"/>
          <w:smallCaps w:val="0"/>
          <w:strike w:val="0"/>
          <w:color w:val="000000"/>
          <w:sz w:val="16"/>
          <w:szCs w:val="16"/>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Avoid Clonidine in &lt; 3 </w:t>
      </w:r>
      <w:r w:rsidDel="00000000" w:rsidR="00000000" w:rsidRPr="00000000">
        <w:rPr>
          <w:rFonts w:ascii="Tahoma" w:cs="Tahoma" w:eastAsia="Tahoma" w:hAnsi="Tahoma"/>
          <w:sz w:val="16"/>
          <w:szCs w:val="16"/>
          <w:rtl w:val="0"/>
        </w:rPr>
        <w:t xml:space="preserve">months</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due to risk of apnoea.</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91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Dexmedetomidine</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suggested dose 1-2mcg/kg</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Dexmedetomidine, also alpha 2 agonist, has been described in more recent literature. It is seven times more selective than clonidine, which means its analgesic and sedative </w:t>
      </w:r>
      <w:r w:rsidDel="00000000" w:rsidR="00000000" w:rsidRPr="00000000">
        <w:rPr>
          <w:rFonts w:ascii="Tahoma" w:cs="Tahoma" w:eastAsia="Tahoma" w:hAnsi="Tahoma"/>
          <w:sz w:val="16"/>
          <w:szCs w:val="16"/>
          <w:rtl w:val="0"/>
        </w:rPr>
        <w:t xml:space="preserve">properties are</w:t>
      </w:r>
      <w:r w:rsidDel="00000000" w:rsidR="00000000" w:rsidRPr="00000000">
        <w:rPr>
          <w:rFonts w:ascii="Tahoma" w:cs="Tahoma" w:eastAsia="Tahoma" w:hAnsi="Tahoma"/>
          <w:sz w:val="16"/>
          <w:szCs w:val="16"/>
          <w:rtl w:val="0"/>
        </w:rPr>
        <w:t xml:space="preserve"> more potent too. </w:t>
      </w:r>
    </w:p>
    <w:p w:rsidR="00000000" w:rsidDel="00000000" w:rsidP="00000000" w:rsidRDefault="00000000" w:rsidRPr="00000000" w14:paraId="0000003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Safety considerations for dexmedetomidine use include the potential for hypotension and or bradycardia. </w:t>
      </w:r>
    </w:p>
    <w:p w:rsidR="00000000" w:rsidDel="00000000" w:rsidP="00000000" w:rsidRDefault="00000000" w:rsidRPr="00000000" w14:paraId="0000003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As toxicity data is limited, the minimum dose needed to achieve its effect should be used. </w:t>
      </w:r>
    </w:p>
    <w:p w:rsidR="00000000" w:rsidDel="00000000" w:rsidP="00000000" w:rsidRDefault="00000000" w:rsidRPr="00000000" w14:paraId="0000003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Caution re hypotension and bradycardia with higher end of dose range</w:t>
      </w:r>
      <w:r w:rsidDel="00000000" w:rsidR="00000000" w:rsidRPr="00000000">
        <w:rPr>
          <w:rtl w:val="0"/>
        </w:rPr>
      </w:r>
    </w:p>
    <w:p w:rsidR="00000000" w:rsidDel="00000000" w:rsidP="00000000" w:rsidRDefault="00000000" w:rsidRPr="00000000" w14:paraId="00000035">
      <w:pPr>
        <w:spacing w:line="288" w:lineRule="auto"/>
        <w:ind w:left="108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Opioids </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Morphine: 25-30 mcg / kg q12h</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Fentanyl: 1-2mcg / kg q4h </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Unsuitable for use in ambulatory setting</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Arial" w:cs="Arial" w:eastAsia="Arial" w:hAnsi="Arial"/>
          <w:b w:val="0"/>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Side effects: N+V, </w:t>
      </w:r>
      <w:r w:rsidDel="00000000" w:rsidR="00000000" w:rsidRPr="00000000">
        <w:rPr>
          <w:rFonts w:ascii="Tahoma" w:cs="Tahoma" w:eastAsia="Tahoma" w:hAnsi="Tahoma"/>
          <w:sz w:val="16"/>
          <w:szCs w:val="16"/>
          <w:rtl w:val="0"/>
        </w:rPr>
        <w:t xml:space="preserve">pruritus</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urinary retention,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respiratory depression</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Require close monitoring for </w:t>
      </w:r>
      <w:r w:rsidDel="00000000" w:rsidR="00000000" w:rsidRPr="00000000">
        <w:rPr>
          <w:rFonts w:ascii="Tahoma" w:cs="Tahoma" w:eastAsia="Tahoma" w:hAnsi="Tahoma"/>
          <w:sz w:val="16"/>
          <w:szCs w:val="16"/>
          <w:rtl w:val="0"/>
        </w:rPr>
        <w:t xml:space="preserve">24 hrs</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post-operation</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No narcotics should be given until at least 6h has elapsed</w:t>
      </w:r>
      <w:r w:rsidDel="00000000" w:rsidR="00000000" w:rsidRPr="00000000">
        <w:rPr>
          <w:rtl w:val="0"/>
        </w:rPr>
      </w:r>
    </w:p>
    <w:p w:rsidR="00000000" w:rsidDel="00000000" w:rsidP="00000000" w:rsidRDefault="00000000" w:rsidRPr="00000000" w14:paraId="0000003D">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E">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F">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0">
      <w:pPr>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Continuous caudal epidural analgesia</w:t>
      </w:r>
    </w:p>
    <w:p w:rsidR="00000000" w:rsidDel="00000000" w:rsidP="00000000" w:rsidRDefault="00000000" w:rsidRPr="00000000" w14:paraId="000000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Safe and effective in infants </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Single curve of the back &lt; 2yrs = predictable threading even up to thoracic spine </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Ensure secure dressing with Steristrips® and Tegaderm®, covered with Hypafix® to avoid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faecal</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contamination</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Tunneling </w:t>
      </w:r>
      <w:r w:rsidDel="00000000" w:rsidR="00000000" w:rsidRPr="00000000">
        <w:rPr>
          <w:rFonts w:ascii="Tahoma" w:cs="Tahoma" w:eastAsia="Tahoma" w:hAnsi="Tahoma"/>
          <w:sz w:val="16"/>
          <w:szCs w:val="16"/>
          <w:rtl w:val="0"/>
        </w:rPr>
        <w:t xml:space="preserve">of the catheter</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to avoid contamination is an option. Discuss with your consultant.</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Epidural bupivacaine or levo-bupivacaine infusion </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Neonates: NO additives and remove indwelling catheter within 48 hr (as accumulation of LA in plasma with no available lab monitoring capabilities may result in toxic doses)</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88" w:lineRule="auto"/>
        <w:ind w:left="910" w:right="0" w:hanging="28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Refer to epidural infusion rates in CPS guidelines.</w:t>
      </w:r>
      <w:r w:rsidDel="00000000" w:rsidR="00000000" w:rsidRPr="00000000">
        <w:rPr>
          <w:rtl w:val="0"/>
        </w:rPr>
      </w:r>
    </w:p>
    <w:p w:rsidR="00000000" w:rsidDel="00000000" w:rsidP="00000000" w:rsidRDefault="00000000" w:rsidRPr="00000000" w14:paraId="00000048">
      <w:pPr>
        <w:spacing w:line="288" w:lineRule="auto"/>
        <w:jc w:val="both"/>
        <w:rPr>
          <w:rFonts w:ascii="Tahoma" w:cs="Tahoma" w:eastAsia="Tahoma" w:hAnsi="Tahoma"/>
          <w:b w:val="1"/>
          <w:color w:val="3366ff"/>
          <w:sz w:val="16"/>
          <w:szCs w:val="16"/>
        </w:rPr>
      </w:pPr>
      <w:r w:rsidDel="00000000" w:rsidR="00000000" w:rsidRPr="00000000">
        <w:rPr>
          <w:rFonts w:ascii="Tahoma" w:cs="Tahoma" w:eastAsia="Tahoma" w:hAnsi="Tahoma"/>
          <w:sz w:val="16"/>
          <w:szCs w:val="16"/>
          <w:rtl w:val="0"/>
        </w:rPr>
        <w:t xml:space="preserve"> </w:t>
      </w:r>
      <w:r w:rsidDel="00000000" w:rsidR="00000000" w:rsidRPr="00000000">
        <w:rPr>
          <w:rtl w:val="0"/>
        </w:rPr>
      </w:r>
    </w:p>
    <w:p w:rsidR="00000000" w:rsidDel="00000000" w:rsidP="00000000" w:rsidRDefault="00000000" w:rsidRPr="00000000" w14:paraId="00000049">
      <w:pPr>
        <w:spacing w:line="288" w:lineRule="auto"/>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line="288" w:lineRule="auto"/>
        <w:jc w:val="both"/>
        <w:rPr>
          <w:rFonts w:ascii="Tahoma" w:cs="Tahoma" w:eastAsia="Tahoma" w:hAnsi="Tahoma"/>
          <w:b w:val="1"/>
          <w:sz w:val="16"/>
          <w:szCs w:val="16"/>
          <w:u w:val="single"/>
        </w:rPr>
      </w:pPr>
      <w:r w:rsidDel="00000000" w:rsidR="00000000" w:rsidRPr="00000000">
        <w:rPr>
          <w:rFonts w:ascii="Tahoma" w:cs="Tahoma" w:eastAsia="Tahoma" w:hAnsi="Tahoma"/>
          <w:b w:val="1"/>
          <w:sz w:val="16"/>
          <w:szCs w:val="16"/>
          <w:rtl w:val="0"/>
        </w:rPr>
        <w:t xml:space="preserve">EPIDURAL </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Indications: thoraco-abdominal operations, some laparotomies, major urological procedures, major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orthopaedic</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operations involving hip or knee etc.</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To be performed only under supervision by senior staff. </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IV access must be established prior.</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Sited under GA with at least ECG, SaO</w:t>
      </w:r>
      <w:r w:rsidDel="00000000" w:rsidR="00000000" w:rsidRPr="00000000">
        <w:rPr>
          <w:rFonts w:ascii="Tahoma" w:cs="Tahoma" w:eastAsia="Tahoma" w:hAnsi="Tahoma"/>
          <w:i w:val="0"/>
          <w:smallCaps w:val="0"/>
          <w:strike w:val="0"/>
          <w:color w:val="000000"/>
          <w:sz w:val="16"/>
          <w:szCs w:val="16"/>
          <w:u w:val="none"/>
          <w:shd w:fill="auto" w:val="clear"/>
          <w:vertAlign w:val="subscript"/>
          <w:rtl w:val="0"/>
        </w:rPr>
        <w:t xml:space="preserve">2</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and NIBP monitoring.</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Consider performing the block prior to paralysis to allow for detection of total spinal/cord injury.</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Full aseptic technique; cap, gown, mask and gloves must be donned and surgical scrub is mandatory.</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Surface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mark</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spinous processes as landmarks are easily lost under drapes.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Determine length of catheter in space. Tip should ideally be </w:t>
      </w:r>
      <w:r w:rsidDel="00000000" w:rsidR="00000000" w:rsidRPr="00000000">
        <w:rPr>
          <w:rFonts w:ascii="Tahoma" w:cs="Tahoma" w:eastAsia="Tahoma" w:hAnsi="Tahoma"/>
          <w:sz w:val="16"/>
          <w:szCs w:val="16"/>
          <w:rtl w:val="0"/>
        </w:rPr>
        <w:t xml:space="preserve">at the midpoint</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of segmental levels to be blocked.</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Position child in left lateral position with appropriate counter pressure by assistant when inserting epidural needle.</w:t>
      </w:r>
      <w:r w:rsidDel="00000000" w:rsidR="00000000" w:rsidRPr="00000000">
        <w:rPr>
          <w:rtl w:val="0"/>
        </w:rPr>
      </w:r>
    </w:p>
    <w:p w:rsidR="00000000" w:rsidDel="00000000" w:rsidP="00000000" w:rsidRDefault="00000000" w:rsidRPr="00000000" w14:paraId="00000054">
      <w:pPr>
        <w:spacing w:line="288" w:lineRule="auto"/>
        <w:jc w:val="both"/>
        <w:rPr>
          <w:rFonts w:ascii="Tahoma" w:cs="Tahoma" w:eastAsia="Tahoma" w:hAnsi="Tahoma"/>
          <w:sz w:val="16"/>
          <w:szCs w:val="16"/>
        </w:rPr>
      </w:pPr>
      <w:r w:rsidDel="00000000" w:rsidR="00000000" w:rsidRPr="00000000">
        <w:rPr>
          <w:rtl w:val="0"/>
        </w:rPr>
      </w:r>
    </w:p>
    <w:tbl>
      <w:tblPr>
        <w:tblStyle w:val="Table2"/>
        <w:tblW w:w="4253.0" w:type="dxa"/>
        <w:jc w:val="left"/>
        <w:tblInd w:w="250.0" w:type="dxa"/>
        <w:tblBorders>
          <w:top w:color="ff0000" w:space="0" w:sz="8" w:val="single"/>
          <w:left w:color="ff0000" w:space="0" w:sz="8" w:val="single"/>
          <w:bottom w:color="ff0000" w:space="0" w:sz="8" w:val="single"/>
          <w:right w:color="ff0000" w:space="0" w:sz="8" w:val="single"/>
          <w:insideH w:color="000000" w:space="0" w:sz="0" w:val="nil"/>
          <w:insideV w:color="000000" w:space="0" w:sz="0" w:val="nil"/>
        </w:tblBorders>
        <w:tblLayout w:type="fixed"/>
        <w:tblLook w:val="0400"/>
      </w:tblPr>
      <w:tblGrid>
        <w:gridCol w:w="4253"/>
        <w:tblGridChange w:id="0">
          <w:tblGrid>
            <w:gridCol w:w="4253"/>
          </w:tblGrid>
        </w:tblGridChange>
      </w:tblGrid>
      <w:tr>
        <w:trPr>
          <w:cantSplit w:val="0"/>
          <w:tblHeader w:val="0"/>
        </w:trPr>
        <w:tc>
          <w:tcPr/>
          <w:p w:rsidR="00000000" w:rsidDel="00000000" w:rsidP="00000000" w:rsidRDefault="00000000" w:rsidRPr="00000000" w14:paraId="00000055">
            <w:pPr>
              <w:spacing w:after="40" w:before="40" w:line="288" w:lineRule="auto"/>
              <w:ind w:right="79"/>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Paediatric</w:t>
            </w:r>
            <w:r w:rsidDel="00000000" w:rsidR="00000000" w:rsidRPr="00000000">
              <w:rPr>
                <w:rFonts w:ascii="Tahoma" w:cs="Tahoma" w:eastAsia="Tahoma" w:hAnsi="Tahoma"/>
                <w:sz w:val="16"/>
                <w:szCs w:val="16"/>
                <w:rtl w:val="0"/>
              </w:rPr>
              <w:t xml:space="preserve"> set = 19G Touhy: recommended for children &lt;10 kg.</w:t>
            </w:r>
          </w:p>
        </w:tc>
      </w:tr>
      <w:tr>
        <w:trPr>
          <w:cantSplit w:val="0"/>
          <w:tblHeader w:val="0"/>
        </w:trPr>
        <w:tc>
          <w:tcPr/>
          <w:p w:rsidR="00000000" w:rsidDel="00000000" w:rsidP="00000000" w:rsidRDefault="00000000" w:rsidRPr="00000000" w14:paraId="00000056">
            <w:pPr>
              <w:spacing w:after="40" w:before="40" w:line="288" w:lineRule="auto"/>
              <w:ind w:right="79"/>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Adult set = 18G </w:t>
            </w:r>
            <w:r w:rsidDel="00000000" w:rsidR="00000000" w:rsidRPr="00000000">
              <w:rPr>
                <w:rFonts w:ascii="Tahoma" w:cs="Tahoma" w:eastAsia="Tahoma" w:hAnsi="Tahoma"/>
                <w:sz w:val="16"/>
                <w:szCs w:val="16"/>
                <w:rtl w:val="0"/>
              </w:rPr>
              <w:t xml:space="preserve">Touhy</w:t>
            </w:r>
            <w:r w:rsidDel="00000000" w:rsidR="00000000" w:rsidRPr="00000000">
              <w:rPr>
                <w:rFonts w:ascii="Tahoma" w:cs="Tahoma" w:eastAsia="Tahoma" w:hAnsi="Tahoma"/>
                <w:sz w:val="16"/>
                <w:szCs w:val="16"/>
                <w:rtl w:val="0"/>
              </w:rPr>
              <w:t xml:space="preserve">: recommended for children &gt;10kg. </w:t>
            </w:r>
          </w:p>
        </w:tc>
      </w:tr>
      <w:tr>
        <w:trPr>
          <w:cantSplit w:val="0"/>
          <w:tblHeader w:val="0"/>
        </w:trPr>
        <w:tc>
          <w:tcPr/>
          <w:p w:rsidR="00000000" w:rsidDel="00000000" w:rsidP="00000000" w:rsidRDefault="00000000" w:rsidRPr="00000000" w14:paraId="00000057">
            <w:pPr>
              <w:spacing w:after="40" w:before="40" w:line="288" w:lineRule="auto"/>
              <w:ind w:right="79"/>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Shorter (5 cm) needles available for younger children.</w:t>
            </w:r>
          </w:p>
        </w:tc>
      </w:tr>
    </w:tbl>
    <w:p w:rsidR="00000000" w:rsidDel="00000000" w:rsidP="00000000" w:rsidRDefault="00000000" w:rsidRPr="00000000" w14:paraId="00000058">
      <w:pPr>
        <w:spacing w:line="288" w:lineRule="auto"/>
        <w:ind w:right="79"/>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9">
      <w:pPr>
        <w:spacing w:line="288" w:lineRule="auto"/>
        <w:ind w:right="79"/>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Continuous “loss-of-resistance” technique with saline or air.</w:t>
      </w:r>
    </w:p>
    <w:p w:rsidR="00000000" w:rsidDel="00000000" w:rsidP="00000000" w:rsidRDefault="00000000" w:rsidRPr="00000000" w14:paraId="0000005A">
      <w:pPr>
        <w:spacing w:line="288" w:lineRule="auto"/>
        <w:ind w:right="79"/>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Catheter must be </w:t>
      </w:r>
      <w:r w:rsidDel="00000000" w:rsidR="00000000" w:rsidRPr="00000000">
        <w:rPr>
          <w:rFonts w:ascii="Tahoma" w:cs="Tahoma" w:eastAsia="Tahoma" w:hAnsi="Tahoma"/>
          <w:sz w:val="16"/>
          <w:szCs w:val="16"/>
          <w:rtl w:val="0"/>
        </w:rPr>
        <w:t xml:space="preserve">labeled</w:t>
      </w:r>
      <w:r w:rsidDel="00000000" w:rsidR="00000000" w:rsidRPr="00000000">
        <w:rPr>
          <w:rFonts w:ascii="Tahoma" w:cs="Tahoma" w:eastAsia="Tahoma" w:hAnsi="Tahoma"/>
          <w:sz w:val="16"/>
          <w:szCs w:val="16"/>
          <w:rtl w:val="0"/>
        </w:rPr>
        <w:t xml:space="preserve"> and taped securely in place once sited.</w:t>
      </w:r>
    </w:p>
    <w:p w:rsidR="00000000" w:rsidDel="00000000" w:rsidP="00000000" w:rsidRDefault="00000000" w:rsidRPr="00000000" w14:paraId="0000005B">
      <w:pPr>
        <w:spacing w:line="288" w:lineRule="auto"/>
        <w:ind w:right="79"/>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Dressing should include a transparent window to allow inspection of the entry site and catheter markings.</w:t>
      </w:r>
    </w:p>
    <w:p w:rsidR="00000000" w:rsidDel="00000000" w:rsidP="00000000" w:rsidRDefault="00000000" w:rsidRPr="00000000" w14:paraId="0000005C">
      <w:pPr>
        <w:spacing w:line="288" w:lineRule="auto"/>
        <w:ind w:right="79"/>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Specialised</w:t>
      </w:r>
      <w:r w:rsidDel="00000000" w:rsidR="00000000" w:rsidRPr="00000000">
        <w:rPr>
          <w:rFonts w:ascii="Tahoma" w:cs="Tahoma" w:eastAsia="Tahoma" w:hAnsi="Tahoma"/>
          <w:sz w:val="16"/>
          <w:szCs w:val="16"/>
          <w:rtl w:val="0"/>
        </w:rPr>
        <w:t xml:space="preserve"> epidural securement devices are available upon request.</w:t>
      </w:r>
    </w:p>
    <w:p w:rsidR="00000000" w:rsidDel="00000000" w:rsidP="00000000" w:rsidRDefault="00000000" w:rsidRPr="00000000" w14:paraId="0000005D">
      <w:pPr>
        <w:spacing w:line="288" w:lineRule="auto"/>
        <w:ind w:right="79"/>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E">
      <w:pPr>
        <w:spacing w:line="288" w:lineRule="auto"/>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5F">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Useful Information    </w:t>
      </w:r>
    </w:p>
    <w:p w:rsidR="00000000" w:rsidDel="00000000" w:rsidP="00000000" w:rsidRDefault="00000000" w:rsidRPr="00000000" w14:paraId="0000006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Skin depth to ligamentum flavum:  (1x BW in kg) millimeters.</w:t>
      </w:r>
    </w:p>
    <w:p w:rsidR="00000000" w:rsidDel="00000000" w:rsidP="00000000" w:rsidRDefault="00000000" w:rsidRPr="00000000" w14:paraId="0000006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Skin- Epidural distance in children. Bosenberg AT et al. Anaesthesia 1995</w:t>
      </w:r>
    </w:p>
    <w:p w:rsidR="00000000" w:rsidDel="00000000" w:rsidP="00000000" w:rsidRDefault="00000000" w:rsidRPr="00000000" w14:paraId="00000062">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6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Skin- Epidural depth(mm): 9.0 + 0.62* weight(kg)</w:t>
      </w:r>
    </w:p>
    <w:p w:rsidR="00000000" w:rsidDel="00000000" w:rsidP="00000000" w:rsidRDefault="00000000" w:rsidRPr="00000000" w14:paraId="0000006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Evaluation of epidural and subarachnoid space distance in young children using magnetic resonance imaging. Franklin AD et al. Reg Anesth Pain Med. 2015.</w:t>
      </w:r>
    </w:p>
    <w:tbl>
      <w:tblPr>
        <w:tblStyle w:val="Table3"/>
        <w:tblW w:w="5103.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1276"/>
        <w:gridCol w:w="1275"/>
        <w:gridCol w:w="1276"/>
        <w:tblGridChange w:id="0">
          <w:tblGrid>
            <w:gridCol w:w="1276"/>
            <w:gridCol w:w="1276"/>
            <w:gridCol w:w="1275"/>
            <w:gridCol w:w="1276"/>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065">
            <w:pPr>
              <w:spacing w:after="40" w:before="40" w:line="288" w:lineRule="auto"/>
              <w:jc w:val="both"/>
              <w:rPr>
                <w:rFonts w:ascii="Tahoma" w:cs="Tahoma" w:eastAsia="Tahoma" w:hAnsi="Tahoma"/>
                <w:b w:val="1"/>
                <w:color w:val="000000"/>
                <w:sz w:val="16"/>
                <w:szCs w:val="16"/>
              </w:rPr>
            </w:pP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tcPr>
          <w:p w:rsidR="00000000" w:rsidDel="00000000" w:rsidP="00000000" w:rsidRDefault="00000000" w:rsidRPr="00000000" w14:paraId="00000066">
            <w:pPr>
              <w:spacing w:after="40" w:before="40" w:line="288" w:lineRule="auto"/>
              <w:jc w:val="both"/>
              <w:rPr>
                <w:rFonts w:ascii="Tahoma" w:cs="Tahoma" w:eastAsia="Tahoma" w:hAnsi="Tahoma"/>
                <w:b w:val="1"/>
                <w:color w:val="000000"/>
                <w:sz w:val="16"/>
                <w:szCs w:val="16"/>
                <w:u w:val="single"/>
              </w:rPr>
            </w:pPr>
            <w:r w:rsidDel="00000000" w:rsidR="00000000" w:rsidRPr="00000000">
              <w:rPr>
                <w:rFonts w:ascii="Tahoma" w:cs="Tahoma" w:eastAsia="Tahoma" w:hAnsi="Tahoma"/>
                <w:b w:val="1"/>
                <w:sz w:val="16"/>
                <w:szCs w:val="16"/>
                <w:rtl w:val="0"/>
              </w:rPr>
              <w:t xml:space="preserve">Term Neonate</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1cade4" w:val="clear"/>
          </w:tcPr>
          <w:p w:rsidR="00000000" w:rsidDel="00000000" w:rsidP="00000000" w:rsidRDefault="00000000" w:rsidRPr="00000000" w14:paraId="00000067">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sz w:val="16"/>
                <w:szCs w:val="16"/>
                <w:rtl w:val="0"/>
              </w:rPr>
              <w:t xml:space="preserve">6mo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1cade4" w:val="clear"/>
          </w:tcPr>
          <w:p w:rsidR="00000000" w:rsidDel="00000000" w:rsidP="00000000" w:rsidRDefault="00000000" w:rsidRPr="00000000" w14:paraId="00000068">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sz w:val="16"/>
                <w:szCs w:val="16"/>
                <w:rtl w:val="0"/>
              </w:rPr>
              <w:t xml:space="preserve">1 year</w:t>
            </w: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69">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Dural Sac</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6A">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S3</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06B">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S2</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06C">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S1</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6D">
            <w:pPr>
              <w:spacing w:after="40" w:before="40"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Spinal Cord</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6E">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L4 / 5</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06F">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L2 / 3</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070">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L1</w:t>
            </w:r>
          </w:p>
        </w:tc>
      </w:tr>
    </w:tbl>
    <w:p w:rsidR="00000000" w:rsidDel="00000000" w:rsidP="00000000" w:rsidRDefault="00000000" w:rsidRPr="00000000" w14:paraId="00000071">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Epidural Dosing (consider dermatomal spread and toxic limits)</w:t>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Bolus: concentration - 0.1 - 0.25% L-bupivacaine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Volume : Load to achieve desired dermatomal coverage</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0.5 – 0.75 ml / kg (max. 1.0ml/kg or 1.7mg/kg)</w:t>
      </w:r>
    </w:p>
    <w:p w:rsidR="00000000" w:rsidDel="00000000" w:rsidP="00000000" w:rsidRDefault="00000000" w:rsidRPr="00000000" w14:paraId="00000076">
      <w:pPr>
        <w:jc w:val="both"/>
        <w:rPr>
          <w:rFonts w:ascii="Tahoma" w:cs="Tahoma" w:eastAsia="Tahoma" w:hAnsi="Tahoma"/>
          <w:sz w:val="16"/>
          <w:szCs w:val="16"/>
        </w:rPr>
      </w:pPr>
      <w:r w:rsidDel="00000000" w:rsidR="00000000" w:rsidRPr="00000000">
        <w:br w:type="page"/>
      </w:r>
      <w:r w:rsidDel="00000000" w:rsidR="00000000" w:rsidRPr="00000000">
        <w:rPr>
          <w:rtl w:val="0"/>
        </w:rPr>
      </w:r>
    </w:p>
    <w:tbl>
      <w:tblPr>
        <w:tblStyle w:val="Table4"/>
        <w:tblW w:w="5103.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1276"/>
        <w:gridCol w:w="1275"/>
        <w:gridCol w:w="1276"/>
        <w:tblGridChange w:id="0">
          <w:tblGrid>
            <w:gridCol w:w="1276"/>
            <w:gridCol w:w="1276"/>
            <w:gridCol w:w="1275"/>
            <w:gridCol w:w="1276"/>
          </w:tblGrid>
        </w:tblGridChange>
      </w:tblGrid>
      <w:tr>
        <w:trPr>
          <w:cantSplit w:val="0"/>
          <w:trHeight w:val="173" w:hRule="atLeast"/>
          <w:tblHeader w:val="0"/>
        </w:trPr>
        <w:tc>
          <w:tcPr>
            <w:gridSpan w:val="4"/>
            <w:tcBorders>
              <w:top w:color="ffffff" w:space="0" w:sz="8" w:val="single"/>
              <w:left w:color="ffffff" w:space="0" w:sz="8" w:val="single"/>
              <w:bottom w:color="ffffff" w:space="0" w:sz="24" w:val="single"/>
              <w:right w:color="ffffff" w:space="0" w:sz="8" w:val="single"/>
            </w:tcBorders>
            <w:shd w:fill="auto" w:val="clear"/>
            <w:tcMar>
              <w:top w:w="72.0" w:type="dxa"/>
              <w:left w:w="144.0" w:type="dxa"/>
              <w:bottom w:w="72.0" w:type="dxa"/>
              <w:right w:w="144.0" w:type="dxa"/>
            </w:tcMar>
            <w:vAlign w:val="center"/>
          </w:tcPr>
          <w:p w:rsidR="00000000" w:rsidDel="00000000" w:rsidP="00000000" w:rsidRDefault="00000000" w:rsidRPr="00000000" w14:paraId="00000077">
            <w:pPr>
              <w:spacing w:line="288" w:lineRule="auto"/>
              <w:jc w:val="both"/>
              <w:rPr>
                <w:rFonts w:ascii="Tahoma" w:cs="Tahoma" w:eastAsia="Tahoma" w:hAnsi="Tahoma"/>
                <w:b w:val="1"/>
                <w:color w:val="000000"/>
                <w:sz w:val="16"/>
                <w:szCs w:val="16"/>
                <w:u w:val="single"/>
              </w:rPr>
            </w:pPr>
            <w:r w:rsidDel="00000000" w:rsidR="00000000" w:rsidRPr="00000000">
              <w:rPr>
                <w:rFonts w:ascii="Tahoma" w:cs="Tahoma" w:eastAsia="Tahoma" w:hAnsi="Tahoma"/>
                <w:b w:val="1"/>
                <w:color w:val="000000"/>
                <w:sz w:val="16"/>
                <w:szCs w:val="16"/>
                <w:u w:val="single"/>
                <w:rtl w:val="0"/>
              </w:rPr>
              <w:t xml:space="preserve">Infusion settings ( refer to CPS guidelines)</w:t>
            </w:r>
          </w:p>
        </w:tc>
      </w:tr>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7B">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Age</w:t>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vAlign w:val="center"/>
          </w:tcPr>
          <w:p w:rsidR="00000000" w:rsidDel="00000000" w:rsidP="00000000" w:rsidRDefault="00000000" w:rsidRPr="00000000" w14:paraId="0000007C">
            <w:pPr>
              <w:ind w:firstLine="113"/>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LA</w:t>
            </w:r>
          </w:p>
          <w:p w:rsidR="00000000" w:rsidDel="00000000" w:rsidP="00000000" w:rsidRDefault="00000000" w:rsidRPr="00000000" w14:paraId="0000007D">
            <w:pPr>
              <w:spacing w:after="40" w:before="40" w:line="288" w:lineRule="auto"/>
              <w:jc w:val="both"/>
              <w:rPr>
                <w:rFonts w:ascii="Tahoma" w:cs="Tahoma" w:eastAsia="Tahoma" w:hAnsi="Tahoma"/>
                <w:b w:val="1"/>
                <w:color w:val="000000"/>
                <w:sz w:val="16"/>
                <w:szCs w:val="16"/>
                <w:u w:val="single"/>
              </w:rPr>
            </w:pPr>
            <w:r w:rsidDel="00000000" w:rsidR="00000000" w:rsidRPr="00000000">
              <w:rPr>
                <w:rFonts w:ascii="Tahoma" w:cs="Tahoma" w:eastAsia="Tahoma" w:hAnsi="Tahoma"/>
                <w:b w:val="1"/>
                <w:color w:val="000000"/>
                <w:sz w:val="16"/>
                <w:szCs w:val="16"/>
                <w:rtl w:val="0"/>
              </w:rPr>
              <w:t xml:space="preserve">(%)</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07E">
            <w:pPr>
              <w:ind w:firstLine="113"/>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Infusion rate*</w:t>
            </w:r>
          </w:p>
          <w:p w:rsidR="00000000" w:rsidDel="00000000" w:rsidP="00000000" w:rsidRDefault="00000000" w:rsidRPr="00000000" w14:paraId="0000007F">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(ml/kg/h)</w:t>
            </w:r>
          </w:p>
        </w:tc>
        <w:tc>
          <w:tcPr>
            <w:tcBorders>
              <w:top w:color="ffffff" w:space="0" w:sz="8" w:val="single"/>
              <w:left w:color="ffffff" w:space="0" w:sz="8" w:val="single"/>
              <w:bottom w:color="ffffff" w:space="0" w:sz="24" w:val="single"/>
              <w:right w:color="ffffff" w:space="0" w:sz="8" w:val="single"/>
            </w:tcBorders>
            <w:shd w:fill="1cade4" w:val="clear"/>
            <w:vAlign w:val="center"/>
          </w:tcPr>
          <w:p w:rsidR="00000000" w:rsidDel="00000000" w:rsidP="00000000" w:rsidRDefault="00000000" w:rsidRPr="00000000" w14:paraId="00000080">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Additive</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81">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Neonates – </w:t>
            </w:r>
          </w:p>
          <w:p w:rsidR="00000000" w:rsidDel="00000000" w:rsidP="00000000" w:rsidRDefault="00000000" w:rsidRPr="00000000" w14:paraId="00000082">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6 months</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83">
            <w:pPr>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L-bupivacaine</w:t>
            </w:r>
          </w:p>
          <w:p w:rsidR="00000000" w:rsidDel="00000000" w:rsidP="00000000" w:rsidRDefault="00000000" w:rsidRPr="00000000" w14:paraId="00000084">
            <w:pPr>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 0.1%</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85">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0.1 - 0.2</w:t>
              <w:br w:type="textWrapping"/>
              <w:t xml:space="preserve">  </w:t>
            </w:r>
            <w:r w:rsidDel="00000000" w:rsidR="00000000" w:rsidRPr="00000000">
              <w:rPr>
                <w:rFonts w:ascii="Tahoma" w:cs="Tahoma" w:eastAsia="Tahoma" w:hAnsi="Tahoma"/>
                <w:b w:val="1"/>
                <w:color w:val="000000"/>
                <w:sz w:val="16"/>
                <w:szCs w:val="16"/>
                <w:rtl w:val="0"/>
              </w:rPr>
              <w:t xml:space="preserve">(Not &gt; 48h)</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86">
            <w:pPr>
              <w:ind w:left="142" w:firstLine="0"/>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No additives</w:t>
            </w:r>
          </w:p>
          <w:p w:rsidR="00000000" w:rsidDel="00000000" w:rsidP="00000000" w:rsidRDefault="00000000" w:rsidRPr="00000000" w14:paraId="00000087">
            <w:pPr>
              <w:spacing w:after="40" w:before="40" w:line="288" w:lineRule="auto"/>
              <w:ind w:left="142" w:firstLine="0"/>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(Strictly)</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88">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7 months – </w:t>
            </w:r>
          </w:p>
          <w:p w:rsidR="00000000" w:rsidDel="00000000" w:rsidP="00000000" w:rsidRDefault="00000000" w:rsidRPr="00000000" w14:paraId="00000089">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1 year</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8A">
            <w:pPr>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L-bupivacaine  </w:t>
            </w:r>
          </w:p>
          <w:p w:rsidR="00000000" w:rsidDel="00000000" w:rsidP="00000000" w:rsidRDefault="00000000" w:rsidRPr="00000000" w14:paraId="0000008B">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0.1 - 0.125%</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8C">
            <w:pPr>
              <w:spacing w:after="40" w:before="40" w:line="288" w:lineRule="auto"/>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8D">
            <w:pPr>
              <w:spacing w:after="40" w:before="40" w:line="288" w:lineRule="auto"/>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8E">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0.1 - 0.3</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8F">
            <w:pPr>
              <w:ind w:left="142" w:firstLine="0"/>
              <w:jc w:val="both"/>
              <w:rPr>
                <w:rFonts w:ascii="Tahoma" w:cs="Tahoma" w:eastAsia="Tahoma" w:hAnsi="Tahoma"/>
                <w:color w:val="000000"/>
                <w:sz w:val="16"/>
                <w:szCs w:val="16"/>
              </w:rPr>
            </w:pPr>
            <w:r w:rsidDel="00000000" w:rsidR="00000000" w:rsidRPr="00000000">
              <w:rPr>
                <w:rFonts w:ascii="Tahoma" w:cs="Tahoma" w:eastAsia="Tahoma" w:hAnsi="Tahoma"/>
                <w:b w:val="1"/>
                <w:color w:val="000000"/>
                <w:sz w:val="16"/>
                <w:szCs w:val="16"/>
                <w:rtl w:val="0"/>
              </w:rPr>
              <w:t xml:space="preserve">Fentanyl</w:t>
            </w:r>
            <w:r w:rsidDel="00000000" w:rsidR="00000000" w:rsidRPr="00000000">
              <w:rPr>
                <w:rtl w:val="0"/>
              </w:rPr>
            </w:r>
          </w:p>
          <w:p w:rsidR="00000000" w:rsidDel="00000000" w:rsidP="00000000" w:rsidRDefault="00000000" w:rsidRPr="00000000" w14:paraId="00000090">
            <w:pPr>
              <w:ind w:left="142"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 mcg/ml    </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91">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&gt; 1 year</w:t>
            </w:r>
          </w:p>
          <w:p w:rsidR="00000000" w:rsidDel="00000000" w:rsidP="00000000" w:rsidRDefault="00000000" w:rsidRPr="00000000" w14:paraId="00000092">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(Standard)</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vAlign w:val="center"/>
          </w:tcPr>
          <w:p w:rsidR="00000000" w:rsidDel="00000000" w:rsidP="00000000" w:rsidRDefault="00000000" w:rsidRPr="00000000" w14:paraId="00000093">
            <w:pPr>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    </w:t>
            </w:r>
          </w:p>
          <w:p w:rsidR="00000000" w:rsidDel="00000000" w:rsidP="00000000" w:rsidRDefault="00000000" w:rsidRPr="00000000" w14:paraId="00000094">
            <w:pPr>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L-bupivacaine</w:t>
            </w:r>
          </w:p>
          <w:p w:rsidR="00000000" w:rsidDel="00000000" w:rsidP="00000000" w:rsidRDefault="00000000" w:rsidRPr="00000000" w14:paraId="00000095">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0.1 - 0.125%</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96">
            <w:pPr>
              <w:spacing w:after="40" w:before="40" w:line="288" w:lineRule="auto"/>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97">
            <w:pPr>
              <w:spacing w:after="40" w:before="40" w:line="288" w:lineRule="auto"/>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98">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0.1 - 0.4</w:t>
            </w:r>
          </w:p>
        </w:tc>
        <w:tc>
          <w:tcPr>
            <w:tcBorders>
              <w:top w:color="ffffff" w:space="0" w:sz="8" w:val="single"/>
              <w:left w:color="ffffff" w:space="0" w:sz="8" w:val="single"/>
              <w:bottom w:color="ffffff" w:space="0" w:sz="8" w:val="single"/>
              <w:right w:color="ffffff" w:space="0" w:sz="8" w:val="single"/>
            </w:tcBorders>
            <w:shd w:fill="e7f1fa" w:val="clear"/>
            <w:vAlign w:val="center"/>
          </w:tcPr>
          <w:p w:rsidR="00000000" w:rsidDel="00000000" w:rsidP="00000000" w:rsidRDefault="00000000" w:rsidRPr="00000000" w14:paraId="00000099">
            <w:pPr>
              <w:ind w:left="142" w:firstLine="0"/>
              <w:jc w:val="both"/>
              <w:rPr>
                <w:rFonts w:ascii="Tahoma" w:cs="Tahoma" w:eastAsia="Tahoma" w:hAnsi="Tahoma"/>
                <w:color w:val="000000"/>
                <w:sz w:val="16"/>
                <w:szCs w:val="16"/>
              </w:rPr>
            </w:pPr>
            <w:r w:rsidDel="00000000" w:rsidR="00000000" w:rsidRPr="00000000">
              <w:rPr>
                <w:rFonts w:ascii="Tahoma" w:cs="Tahoma" w:eastAsia="Tahoma" w:hAnsi="Tahoma"/>
                <w:b w:val="1"/>
                <w:color w:val="000000"/>
                <w:sz w:val="16"/>
                <w:szCs w:val="16"/>
                <w:rtl w:val="0"/>
              </w:rPr>
              <w:t xml:space="preserve">Fentanyl</w:t>
            </w:r>
            <w:r w:rsidDel="00000000" w:rsidR="00000000" w:rsidRPr="00000000">
              <w:rPr>
                <w:rtl w:val="0"/>
              </w:rPr>
            </w:r>
          </w:p>
          <w:p w:rsidR="00000000" w:rsidDel="00000000" w:rsidP="00000000" w:rsidRDefault="00000000" w:rsidRPr="00000000" w14:paraId="0000009A">
            <w:pPr>
              <w:ind w:left="142" w:firstLine="0"/>
              <w:jc w:val="both"/>
              <w:rPr>
                <w:rFonts w:ascii="Tahoma" w:cs="Tahoma" w:eastAsia="Tahoma" w:hAnsi="Tahoma"/>
                <w:color w:val="000000"/>
                <w:sz w:val="16"/>
                <w:szCs w:val="16"/>
                <w:u w:val="single"/>
              </w:rPr>
            </w:pPr>
            <w:r w:rsidDel="00000000" w:rsidR="00000000" w:rsidRPr="00000000">
              <w:rPr>
                <w:rFonts w:ascii="Tahoma" w:cs="Tahoma" w:eastAsia="Tahoma" w:hAnsi="Tahoma"/>
                <w:color w:val="000000"/>
                <w:sz w:val="16"/>
                <w:szCs w:val="16"/>
                <w:rtl w:val="0"/>
              </w:rPr>
              <w:t xml:space="preserve">2 mcg/ml    </w:t>
            </w:r>
            <w:r w:rsidDel="00000000" w:rsidR="00000000" w:rsidRPr="00000000">
              <w:rPr>
                <w:rFonts w:ascii="Tahoma" w:cs="Tahoma" w:eastAsia="Tahoma" w:hAnsi="Tahoma"/>
                <w:color w:val="000000"/>
                <w:sz w:val="16"/>
                <w:szCs w:val="16"/>
                <w:u w:val="single"/>
                <w:rtl w:val="0"/>
              </w:rPr>
              <w:t xml:space="preserve">or</w:t>
            </w:r>
          </w:p>
          <w:p w:rsidR="00000000" w:rsidDel="00000000" w:rsidP="00000000" w:rsidRDefault="00000000" w:rsidRPr="00000000" w14:paraId="0000009B">
            <w:pPr>
              <w:ind w:left="142" w:firstLine="0"/>
              <w:jc w:val="both"/>
              <w:rPr>
                <w:rFonts w:ascii="Tahoma" w:cs="Tahoma" w:eastAsia="Tahoma" w:hAnsi="Tahoma"/>
                <w:color w:val="000000"/>
                <w:sz w:val="16"/>
                <w:szCs w:val="16"/>
              </w:rPr>
            </w:pPr>
            <w:r w:rsidDel="00000000" w:rsidR="00000000" w:rsidRPr="00000000">
              <w:rPr>
                <w:rFonts w:ascii="Tahoma" w:cs="Tahoma" w:eastAsia="Tahoma" w:hAnsi="Tahoma"/>
                <w:b w:val="1"/>
                <w:color w:val="000000"/>
                <w:sz w:val="16"/>
                <w:szCs w:val="16"/>
                <w:rtl w:val="0"/>
              </w:rPr>
              <w:t xml:space="preserve">Clonidine</w:t>
              <w:br w:type="textWrapping"/>
            </w:r>
            <w:r w:rsidDel="00000000" w:rsidR="00000000" w:rsidRPr="00000000">
              <w:rPr>
                <w:rFonts w:ascii="Tahoma" w:cs="Tahoma" w:eastAsia="Tahoma" w:hAnsi="Tahoma"/>
                <w:color w:val="000000"/>
                <w:sz w:val="16"/>
                <w:szCs w:val="16"/>
                <w:rtl w:val="0"/>
              </w:rPr>
              <w:t xml:space="preserve">1 mcg/ml</w:t>
            </w:r>
          </w:p>
        </w:tc>
      </w:tr>
    </w:tbl>
    <w:p w:rsidR="00000000" w:rsidDel="00000000" w:rsidP="00000000" w:rsidRDefault="00000000" w:rsidRPr="00000000" w14:paraId="0000009C">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Hydrophilic opiate (morphine) may be substituted as an additive to improve spread &amp; quality of analgesia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Recommended infusion rate by mg/kg/hr according to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ESRA</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/ASRA guidelines: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Ropi/levo/bupivacaine 0.2-0.4mg/kg/h</w:t>
        <w:br w:type="textWrapping"/>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88" w:lineRule="auto"/>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Morphine as an Epidural additive is limited to 5 mcg / ml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2">
      <w:pPr>
        <w:spacing w:line="288" w:lineRule="auto"/>
        <w:jc w:val="both"/>
        <w:rPr>
          <w:rFonts w:ascii="Tahoma" w:cs="Tahoma" w:eastAsia="Tahoma" w:hAnsi="Tahoma"/>
          <w:sz w:val="16"/>
          <w:szCs w:val="16"/>
        </w:rPr>
      </w:pPr>
      <w:r w:rsidDel="00000000" w:rsidR="00000000" w:rsidRPr="00000000">
        <w:rPr>
          <w:rFonts w:ascii="Tahoma" w:cs="Tahoma" w:eastAsia="Tahoma" w:hAnsi="Tahoma"/>
          <w:color w:val="000000"/>
          <w:sz w:val="16"/>
          <w:szCs w:val="16"/>
          <w:u w:val="single"/>
          <w:rtl w:val="0"/>
        </w:rPr>
        <w:t xml:space="preserve">Do NOT</w:t>
      </w:r>
      <w:r w:rsidDel="00000000" w:rsidR="00000000" w:rsidRPr="00000000">
        <w:rPr>
          <w:rFonts w:ascii="Tahoma" w:cs="Tahoma" w:eastAsia="Tahoma" w:hAnsi="Tahoma"/>
          <w:color w:val="000000"/>
          <w:sz w:val="16"/>
          <w:szCs w:val="16"/>
          <w:rtl w:val="0"/>
        </w:rPr>
        <w:t xml:space="preserve"> use concomitant IV sedative or opioid infusion if using epidural morphine additive; Ensure that epidural is definitely in &amp; has documented efficacy/ dermatomal level before using this</w:t>
      </w:r>
      <w:r w:rsidDel="00000000" w:rsidR="00000000" w:rsidRPr="00000000">
        <w:rPr>
          <w:rFonts w:ascii="Tahoma" w:cs="Tahoma" w:eastAsia="Tahoma" w:hAnsi="Tahoma"/>
          <w:color w:val="d71a16"/>
          <w:sz w:val="16"/>
          <w:szCs w:val="16"/>
          <w:rtl w:val="0"/>
        </w:rPr>
        <w:t xml:space="preserve">. </w:t>
      </w:r>
      <w:r w:rsidDel="00000000" w:rsidR="00000000" w:rsidRPr="00000000">
        <w:rPr>
          <w:rtl w:val="0"/>
        </w:rPr>
      </w:r>
    </w:p>
    <w:p w:rsidR="00000000" w:rsidDel="00000000" w:rsidP="00000000" w:rsidRDefault="00000000" w:rsidRPr="00000000" w14:paraId="000000A3">
      <w:pPr>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A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SPINAL </w:t>
      </w:r>
    </w:p>
    <w:p w:rsidR="00000000" w:rsidDel="00000000" w:rsidP="00000000" w:rsidRDefault="00000000" w:rsidRPr="00000000" w14:paraId="000000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Suitable as sole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anaesthetic</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technique for ex - premature infants at significant risk of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post-operative</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apnoea.</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Standard monitors in place before starting.</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IV access must be established.</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Full aseptic technique.</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Positioning of patient: lateral or sitting.                                             Avoid extreme neck flexion and potential airway compromise.    </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If using the sitting position, back may be flexed but ensure  adequate support  for the head </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Recommended levels L4 / 5 or L5 / S1. Level should be marked before draping.</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Neonatal Spinal needle: 25G (0.51mm x 2.54cm).</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Dosage: Bupivacaine 0.5% without adrenaline</w:t>
      </w:r>
      <w:r w:rsidDel="00000000" w:rsidR="00000000" w:rsidRPr="00000000">
        <w:rPr>
          <w:rtl w:val="0"/>
        </w:rPr>
      </w:r>
    </w:p>
    <w:p w:rsidR="00000000" w:rsidDel="00000000" w:rsidP="00000000" w:rsidRDefault="00000000" w:rsidRPr="00000000" w14:paraId="000000AE">
      <w:pPr>
        <w:spacing w:line="288" w:lineRule="auto"/>
        <w:jc w:val="both"/>
        <w:rPr>
          <w:rFonts w:ascii="Tahoma" w:cs="Tahoma" w:eastAsia="Tahoma" w:hAnsi="Tahoma"/>
          <w:sz w:val="16"/>
          <w:szCs w:val="16"/>
        </w:rPr>
      </w:pPr>
      <w:r w:rsidDel="00000000" w:rsidR="00000000" w:rsidRPr="00000000">
        <w:rPr>
          <w:rtl w:val="0"/>
        </w:rPr>
      </w:r>
    </w:p>
    <w:tbl>
      <w:tblPr>
        <w:tblStyle w:val="Table5"/>
        <w:tblW w:w="4394.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4"/>
        <w:gridCol w:w="1465"/>
        <w:gridCol w:w="1465"/>
        <w:tblGridChange w:id="0">
          <w:tblGrid>
            <w:gridCol w:w="1464"/>
            <w:gridCol w:w="1465"/>
            <w:gridCol w:w="1465"/>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tcPr>
          <w:p w:rsidR="00000000" w:rsidDel="00000000" w:rsidP="00000000" w:rsidRDefault="00000000" w:rsidRPr="00000000" w14:paraId="000000AF">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sz w:val="16"/>
                <w:szCs w:val="16"/>
                <w:rtl w:val="0"/>
              </w:rPr>
              <w:t xml:space="preserve">Weight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tcPr>
          <w:p w:rsidR="00000000" w:rsidDel="00000000" w:rsidP="00000000" w:rsidRDefault="00000000" w:rsidRPr="00000000" w14:paraId="000000B0">
            <w:pPr>
              <w:spacing w:after="40" w:before="40" w:line="288" w:lineRule="auto"/>
              <w:jc w:val="both"/>
              <w:rPr>
                <w:rFonts w:ascii="Tahoma" w:cs="Tahoma" w:eastAsia="Tahoma" w:hAnsi="Tahoma"/>
                <w:b w:val="1"/>
                <w:color w:val="000000"/>
                <w:sz w:val="16"/>
                <w:szCs w:val="16"/>
                <w:u w:val="single"/>
              </w:rPr>
            </w:pPr>
            <w:r w:rsidDel="00000000" w:rsidR="00000000" w:rsidRPr="00000000">
              <w:rPr>
                <w:rFonts w:ascii="Tahoma" w:cs="Tahoma" w:eastAsia="Tahoma" w:hAnsi="Tahoma"/>
                <w:b w:val="1"/>
                <w:sz w:val="16"/>
                <w:szCs w:val="16"/>
                <w:rtl w:val="0"/>
              </w:rPr>
              <w:t xml:space="preserve">Dose</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1cade4" w:val="clear"/>
          </w:tcPr>
          <w:p w:rsidR="00000000" w:rsidDel="00000000" w:rsidP="00000000" w:rsidRDefault="00000000" w:rsidRPr="00000000" w14:paraId="000000B1">
            <w:pPr>
              <w:spacing w:after="40" w:before="40" w:line="288" w:lineRule="auto"/>
              <w:jc w:val="both"/>
              <w:rPr>
                <w:rFonts w:ascii="Tahoma" w:cs="Tahoma" w:eastAsia="Tahoma" w:hAnsi="Tahoma"/>
                <w:b w:val="1"/>
                <w:color w:val="000000"/>
                <w:sz w:val="16"/>
                <w:szCs w:val="16"/>
              </w:rPr>
            </w:pPr>
            <w:r w:rsidDel="00000000" w:rsidR="00000000" w:rsidRPr="00000000">
              <w:rPr>
                <w:rFonts w:ascii="Tahoma" w:cs="Tahoma" w:eastAsia="Tahoma" w:hAnsi="Tahoma"/>
                <w:b w:val="1"/>
                <w:sz w:val="16"/>
                <w:szCs w:val="16"/>
                <w:rtl w:val="0"/>
              </w:rPr>
              <w:t xml:space="preserve">Volume</w:t>
            </w: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B2">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&lt;2.0 kg</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B3">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0.6mg / kg</w:t>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0B4">
            <w:pPr>
              <w:spacing w:after="40" w:before="40"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0.12 ml / kg</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B5">
            <w:pPr>
              <w:spacing w:after="40" w:before="40" w:line="288" w:lineRule="auto"/>
              <w:jc w:val="both"/>
              <w:rPr>
                <w:rFonts w:ascii="Tahoma" w:cs="Tahoma" w:eastAsia="Tahoma" w:hAnsi="Tahoma"/>
                <w:color w:val="4f81bd"/>
                <w:sz w:val="16"/>
                <w:szCs w:val="16"/>
              </w:rPr>
            </w:pPr>
            <w:r w:rsidDel="00000000" w:rsidR="00000000" w:rsidRPr="00000000">
              <w:rPr>
                <w:rFonts w:ascii="Tahoma" w:cs="Tahoma" w:eastAsia="Tahoma" w:hAnsi="Tahoma"/>
                <w:sz w:val="16"/>
                <w:szCs w:val="16"/>
                <w:rtl w:val="0"/>
              </w:rPr>
              <w:t xml:space="preserve">2-5 kg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B6">
            <w:pPr>
              <w:spacing w:after="40" w:before="40" w:line="288" w:lineRule="auto"/>
              <w:jc w:val="both"/>
              <w:rPr>
                <w:rFonts w:ascii="Tahoma" w:cs="Tahoma" w:eastAsia="Tahoma" w:hAnsi="Tahoma"/>
                <w:color w:val="4f81bd"/>
                <w:sz w:val="16"/>
                <w:szCs w:val="16"/>
              </w:rPr>
            </w:pPr>
            <w:r w:rsidDel="00000000" w:rsidR="00000000" w:rsidRPr="00000000">
              <w:rPr>
                <w:rFonts w:ascii="Tahoma" w:cs="Tahoma" w:eastAsia="Tahoma" w:hAnsi="Tahoma"/>
                <w:sz w:val="16"/>
                <w:szCs w:val="16"/>
                <w:rtl w:val="0"/>
              </w:rPr>
              <w:t xml:space="preserve">0.5mg / kg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0B7">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0.10 ml / kg</w:t>
            </w: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B8">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&gt;5 kg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B9">
            <w:pPr>
              <w:spacing w:after="40" w:before="40" w:line="288" w:lineRule="auto"/>
              <w:jc w:val="both"/>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0.4mg / kg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f1fa" w:val="clear"/>
          </w:tcPr>
          <w:p w:rsidR="00000000" w:rsidDel="00000000" w:rsidP="00000000" w:rsidRDefault="00000000" w:rsidRPr="00000000" w14:paraId="000000BA">
            <w:pPr>
              <w:spacing w:after="40" w:before="40" w:line="288" w:lineRule="auto"/>
              <w:jc w:val="both"/>
              <w:rPr>
                <w:rFonts w:ascii="Tahoma" w:cs="Tahoma" w:eastAsia="Tahoma" w:hAnsi="Tahoma"/>
                <w:color w:val="4f81bd"/>
                <w:sz w:val="16"/>
                <w:szCs w:val="16"/>
              </w:rPr>
            </w:pPr>
            <w:r w:rsidDel="00000000" w:rsidR="00000000" w:rsidRPr="00000000">
              <w:rPr>
                <w:rFonts w:ascii="Tahoma" w:cs="Tahoma" w:eastAsia="Tahoma" w:hAnsi="Tahoma"/>
                <w:sz w:val="16"/>
                <w:szCs w:val="16"/>
                <w:rtl w:val="0"/>
              </w:rPr>
              <w:t xml:space="preserve">0.08 ml / kg</w:t>
            </w:r>
            <w:r w:rsidDel="00000000" w:rsidR="00000000" w:rsidRPr="00000000">
              <w:rPr>
                <w:rtl w:val="0"/>
              </w:rPr>
            </w:r>
          </w:p>
        </w:tc>
      </w:tr>
    </w:tbl>
    <w:p w:rsidR="00000000" w:rsidDel="00000000" w:rsidP="00000000" w:rsidRDefault="00000000" w:rsidRPr="00000000" w14:paraId="000000BB">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Ascertain</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and record level of block.</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 pacifier with glucose solution can be given </w:t>
      </w:r>
      <w:r w:rsidDel="00000000" w:rsidR="00000000" w:rsidRPr="00000000">
        <w:rPr>
          <w:rFonts w:ascii="Tahoma" w:cs="Tahoma" w:eastAsia="Tahoma" w:hAnsi="Tahoma"/>
          <w:sz w:val="16"/>
          <w:szCs w:val="16"/>
          <w:rtl w:val="0"/>
        </w:rPr>
        <w:t xml:space="preserve">to the baby</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476" w:right="0" w:hanging="294"/>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Post-operatively, the baby should be monitored for apnoeic spells for 24 hours.</w:t>
      </w:r>
      <w:r w:rsidDel="00000000" w:rsidR="00000000" w:rsidRPr="00000000">
        <w:rPr>
          <w:rtl w:val="0"/>
        </w:rPr>
      </w:r>
    </w:p>
    <w:p w:rsidR="00000000" w:rsidDel="00000000" w:rsidP="00000000" w:rsidRDefault="00000000" w:rsidRPr="00000000" w14:paraId="000000BF">
      <w:pPr>
        <w:spacing w:line="288" w:lineRule="auto"/>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C0">
      <w:pPr>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line="288" w:lineRule="auto"/>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References:</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Regional Anesthesia in Infants, Children and Adolescents. Dalens B. Ed. 1</w:t>
      </w:r>
      <w:r w:rsidDel="00000000" w:rsidR="00000000" w:rsidRPr="00000000">
        <w:rPr>
          <w:rFonts w:ascii="Tahoma" w:cs="Tahoma" w:eastAsia="Tahoma" w:hAnsi="Tahoma"/>
          <w:i w:val="1"/>
          <w:smallCaps w:val="0"/>
          <w:strike w:val="0"/>
          <w:color w:val="000000"/>
          <w:sz w:val="16"/>
          <w:szCs w:val="16"/>
          <w:u w:val="none"/>
          <w:shd w:fill="auto" w:val="clear"/>
          <w:vertAlign w:val="superscript"/>
          <w:rtl w:val="0"/>
        </w:rPr>
        <w:t xml:space="preserve">st</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Edition.1993,  William &amp; Wilkins.</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bookmarkStart w:colFirst="0" w:colLast="0" w:name="_heading=h.gjdgxs" w:id="0"/>
      <w:bookmarkEnd w:id="0"/>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Pediatric Regional Anesthesia, Polaner D, Suresh S, Cote CJ in A Practice of Anesthesia for Infants and Children. Cote CJ, Todres ID, </w:t>
      </w:r>
      <w:hyperlink r:id="rId7">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Goudsouzian</w:t>
        </w:r>
      </w:hyperlink>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NG, Ryan JF. 3</w:t>
      </w:r>
      <w:r w:rsidDel="00000000" w:rsidR="00000000" w:rsidRPr="00000000">
        <w:rPr>
          <w:rFonts w:ascii="Tahoma" w:cs="Tahoma" w:eastAsia="Tahoma" w:hAnsi="Tahoma"/>
          <w:i w:val="1"/>
          <w:smallCaps w:val="0"/>
          <w:strike w:val="0"/>
          <w:color w:val="000000"/>
          <w:sz w:val="16"/>
          <w:szCs w:val="16"/>
          <w:u w:val="none"/>
          <w:shd w:fill="auto" w:val="clear"/>
          <w:vertAlign w:val="superscript"/>
          <w:rtl w:val="0"/>
        </w:rPr>
        <w:t xml:space="preserve">rd</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Edition, 2000, WB Saunders Co. </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Armitage EN. Regional </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anaesthesia</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in Paediatrics. Clinics in Anaesthesiology 1985; 3: 553.</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Lönnqvist, P.-A. (2012), Toxicity of local anesthetic drugs: a pediatric perspective. Pediatric Anesthesia, 22: 39–43</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Jean-Xavier Mazoit. Local </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anaesthetics</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and their adjuncts. Pediatric Anesthesia 2012; 22: 31-38.</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Giorgio Ivani, Santhanam Suresh, Claude Ecoffey et al. The European Society of Regional Anaesthesia and Pain Therapy and the American Society of Regional Anesthesia and Pain Medicine Joint Committee Practice Advisory on Controversial Topics in Pediatric Regional Anesthesia. Reg Anesth Pain Med 2015;40: 00–00.</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88" w:lineRule="auto"/>
        <w:ind w:left="720" w:right="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Suresh S, Ecoffey C, Bosenberg A, Lonnqvist PA, de Oliveira GS Jr, de Leon Casasola O, de Andrés J, Ivani G. The European Society of Regional Anaesthesia and Pain Therapy/American Society of Regional Anesthesia and Pain Medicine Recommendations on Local Anesthetics and Adjuvants Dosage in Pediatric Regional Anesthesia. Reg Anesth Pain Med. 2018 Feb;43(2):211-216. </w:t>
      </w:r>
    </w:p>
    <w:p w:rsidR="00000000" w:rsidDel="00000000" w:rsidP="00000000" w:rsidRDefault="00000000" w:rsidRPr="00000000" w14:paraId="000000C9">
      <w:pPr>
        <w:jc w:val="both"/>
        <w:rPr>
          <w:rFonts w:ascii="Tahoma" w:cs="Tahoma" w:eastAsia="Tahoma" w:hAnsi="Tahoma"/>
          <w:i w:val="1"/>
          <w:sz w:val="16"/>
          <w:szCs w:val="16"/>
          <w:u w:val="single"/>
        </w:rPr>
      </w:pPr>
      <w:r w:rsidDel="00000000" w:rsidR="00000000" w:rsidRPr="00000000">
        <w:rPr>
          <w:rtl w:val="0"/>
        </w:rPr>
      </w:r>
    </w:p>
    <w:p w:rsidR="00000000" w:rsidDel="00000000" w:rsidP="00000000" w:rsidRDefault="00000000" w:rsidRPr="00000000" w14:paraId="000000CA">
      <w:pPr>
        <w:jc w:val="both"/>
        <w:rPr>
          <w:rFonts w:ascii="Tahoma" w:cs="Tahoma" w:eastAsia="Tahoma" w:hAnsi="Tahoma"/>
          <w:b w:val="1"/>
          <w:sz w:val="16"/>
          <w:szCs w:val="16"/>
          <w:u w:val="single"/>
        </w:rPr>
      </w:pPr>
      <w:r w:rsidDel="00000000" w:rsidR="00000000" w:rsidRPr="00000000">
        <w:rPr>
          <w:rtl w:val="0"/>
        </w:rPr>
      </w:r>
    </w:p>
    <w:p w:rsidR="00000000" w:rsidDel="00000000" w:rsidP="00000000" w:rsidRDefault="00000000" w:rsidRPr="00000000" w14:paraId="000000CB">
      <w:pPr>
        <w:spacing w:line="288" w:lineRule="auto"/>
        <w:ind w:left="426"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C">
      <w:pPr>
        <w:jc w:val="both"/>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CD">
      <w:pPr>
        <w:spacing w:line="288" w:lineRule="auto"/>
        <w:jc w:val="center"/>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Guidelines on Regional Anaesthesia and Central Neuraxial Blocks in Patients on Antiplatelets, Anticoagulants and Coagulopathy</w:t>
      </w:r>
    </w:p>
    <w:p w:rsidR="00000000" w:rsidDel="00000000" w:rsidP="00000000" w:rsidRDefault="00000000" w:rsidRPr="00000000" w14:paraId="000000CE">
      <w:pPr>
        <w:spacing w:line="288" w:lineRule="auto"/>
        <w:jc w:val="both"/>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C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Patients on antiplatelet or anticoagulant agents are at increased risk of bleeding complications. While coagulopathy is a contraindication to such techniques, it is possible that it develops post-operatively. As such, the risks and benefits of regional techniques and central neuraxial blocks should be carefully thought through and discussed with the primary team. </w:t>
      </w:r>
    </w:p>
    <w:p w:rsidR="00000000" w:rsidDel="00000000" w:rsidP="00000000" w:rsidRDefault="00000000" w:rsidRPr="00000000" w14:paraId="000000D0">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Deep peripheral nerve blocks (PNB) should be avoided in the presence of coagulopathy. (see table below)</w:t>
      </w:r>
    </w:p>
    <w:p w:rsidR="00000000" w:rsidDel="00000000" w:rsidP="00000000" w:rsidRDefault="00000000" w:rsidRPr="00000000" w14:paraId="000000D2">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3">
      <w:pPr>
        <w:spacing w:line="288" w:lineRule="auto"/>
        <w:jc w:val="both"/>
        <w:rPr>
          <w:rFonts w:ascii="Tahoma" w:cs="Tahoma" w:eastAsia="Tahoma" w:hAnsi="Tahoma"/>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-45473</wp:posOffset>
            </wp:positionH>
            <wp:positionV relativeFrom="paragraph">
              <wp:posOffset>31750</wp:posOffset>
            </wp:positionV>
            <wp:extent cx="3374679" cy="2584938"/>
            <wp:effectExtent b="0" l="0" r="0" t="0"/>
            <wp:wrapNone/>
            <wp:docPr id="12" name="image1.png"/>
            <a:graphic>
              <a:graphicData uri="http://schemas.openxmlformats.org/drawingml/2006/picture">
                <pic:pic>
                  <pic:nvPicPr>
                    <pic:cNvPr id="0" name="image1.png"/>
                    <pic:cNvPicPr preferRelativeResize="0"/>
                  </pic:nvPicPr>
                  <pic:blipFill>
                    <a:blip r:embed="rId8"/>
                    <a:srcRect b="0" l="0" r="0" t="1342"/>
                    <a:stretch>
                      <a:fillRect/>
                    </a:stretch>
                  </pic:blipFill>
                  <pic:spPr>
                    <a:xfrm>
                      <a:off x="0" y="0"/>
                      <a:ext cx="3374679" cy="2584938"/>
                    </a:xfrm>
                    <a:prstGeom prst="rect"/>
                    <a:ln/>
                  </pic:spPr>
                </pic:pic>
              </a:graphicData>
            </a:graphic>
          </wp:anchor>
        </w:drawing>
      </w:r>
    </w:p>
    <w:p w:rsidR="00000000" w:rsidDel="00000000" w:rsidP="00000000" w:rsidRDefault="00000000" w:rsidRPr="00000000" w14:paraId="000000D4">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5">
      <w:pPr>
        <w:jc w:val="both"/>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D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reviewing the patient, consider the following:</w:t>
      </w:r>
    </w:p>
    <w:p w:rsidR="00000000" w:rsidDel="00000000" w:rsidP="00000000" w:rsidRDefault="00000000" w:rsidRPr="00000000" w14:paraId="000000D7">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If your patients are currently not on the agents but might be started on them after the operation, communicate with the primary team/ surgeons. </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If your patient is on any of these medications, know the reason for him/her being on the medication as well as the urgency of restarting antiplatelet or anticoagulants post- operatively.</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Existing coagulation status :</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i w:val="0"/>
          <w:smallCaps w:val="0"/>
          <w:strike w:val="0"/>
          <w:color w:val="000000"/>
          <w:sz w:val="16"/>
          <w:szCs w:val="16"/>
          <w:shd w:fill="auto" w:val="clear"/>
          <w:vertAlign w:val="baseline"/>
        </w:rPr>
      </w:pPr>
      <w:sdt>
        <w:sdtPr>
          <w:tag w:val="goog_rdk_1"/>
        </w:sdtPr>
        <w:sdtContent>
          <w:r w:rsidDel="00000000" w:rsidR="00000000" w:rsidRPr="00000000">
            <w:rPr>
              <w:rFonts w:ascii="Arial Unicode MS" w:cs="Arial Unicode MS" w:eastAsia="Arial Unicode MS" w:hAnsi="Arial Unicode MS"/>
              <w:i w:val="0"/>
              <w:smallCaps w:val="0"/>
              <w:strike w:val="0"/>
              <w:color w:val="000000"/>
              <w:sz w:val="16"/>
              <w:szCs w:val="16"/>
              <w:u w:val="none"/>
              <w:shd w:fill="auto" w:val="clear"/>
              <w:vertAlign w:val="baseline"/>
              <w:rtl w:val="0"/>
            </w:rPr>
            <w:t xml:space="preserve">Platelet levels should be ≥80K</w:t>
          </w:r>
        </w:sdtContent>
      </w:sdt>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i w:val="0"/>
          <w:smallCaps w:val="0"/>
          <w:strike w:val="0"/>
          <w:color w:val="000000"/>
          <w:sz w:val="16"/>
          <w:szCs w:val="16"/>
          <w:shd w:fill="auto" w:val="clear"/>
          <w:vertAlign w:val="baseline"/>
        </w:rPr>
      </w:pPr>
      <w:sdt>
        <w:sdtPr>
          <w:tag w:val="goog_rdk_2"/>
        </w:sdtPr>
        <w:sdtContent>
          <w:r w:rsidDel="00000000" w:rsidR="00000000" w:rsidRPr="00000000">
            <w:rPr>
              <w:rFonts w:ascii="Arial Unicode MS" w:cs="Arial Unicode MS" w:eastAsia="Arial Unicode MS" w:hAnsi="Arial Unicode MS"/>
              <w:i w:val="0"/>
              <w:smallCaps w:val="0"/>
              <w:strike w:val="0"/>
              <w:color w:val="000000"/>
              <w:sz w:val="16"/>
              <w:szCs w:val="16"/>
              <w:u w:val="none"/>
              <w:shd w:fill="auto" w:val="clear"/>
              <w:vertAlign w:val="baseline"/>
              <w:rtl w:val="0"/>
            </w:rPr>
            <w:t xml:space="preserve">INR should be ≤1.4</w:t>
          </w:r>
        </w:sdtContent>
      </w:sdt>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Any suggestion of coagulopathy, clinical or otherwise, should be discussed with your consultant. It may need further investigation prior to surgery.</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New onset </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post-operative</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coagulopathy :</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Assess and document neurological status and function. Discuss </w:t>
      </w:r>
      <w:r w:rsidDel="00000000" w:rsidR="00000000" w:rsidRPr="00000000">
        <w:rPr>
          <w:rFonts w:ascii="Tahoma" w:cs="Tahoma" w:eastAsia="Tahoma" w:hAnsi="Tahoma"/>
          <w:sz w:val="16"/>
          <w:szCs w:val="16"/>
          <w:rtl w:val="0"/>
        </w:rPr>
        <w:t xml:space="preserve">with the Pain</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Consultant </w:t>
      </w:r>
      <w:r w:rsidDel="00000000" w:rsidR="00000000" w:rsidRPr="00000000">
        <w:rPr>
          <w:rFonts w:ascii="Tahoma" w:cs="Tahoma" w:eastAsia="Tahoma" w:hAnsi="Tahoma"/>
          <w:sz w:val="16"/>
          <w:szCs w:val="16"/>
          <w:rtl w:val="0"/>
        </w:rPr>
        <w:t xml:space="preserve">regarding the need</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for referral to other specialists or imaging.</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Increased frequency (Q2H) of neurological monitoring required. </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Consider stopping epidural infusion with a view to remove catheter as soon as is viable. If so, convert to appropriate alternative analgesia eg. Continuous morphine infusion. </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Ascertain cause and degree of coagulopathy and correct as far as possible.</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Remove catheter at earliest and safest opportunity, bearing in mind the coagulation status may fluctuate between the time of the laboratory reading and the time of catheter removal.</w:t>
      </w:r>
      <w:r w:rsidDel="00000000" w:rsidR="00000000" w:rsidRPr="00000000">
        <w:br w:type="page"/>
      </w:r>
      <w:r w:rsidDel="00000000" w:rsidR="00000000" w:rsidRPr="00000000">
        <w:rPr>
          <w:rtl w:val="0"/>
        </w:rPr>
      </w:r>
    </w:p>
    <w:p w:rsidR="00000000" w:rsidDel="00000000" w:rsidP="00000000" w:rsidRDefault="00000000" w:rsidRPr="00000000" w14:paraId="000000E4">
      <w:pPr>
        <w:jc w:val="both"/>
        <w:rPr>
          <w:rFonts w:ascii="Tahoma" w:cs="Tahoma" w:eastAsia="Tahoma" w:hAnsi="Tahoma"/>
          <w:b w:val="1"/>
          <w:sz w:val="16"/>
          <w:szCs w:val="16"/>
          <w:u w:val="single"/>
        </w:rPr>
      </w:pPr>
      <w:r w:rsidDel="00000000" w:rsidR="00000000" w:rsidRPr="00000000">
        <w:rPr>
          <w:rFonts w:ascii="Tahoma" w:cs="Tahoma" w:eastAsia="Tahoma" w:hAnsi="Tahoma"/>
          <w:b w:val="1"/>
          <w:sz w:val="16"/>
          <w:szCs w:val="16"/>
          <w:u w:val="single"/>
          <w:rtl w:val="0"/>
        </w:rPr>
        <w:t xml:space="preserve">Antiplatelets and Anticoagulants</w:t>
      </w:r>
    </w:p>
    <w:p w:rsidR="00000000" w:rsidDel="00000000" w:rsidP="00000000" w:rsidRDefault="00000000" w:rsidRPr="00000000" w14:paraId="000000E5">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E6">
      <w:pP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your patient is on any of these, take note:</w:t>
      </w:r>
    </w:p>
    <w:p w:rsidR="00000000" w:rsidDel="00000000" w:rsidP="00000000" w:rsidRDefault="00000000" w:rsidRPr="00000000" w14:paraId="000000E7">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E8">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Thrombolytics:</w:t>
      </w:r>
    </w:p>
    <w:p w:rsidR="00000000" w:rsidDel="00000000" w:rsidP="00000000" w:rsidRDefault="00000000" w:rsidRPr="00000000" w14:paraId="000000E9">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There is insufficient data to support specific recommendations </w:t>
      </w:r>
      <w:r w:rsidDel="00000000" w:rsidR="00000000" w:rsidRPr="00000000">
        <w:rPr>
          <w:rFonts w:ascii="Tahoma" w:cs="Tahoma" w:eastAsia="Tahoma" w:hAnsi="Tahoma"/>
          <w:sz w:val="16"/>
          <w:szCs w:val="16"/>
          <w:rtl w:val="0"/>
        </w:rPr>
        <w:t xml:space="preserve">regarding a safe</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time period for neuraxial puncture to take place after </w:t>
      </w:r>
      <w:r w:rsidDel="00000000" w:rsidR="00000000" w:rsidRPr="00000000">
        <w:rPr>
          <w:rFonts w:ascii="Tahoma" w:cs="Tahoma" w:eastAsia="Tahoma" w:hAnsi="Tahoma"/>
          <w:sz w:val="16"/>
          <w:szCs w:val="16"/>
          <w:rtl w:val="0"/>
        </w:rPr>
        <w:t xml:space="preserve">receiving</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thrombolytics thus we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do not recommend</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regional or central neuraxial blocks in patients with recent thrombolytic therapy (&lt;10days). </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Patients should not be started on thrombolytic therapy if a catheter is in-situ.</w:t>
      </w:r>
      <w:r w:rsidDel="00000000" w:rsidR="00000000" w:rsidRPr="00000000">
        <w:rPr>
          <w:rtl w:val="0"/>
        </w:rPr>
      </w:r>
    </w:p>
    <w:p w:rsidR="00000000" w:rsidDel="00000000" w:rsidP="00000000" w:rsidRDefault="00000000" w:rsidRPr="00000000" w14:paraId="000000EC">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ED">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Unfractionated Heparin: </w:t>
      </w:r>
    </w:p>
    <w:p w:rsidR="00000000" w:rsidDel="00000000" w:rsidP="00000000" w:rsidRDefault="00000000" w:rsidRPr="00000000" w14:paraId="000000EE">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E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Intravenous Heparin (Therapeutic Dose)</w:t>
      </w:r>
      <w:r w:rsidDel="00000000" w:rsidR="00000000" w:rsidRPr="00000000">
        <w:rPr>
          <w:rtl w:val="0"/>
        </w:rPr>
      </w:r>
    </w:p>
    <w:p w:rsidR="00000000" w:rsidDel="00000000" w:rsidP="00000000" w:rsidRDefault="00000000" w:rsidRPr="00000000" w14:paraId="000000F0">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Stop heparin 4 hours and check coagulation status (APTT should be normal) prior to block &amp; catheter placement &amp; removal.</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Heparin may be started 4 hours after neuraxial block.</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Heparinization in the presence of an indwelling catheter increases risk*. Monitor neurological status closely.</w:t>
      </w:r>
      <w:r w:rsidDel="00000000" w:rsidR="00000000" w:rsidRPr="00000000">
        <w:rPr>
          <w:rtl w:val="0"/>
        </w:rPr>
      </w:r>
    </w:p>
    <w:p w:rsidR="00000000" w:rsidDel="00000000" w:rsidP="00000000" w:rsidRDefault="00000000" w:rsidRPr="00000000" w14:paraId="000000F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AAGBI Guidelines 2013 advises caution </w:t>
      </w:r>
    </w:p>
    <w:p w:rsidR="00000000" w:rsidDel="00000000" w:rsidP="00000000" w:rsidRDefault="00000000" w:rsidRPr="00000000" w14:paraId="000000F5">
      <w:pPr>
        <w:spacing w:line="288" w:lineRule="auto"/>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F6">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Subcutaneous Heparin  (Prophylactic Dose)</w:t>
      </w:r>
    </w:p>
    <w:p w:rsidR="00000000" w:rsidDel="00000000" w:rsidP="00000000" w:rsidRDefault="00000000" w:rsidRPr="00000000" w14:paraId="000000F7">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Stop heparin </w:t>
      </w:r>
      <w:r w:rsidDel="00000000" w:rsidR="00000000" w:rsidRPr="00000000">
        <w:rPr>
          <w:rFonts w:ascii="Tahoma" w:cs="Tahoma" w:eastAsia="Tahoma" w:hAnsi="Tahoma"/>
          <w:sz w:val="16"/>
          <w:szCs w:val="16"/>
          <w:rtl w:val="0"/>
        </w:rPr>
        <w:t xml:space="preserve">4 h prior</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Heparin may be started 1h after neuraxial block.</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Heparinization in the presence of an indwelling catheter increases risk*. Monitor neurological status closely.</w:t>
      </w:r>
      <w:r w:rsidDel="00000000" w:rsidR="00000000" w:rsidRPr="00000000">
        <w:rPr>
          <w:rtl w:val="0"/>
        </w:rPr>
      </w:r>
    </w:p>
    <w:p w:rsidR="00000000" w:rsidDel="00000000" w:rsidP="00000000" w:rsidRDefault="00000000" w:rsidRPr="00000000" w14:paraId="000000F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AAGBI Guidelines 2013 advises caution </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sz w:val="16"/>
          <w:szCs w:val="16"/>
          <w:rtl w:val="0"/>
        </w:rPr>
        <w:t xml:space="preserve">Remove the catheter</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2-4h </w:t>
      </w:r>
      <w:r w:rsidDel="00000000" w:rsidR="00000000" w:rsidRPr="00000000">
        <w:rPr>
          <w:rFonts w:ascii="Tahoma" w:cs="Tahoma" w:eastAsia="Tahoma" w:hAnsi="Tahoma"/>
          <w:sz w:val="16"/>
          <w:szCs w:val="16"/>
          <w:rtl w:val="0"/>
        </w:rPr>
        <w:t xml:space="preserve">after the last</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dose.</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The next S/C Heparin dose can be administered 1 hour after catheter removal.</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For patients receiving S/C Heparin &gt; 4 days, check PLATELET level before catheter removal (grade 1C).</w:t>
      </w:r>
      <w:r w:rsidDel="00000000" w:rsidR="00000000" w:rsidRPr="00000000">
        <w:rPr>
          <w:rtl w:val="0"/>
        </w:rPr>
      </w:r>
    </w:p>
    <w:p w:rsidR="00000000" w:rsidDel="00000000" w:rsidP="00000000" w:rsidRDefault="00000000" w:rsidRPr="00000000" w14:paraId="000000FF">
      <w:pPr>
        <w:spacing w:line="288" w:lineRule="auto"/>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0">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LMWH:</w:t>
      </w:r>
    </w:p>
    <w:p w:rsidR="00000000" w:rsidDel="00000000" w:rsidP="00000000" w:rsidRDefault="00000000" w:rsidRPr="00000000" w14:paraId="00000101">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Prophylactic Dose (Once daily dose):</w:t>
      </w:r>
    </w:p>
    <w:p w:rsidR="00000000" w:rsidDel="00000000" w:rsidP="00000000" w:rsidRDefault="00000000" w:rsidRPr="00000000" w14:paraId="00000102">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Wait 12 hours </w:t>
      </w:r>
      <w:r w:rsidDel="00000000" w:rsidR="00000000" w:rsidRPr="00000000">
        <w:rPr>
          <w:rFonts w:ascii="Tahoma" w:cs="Tahoma" w:eastAsia="Tahoma" w:hAnsi="Tahoma"/>
          <w:sz w:val="16"/>
          <w:szCs w:val="16"/>
          <w:rtl w:val="0"/>
        </w:rPr>
        <w:t xml:space="preserve">from the last</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dose of thromboprophylactic LMWH.</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After needle or catheter placement, wait 4-6 h before the first dose of LMWH. </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Subsequent </w:t>
      </w:r>
      <w:r w:rsidDel="00000000" w:rsidR="00000000" w:rsidRPr="00000000">
        <w:rPr>
          <w:rFonts w:ascii="Tahoma" w:cs="Tahoma" w:eastAsia="Tahoma" w:hAnsi="Tahoma"/>
          <w:sz w:val="16"/>
          <w:szCs w:val="16"/>
          <w:rtl w:val="0"/>
        </w:rPr>
        <w:t xml:space="preserve">doses</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should only be given </w:t>
      </w:r>
      <w:r w:rsidDel="00000000" w:rsidR="00000000" w:rsidRPr="00000000">
        <w:rPr>
          <w:rFonts w:ascii="Tahoma" w:cs="Tahoma" w:eastAsia="Tahoma" w:hAnsi="Tahoma"/>
          <w:sz w:val="16"/>
          <w:szCs w:val="16"/>
          <w:rtl w:val="0"/>
        </w:rPr>
        <w:t xml:space="preserve">24 h</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after the first.</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Drug administration in the presence of an indwelling catheter increases risk*. Monitor neurological status closely.</w:t>
      </w:r>
      <w:r w:rsidDel="00000000" w:rsidR="00000000" w:rsidRPr="00000000">
        <w:rPr>
          <w:rtl w:val="0"/>
        </w:rPr>
      </w:r>
    </w:p>
    <w:p w:rsidR="00000000" w:rsidDel="00000000" w:rsidP="00000000" w:rsidRDefault="00000000" w:rsidRPr="00000000" w14:paraId="0000010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AAGBI Guidelines 2013 advises caution </w:t>
      </w:r>
    </w:p>
    <w:p w:rsidR="00000000" w:rsidDel="00000000" w:rsidP="00000000" w:rsidRDefault="00000000" w:rsidRPr="00000000" w14:paraId="00000108">
      <w:pPr>
        <w:spacing w:line="288" w:lineRule="auto"/>
        <w:ind w:left="72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09">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Therapeutic Dose (Twice daily dose):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Wait 24 hours </w:t>
      </w:r>
      <w:r w:rsidDel="00000000" w:rsidR="00000000" w:rsidRPr="00000000">
        <w:rPr>
          <w:rFonts w:ascii="Tahoma" w:cs="Tahoma" w:eastAsia="Tahoma" w:hAnsi="Tahoma"/>
          <w:sz w:val="16"/>
          <w:szCs w:val="16"/>
          <w:rtl w:val="0"/>
        </w:rPr>
        <w:t xml:space="preserve">from the last</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"treatment" dose of LMWH. </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Wait 24 hours before restarting LMWH after single shot regional / neuraxial block</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Wait 4-6 h after catheter removal before starting LMWH</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DO NOT </w:t>
      </w:r>
      <w:r w:rsidDel="00000000" w:rsidR="00000000" w:rsidRPr="00000000">
        <w:rPr>
          <w:rFonts w:ascii="Tahoma" w:cs="Tahoma" w:eastAsia="Tahoma" w:hAnsi="Tahoma"/>
          <w:sz w:val="16"/>
          <w:szCs w:val="16"/>
          <w:rtl w:val="0"/>
        </w:rPr>
        <w:t xml:space="preserve">administer a therapeutic</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dose of LMWH </w:t>
      </w:r>
      <w:r w:rsidDel="00000000" w:rsidR="00000000" w:rsidRPr="00000000">
        <w:rPr>
          <w:rFonts w:ascii="Tahoma" w:cs="Tahoma" w:eastAsia="Tahoma" w:hAnsi="Tahoma"/>
          <w:sz w:val="16"/>
          <w:szCs w:val="16"/>
          <w:rtl w:val="0"/>
        </w:rPr>
        <w:t xml:space="preserve">until the catheter</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is removed. </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0">
      <w:pPr>
        <w:spacing w:line="288" w:lineRule="auto"/>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11">
      <w:pPr>
        <w:spacing w:line="288" w:lineRule="auto"/>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12">
      <w:pPr>
        <w:spacing w:line="288" w:lineRule="auto"/>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13">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Warfarin:</w:t>
      </w:r>
    </w:p>
    <w:p w:rsidR="00000000" w:rsidDel="00000000" w:rsidP="00000000" w:rsidRDefault="00000000" w:rsidRPr="00000000" w14:paraId="00000114">
      <w:pPr>
        <w:spacing w:line="288" w:lineRule="auto"/>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Discontinue chronic Warfarin therapy 4-5 days before neuraxial blocks and evaluate INR. </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sdt>
        <w:sdtPr>
          <w:tag w:val="goog_rdk_3"/>
        </w:sdtPr>
        <w:sdtContent>
          <w:r w:rsidDel="00000000" w:rsidR="00000000" w:rsidRPr="00000000">
            <w:rPr>
              <w:rFonts w:ascii="Arial Unicode MS" w:cs="Arial Unicode MS" w:eastAsia="Arial Unicode MS" w:hAnsi="Arial Unicode MS"/>
              <w:i w:val="0"/>
              <w:smallCaps w:val="0"/>
              <w:strike w:val="0"/>
              <w:color w:val="000000"/>
              <w:sz w:val="16"/>
              <w:szCs w:val="16"/>
              <w:u w:val="none"/>
              <w:shd w:fill="auto" w:val="clear"/>
              <w:vertAlign w:val="baseline"/>
              <w:rtl w:val="0"/>
            </w:rPr>
            <w:t xml:space="preserve">INR should be ≤1.4 at time of regional/ neuraxial block.</w:t>
          </w:r>
        </w:sdtContent>
      </w:sdt>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sdt>
        <w:sdtPr>
          <w:tag w:val="goog_rdk_4"/>
        </w:sdtPr>
        <w:sdtContent>
          <w:r w:rsidDel="00000000" w:rsidR="00000000" w:rsidRPr="00000000">
            <w:rPr>
              <w:rFonts w:ascii="Arial Unicode MS" w:cs="Arial Unicode MS" w:eastAsia="Arial Unicode MS" w:hAnsi="Arial Unicode MS"/>
              <w:i w:val="0"/>
              <w:smallCaps w:val="0"/>
              <w:strike w:val="0"/>
              <w:color w:val="000000"/>
              <w:sz w:val="16"/>
              <w:szCs w:val="16"/>
              <w:u w:val="none"/>
              <w:shd w:fill="auto" w:val="clear"/>
              <w:vertAlign w:val="baseline"/>
              <w:rtl w:val="0"/>
            </w:rPr>
            <w:t xml:space="preserve">After operation, daily INR assessment. Keep INR ≤1.4 prior to catheter removal.</w:t>
          </w:r>
        </w:sdtContent>
      </w:sdt>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If INR is &gt;1.4, consult a senior. </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Neurologic examinations should continue for 24 hours after catheter removal.</w:t>
      </w:r>
      <w:r w:rsidDel="00000000" w:rsidR="00000000" w:rsidRPr="00000000">
        <w:rPr>
          <w:rtl w:val="0"/>
        </w:rPr>
      </w:r>
    </w:p>
    <w:p w:rsidR="00000000" w:rsidDel="00000000" w:rsidP="00000000" w:rsidRDefault="00000000" w:rsidRPr="00000000" w14:paraId="0000011A">
      <w:pPr>
        <w:spacing w:line="288" w:lineRule="auto"/>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1B">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Novel Oral Anticoagulant (NOAC) Agents:</w:t>
      </w:r>
    </w:p>
    <w:p w:rsidR="00000000" w:rsidDel="00000000" w:rsidP="00000000" w:rsidRDefault="00000000" w:rsidRPr="00000000" w14:paraId="0000011C">
      <w:pPr>
        <w:spacing w:line="288" w:lineRule="auto"/>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bookmarkStart w:colFirst="0" w:colLast="0" w:name="_heading=h.30j0zll" w:id="1"/>
      <w:bookmarkEnd w:id="1"/>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Rivaroxaban and Dabigatran are renally excreted. Appropriate length of time for stopping before regional or CNB depends on CrCl. (Range  2-4 days)**</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Administration of </w:t>
      </w:r>
      <w:r w:rsidDel="00000000" w:rsidR="00000000" w:rsidRPr="00000000">
        <w:rPr>
          <w:rFonts w:ascii="Tahoma" w:cs="Tahoma" w:eastAsia="Tahoma" w:hAnsi="Tahoma"/>
          <w:sz w:val="16"/>
          <w:szCs w:val="16"/>
          <w:rtl w:val="0"/>
        </w:rPr>
        <w:t xml:space="preserve">drugs</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with spinal/ epidural catheter in situ is not recommended.</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All drugs (Rivaroxaban, Dabigatran and Apixaban) can be restarted at least 6h after block performance or catheter removal. </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**Refer to AAGBI Guidelines 2013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2">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Antiplatelet:</w:t>
      </w:r>
    </w:p>
    <w:p w:rsidR="00000000" w:rsidDel="00000000" w:rsidP="00000000" w:rsidRDefault="00000000" w:rsidRPr="00000000" w14:paraId="00000123">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Stop Clopidogrel 7 days before neuraxial block.</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Stop Ticlopidine 14 days before neuraxial block.</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No restrictions on regional, CNB, catheter insertion and  removal in patients receiving Aspirin and other NSAIDS.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Administration of other antiplatelets with spinal/ epidural catheter in situ is not recommended.</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9">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Thrombin Inhibitors:</w:t>
      </w:r>
      <w:r w:rsidDel="00000000" w:rsidR="00000000" w:rsidRPr="00000000">
        <w:rPr>
          <w:rFonts w:ascii="Tahoma" w:cs="Tahoma" w:eastAsia="Tahoma" w:hAnsi="Tahoma"/>
          <w:sz w:val="16"/>
          <w:szCs w:val="16"/>
          <w:rtl w:val="0"/>
        </w:rPr>
        <w:t xml:space="preserve"> (Desirudin, Lepirudin, Bivalirudin, Argatroban)</w:t>
      </w:r>
      <w:r w:rsidDel="00000000" w:rsidR="00000000" w:rsidRPr="00000000">
        <w:rPr>
          <w:rFonts w:ascii="Tahoma" w:cs="Tahoma" w:eastAsia="Tahoma" w:hAnsi="Tahoma"/>
          <w:b w:val="1"/>
          <w:sz w:val="16"/>
          <w:szCs w:val="16"/>
          <w:rtl w:val="0"/>
        </w:rPr>
        <w:t xml:space="preserve">:</w:t>
      </w:r>
      <w:r w:rsidDel="00000000" w:rsidR="00000000" w:rsidRPr="00000000">
        <w:rPr>
          <w:rtl w:val="0"/>
        </w:rPr>
      </w:r>
    </w:p>
    <w:p w:rsidR="00000000" w:rsidDel="00000000" w:rsidP="00000000" w:rsidRDefault="00000000" w:rsidRPr="00000000" w14:paraId="0000012A">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Insufficient data. Regional and central neuraxial techniques NOT recommended.</w:t>
      </w:r>
      <w:r w:rsidDel="00000000" w:rsidR="00000000" w:rsidRPr="00000000">
        <w:rPr>
          <w:rtl w:val="0"/>
        </w:rPr>
      </w:r>
    </w:p>
    <w:p w:rsidR="00000000" w:rsidDel="00000000" w:rsidP="00000000" w:rsidRDefault="00000000" w:rsidRPr="00000000" w14:paraId="0000012C">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D">
      <w:pPr>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2E">
      <w:pPr>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References:</w:t>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Regional </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anaesthesia</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in the patient </w:t>
      </w:r>
      <w:r w:rsidDel="00000000" w:rsidR="00000000" w:rsidRPr="00000000">
        <w:rPr>
          <w:rFonts w:ascii="Tahoma" w:cs="Tahoma" w:eastAsia="Tahoma" w:hAnsi="Tahoma"/>
          <w:i w:val="1"/>
          <w:sz w:val="16"/>
          <w:szCs w:val="16"/>
          <w:rtl w:val="0"/>
        </w:rPr>
        <w:t xml:space="preserve">receiving</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antithrombotic and antiplatelet </w:t>
      </w:r>
      <w:r w:rsidDel="00000000" w:rsidR="00000000" w:rsidRPr="00000000">
        <w:rPr>
          <w:rFonts w:ascii="Tahoma" w:cs="Tahoma" w:eastAsia="Tahoma" w:hAnsi="Tahoma"/>
          <w:i w:val="1"/>
          <w:sz w:val="16"/>
          <w:szCs w:val="16"/>
          <w:rtl w:val="0"/>
        </w:rPr>
        <w:t xml:space="preserve">therapy</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BJA 107 (S1): i96- i106 (2011) T. T. Horlocker</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Regional </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anaesthesia</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and patients with abnormalities of coagulation. </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Anaesthesia</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2013, 68, 966- 972</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Guidelines from the American Society of Regional Anesthesia and Pain Medicine</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The risk of spinal haematoma following neuraxial </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anaesthesia</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or lumbar puncture in thrombocytopenic individuals.BLH 2009. Joost J van Veen et al.</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Association of Anaesthetists of Great Britain and Ireland, Obstetric Anaesthetists’ Association and Regional Anaesthesia UK. Regional </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anaesthesia</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and patients with abnormalities of coagulation. </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Anaesthesia</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 2013; 68: pages 966-72.</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Suresh S, Ecoffey C, Bosenberg A, et al. The ESRA/ASRA recommendations on local anesthetics and adjuvants dosage in pediatric regional anesthesia. Reg Anesth Pain Med. 2018;43: 211–216.</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Reg Anesth Pain Med. 2018 Nov;43(8):895-896. doi: 10.1097/AAP.0000000000000855.</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Maximum Recommended Dosage of Ropivacaine and Bupivacaine for Pediatric Regional Anesthesia. Tsui BCH1, Boretsky K, Berde C.</w:t>
      </w:r>
      <w:r w:rsidDel="00000000" w:rsidR="00000000" w:rsidRPr="00000000">
        <w:rPr>
          <w:rtl w:val="0"/>
        </w:rPr>
      </w:r>
    </w:p>
    <w:p w:rsidR="00000000" w:rsidDel="00000000" w:rsidP="00000000" w:rsidRDefault="00000000" w:rsidRPr="00000000" w14:paraId="00000137">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8">
      <w:pPr>
        <w:spacing w:line="288" w:lineRule="auto"/>
        <w:jc w:val="both"/>
        <w:rPr>
          <w:rFonts w:ascii="Tahoma" w:cs="Tahoma" w:eastAsia="Tahoma" w:hAnsi="Tahoma"/>
          <w:sz w:val="16"/>
          <w:szCs w:val="16"/>
        </w:rPr>
      </w:pPr>
      <w:r w:rsidDel="00000000" w:rsidR="00000000" w:rsidRPr="00000000">
        <w:rPr>
          <w:rtl w:val="0"/>
        </w:rPr>
      </w:r>
    </w:p>
    <w:sectPr>
      <w:headerReference r:id="rId9" w:type="default"/>
      <w:footerReference r:id="rId10" w:type="default"/>
      <w:pgSz w:h="8640" w:w="5760" w:orient="portrait"/>
      <w:pgMar w:bottom="284" w:top="284" w:left="284" w:right="284" w:header="284" w:footer="2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Times New Roman"/>
  <w:font w:name="Courier New"/>
  <w:font w:name="Tahoma">
    <w:embedRegular w:fontKey="{00000000-0000-0000-0000-000000000000}" r:id="rId1" w:subsetted="0"/>
    <w:embedBold w:fontKey="{00000000-0000-0000-0000-000000000000}" r:id="rId2" w:subsetted="0"/>
  </w:font>
  <w:font w:name="Permanent Marker">
    <w:embedRegular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Permanent Marker" w:cs="Permanent Marker" w:eastAsia="Permanent Marker" w:hAnsi="Permanent Marker"/>
        <w:b w:val="1"/>
        <w:i w:val="0"/>
        <w:smallCaps w:val="1"/>
        <w:strike w:val="0"/>
        <w:color w:val="808080"/>
        <w:sz w:val="16"/>
        <w:szCs w:val="16"/>
        <w:u w:val="none"/>
        <w:shd w:fill="auto" w:val="clear"/>
        <w:vertAlign w:val="baseline"/>
      </w:rPr>
    </w:pPr>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Paediatric </w:t>
    </w:r>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Anaesthesia</w:t>
    </w: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Permanent Marker" w:cs="Permanent Marker" w:eastAsia="Permanent Marker" w:hAnsi="Permanent Marker"/>
        <w:b w:val="1"/>
        <w:i w:val="0"/>
        <w:smallCaps w:val="1"/>
        <w:strike w:val="0"/>
        <w:color w:val="80808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o"/>
      <w:lvlJc w:val="left"/>
      <w:pPr>
        <w:ind w:left="216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qFormat w:val="1"/>
    <w:rsid w:val="00E544BA"/>
    <w:rPr>
      <w:sz w:val="24"/>
      <w:szCs w:val="20"/>
    </w:rPr>
  </w:style>
  <w:style w:type="paragraph" w:styleId="Heading1">
    <w:name w:val="heading 1"/>
    <w:basedOn w:val="Normal"/>
    <w:next w:val="Normal"/>
    <w:link w:val="Heading1Char"/>
    <w:qFormat w:val="1"/>
    <w:rsid w:val="00E544BA"/>
    <w:pPr>
      <w:keepNext w:val="1"/>
      <w:outlineLvl w:val="0"/>
    </w:pPr>
    <w:rPr>
      <w:noProof w:val="1"/>
      <w:sz w:val="28"/>
    </w:rPr>
  </w:style>
  <w:style w:type="paragraph" w:styleId="Heading2">
    <w:name w:val="heading 2"/>
    <w:basedOn w:val="Normal"/>
    <w:next w:val="Normal"/>
    <w:link w:val="Heading2Char"/>
    <w:qFormat w:val="1"/>
    <w:rsid w:val="00E544BA"/>
    <w:pPr>
      <w:keepNext w:val="1"/>
      <w:outlineLvl w:val="1"/>
    </w:pPr>
    <w:rPr>
      <w:b w:val="1"/>
      <w:caps w:val="1"/>
      <w:noProof w:val="1"/>
      <w:sz w:val="18"/>
    </w:rPr>
  </w:style>
  <w:style w:type="paragraph" w:styleId="Heading3">
    <w:name w:val="heading 3"/>
    <w:basedOn w:val="Normal"/>
    <w:next w:val="Normal"/>
    <w:link w:val="Heading3Char"/>
    <w:qFormat w:val="1"/>
    <w:rsid w:val="00E544BA"/>
    <w:pPr>
      <w:keepNext w:val="1"/>
      <w:outlineLvl w:val="2"/>
    </w:pPr>
    <w:rPr>
      <w:rFonts w:ascii="Arial" w:eastAsia="Arial Unicode MS" w:hAnsi="Arial"/>
      <w:b w:val="1"/>
      <w:color w:val="3366ff"/>
      <w:sz w:val="18"/>
    </w:rPr>
  </w:style>
  <w:style w:type="paragraph" w:styleId="Heading4">
    <w:name w:val="heading 4"/>
    <w:basedOn w:val="Normal"/>
    <w:next w:val="Normal"/>
    <w:link w:val="Heading4Char"/>
    <w:qFormat w:val="1"/>
    <w:rsid w:val="00E544BA"/>
    <w:pPr>
      <w:keepNext w:val="1"/>
      <w:outlineLvl w:val="3"/>
    </w:pPr>
    <w:rPr>
      <w:b w:val="1"/>
      <w:caps w:val="1"/>
      <w:noProof w:val="1"/>
      <w:sz w:val="20"/>
    </w:rPr>
  </w:style>
  <w:style w:type="paragraph" w:styleId="Heading5">
    <w:name w:val="heading 5"/>
    <w:basedOn w:val="Normal"/>
    <w:next w:val="Normal"/>
    <w:link w:val="Heading5Char"/>
    <w:qFormat w:val="1"/>
    <w:rsid w:val="00E544BA"/>
    <w:pPr>
      <w:keepNext w:val="1"/>
      <w:spacing w:line="288" w:lineRule="auto"/>
      <w:outlineLvl w:val="4"/>
    </w:pPr>
    <w:rPr>
      <w:rFonts w:ascii="Arial" w:eastAsia="Arial Unicode MS" w:hAnsi="Arial"/>
      <w:b w:val="1"/>
      <w:sz w:val="16"/>
    </w:rPr>
  </w:style>
  <w:style w:type="paragraph" w:styleId="Heading6">
    <w:name w:val="heading 6"/>
    <w:basedOn w:val="Normal"/>
    <w:next w:val="Normal"/>
    <w:link w:val="Heading6Char"/>
    <w:qFormat w:val="1"/>
    <w:rsid w:val="00E544BA"/>
    <w:pPr>
      <w:keepNext w:val="1"/>
      <w:spacing w:line="288" w:lineRule="auto"/>
      <w:outlineLvl w:val="5"/>
    </w:pPr>
    <w:rPr>
      <w:rFonts w:ascii="Arial" w:eastAsia="Arial Unicode MS" w:hAnsi="Arial"/>
      <w:sz w:val="15"/>
      <w:u w:val="single"/>
    </w:rPr>
  </w:style>
  <w:style w:type="paragraph" w:styleId="Heading7">
    <w:name w:val="heading 7"/>
    <w:basedOn w:val="Normal"/>
    <w:next w:val="Normal"/>
    <w:link w:val="Heading7Char"/>
    <w:qFormat w:val="1"/>
    <w:rsid w:val="00E544BA"/>
    <w:pPr>
      <w:keepNext w:val="1"/>
      <w:spacing w:line="288" w:lineRule="auto"/>
      <w:outlineLvl w:val="6"/>
    </w:pPr>
    <w:rPr>
      <w:rFonts w:ascii="Arial" w:eastAsia="Arial Unicode MS" w:hAnsi="Arial"/>
      <w:color w:val="3366ff"/>
      <w:sz w:val="16"/>
      <w:u w:val="single"/>
    </w:rPr>
  </w:style>
  <w:style w:type="paragraph" w:styleId="Heading8">
    <w:name w:val="heading 8"/>
    <w:basedOn w:val="Normal"/>
    <w:next w:val="Normal"/>
    <w:link w:val="Heading8Char"/>
    <w:qFormat w:val="1"/>
    <w:rsid w:val="00E544BA"/>
    <w:pPr>
      <w:keepNext w:val="1"/>
      <w:spacing w:line="360" w:lineRule="auto"/>
      <w:outlineLvl w:val="7"/>
    </w:pPr>
    <w:rPr>
      <w:rFonts w:ascii="Arial" w:eastAsia="Arial Unicode MS" w:hAnsi="Arial"/>
      <w:b w:val="1"/>
      <w:sz w:val="15"/>
    </w:rPr>
  </w:style>
  <w:style w:type="paragraph" w:styleId="Heading9">
    <w:name w:val="heading 9"/>
    <w:basedOn w:val="Normal"/>
    <w:next w:val="Normal"/>
    <w:link w:val="Heading9Char"/>
    <w:qFormat w:val="1"/>
    <w:rsid w:val="00E544BA"/>
    <w:pPr>
      <w:keepNext w:val="1"/>
      <w:spacing w:line="288" w:lineRule="auto"/>
      <w:outlineLvl w:val="8"/>
    </w:pPr>
    <w:rPr>
      <w:rFonts w:ascii="Arial" w:hAnsi="Arial"/>
      <w:b w:val="1"/>
      <w:color w:val="000000"/>
      <w:sz w:val="1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9"/>
    <w:locked w:val="1"/>
    <w:rPr>
      <w:rFonts w:ascii="Cambria" w:cs="Times New Roman" w:hAnsi="Cambria"/>
      <w:b w:val="1"/>
      <w:bCs w:val="1"/>
      <w:kern w:val="32"/>
      <w:sz w:val="32"/>
      <w:szCs w:val="32"/>
    </w:rPr>
  </w:style>
  <w:style w:type="character" w:styleId="Heading2Char" w:customStyle="1">
    <w:name w:val="Heading 2 Char"/>
    <w:basedOn w:val="DefaultParagraphFont"/>
    <w:link w:val="Heading2"/>
    <w:uiPriority w:val="99"/>
    <w:semiHidden w:val="1"/>
    <w:locked w:val="1"/>
    <w:rPr>
      <w:rFonts w:ascii="Cambria" w:cs="Times New Roman" w:hAnsi="Cambria"/>
      <w:b w:val="1"/>
      <w:bCs w:val="1"/>
      <w:i w:val="1"/>
      <w:iCs w:val="1"/>
      <w:sz w:val="28"/>
      <w:szCs w:val="28"/>
    </w:rPr>
  </w:style>
  <w:style w:type="character" w:styleId="Heading3Char" w:customStyle="1">
    <w:name w:val="Heading 3 Char"/>
    <w:basedOn w:val="DefaultParagraphFont"/>
    <w:link w:val="Heading3"/>
    <w:uiPriority w:val="99"/>
    <w:semiHidden w:val="1"/>
    <w:locked w:val="1"/>
    <w:rPr>
      <w:rFonts w:ascii="Cambria" w:cs="Times New Roman" w:hAnsi="Cambria"/>
      <w:b w:val="1"/>
      <w:bCs w:val="1"/>
      <w:sz w:val="26"/>
      <w:szCs w:val="26"/>
    </w:rPr>
  </w:style>
  <w:style w:type="character" w:styleId="Heading4Char" w:customStyle="1">
    <w:name w:val="Heading 4 Char"/>
    <w:basedOn w:val="DefaultParagraphFont"/>
    <w:link w:val="Heading4"/>
    <w:uiPriority w:val="99"/>
    <w:semiHidden w:val="1"/>
    <w:locked w:val="1"/>
    <w:rPr>
      <w:rFonts w:ascii="Calibri" w:cs="Times New Roman" w:hAnsi="Calibri"/>
      <w:b w:val="1"/>
      <w:bCs w:val="1"/>
      <w:sz w:val="28"/>
      <w:szCs w:val="28"/>
    </w:rPr>
  </w:style>
  <w:style w:type="character" w:styleId="Heading5Char" w:customStyle="1">
    <w:name w:val="Heading 5 Char"/>
    <w:basedOn w:val="DefaultParagraphFont"/>
    <w:link w:val="Heading5"/>
    <w:uiPriority w:val="99"/>
    <w:semiHidden w:val="1"/>
    <w:locked w:val="1"/>
    <w:rPr>
      <w:rFonts w:ascii="Calibri" w:cs="Times New Roman" w:hAnsi="Calibri"/>
      <w:b w:val="1"/>
      <w:bCs w:val="1"/>
      <w:i w:val="1"/>
      <w:iCs w:val="1"/>
      <w:sz w:val="26"/>
      <w:szCs w:val="26"/>
    </w:rPr>
  </w:style>
  <w:style w:type="character" w:styleId="Heading6Char" w:customStyle="1">
    <w:name w:val="Heading 6 Char"/>
    <w:basedOn w:val="DefaultParagraphFont"/>
    <w:link w:val="Heading6"/>
    <w:uiPriority w:val="99"/>
    <w:semiHidden w:val="1"/>
    <w:locked w:val="1"/>
    <w:rPr>
      <w:rFonts w:ascii="Calibri" w:cs="Times New Roman" w:hAnsi="Calibri"/>
      <w:b w:val="1"/>
      <w:bCs w:val="1"/>
    </w:rPr>
  </w:style>
  <w:style w:type="character" w:styleId="Heading7Char" w:customStyle="1">
    <w:name w:val="Heading 7 Char"/>
    <w:basedOn w:val="DefaultParagraphFont"/>
    <w:link w:val="Heading7"/>
    <w:uiPriority w:val="99"/>
    <w:semiHidden w:val="1"/>
    <w:locked w:val="1"/>
    <w:rPr>
      <w:rFonts w:ascii="Calibri" w:cs="Times New Roman" w:hAnsi="Calibri"/>
      <w:sz w:val="24"/>
      <w:szCs w:val="24"/>
    </w:rPr>
  </w:style>
  <w:style w:type="character" w:styleId="Heading8Char" w:customStyle="1">
    <w:name w:val="Heading 8 Char"/>
    <w:basedOn w:val="DefaultParagraphFont"/>
    <w:link w:val="Heading8"/>
    <w:uiPriority w:val="99"/>
    <w:semiHidden w:val="1"/>
    <w:locked w:val="1"/>
    <w:rPr>
      <w:rFonts w:ascii="Calibri" w:cs="Times New Roman" w:hAnsi="Calibri"/>
      <w:i w:val="1"/>
      <w:iCs w:val="1"/>
      <w:sz w:val="24"/>
      <w:szCs w:val="24"/>
    </w:rPr>
  </w:style>
  <w:style w:type="character" w:styleId="Heading9Char" w:customStyle="1">
    <w:name w:val="Heading 9 Char"/>
    <w:basedOn w:val="DefaultParagraphFont"/>
    <w:link w:val="Heading9"/>
    <w:uiPriority w:val="99"/>
    <w:semiHidden w:val="1"/>
    <w:locked w:val="1"/>
    <w:rPr>
      <w:rFonts w:ascii="Cambria" w:cs="Times New Roman" w:hAnsi="Cambria"/>
    </w:rPr>
  </w:style>
  <w:style w:type="paragraph" w:styleId="BodyText">
    <w:name w:val="Body Text"/>
    <w:basedOn w:val="Normal"/>
    <w:link w:val="BodyTextChar"/>
    <w:semiHidden w:val="1"/>
    <w:rsid w:val="00E544BA"/>
    <w:pPr>
      <w:jc w:val="both"/>
    </w:pPr>
    <w:rPr>
      <w:rFonts w:ascii="Arial" w:hAnsi="Arial"/>
      <w:sz w:val="22"/>
    </w:rPr>
  </w:style>
  <w:style w:type="character" w:styleId="BodyTextChar" w:customStyle="1">
    <w:name w:val="Body Text Char"/>
    <w:basedOn w:val="DefaultParagraphFont"/>
    <w:link w:val="BodyText"/>
    <w:uiPriority w:val="99"/>
    <w:semiHidden w:val="1"/>
    <w:locked w:val="1"/>
    <w:rPr>
      <w:rFonts w:cs="Times New Roman"/>
      <w:sz w:val="20"/>
      <w:szCs w:val="20"/>
    </w:rPr>
  </w:style>
  <w:style w:type="paragraph" w:styleId="BodyText2">
    <w:name w:val="Body Text 2"/>
    <w:basedOn w:val="Normal"/>
    <w:link w:val="BodyText2Char"/>
    <w:semiHidden w:val="1"/>
    <w:rsid w:val="00E544BA"/>
    <w:rPr>
      <w:noProof w:val="1"/>
      <w:sz w:val="18"/>
    </w:rPr>
  </w:style>
  <w:style w:type="character" w:styleId="BodyText2Char" w:customStyle="1">
    <w:name w:val="Body Text 2 Char"/>
    <w:basedOn w:val="DefaultParagraphFont"/>
    <w:link w:val="BodyText2"/>
    <w:uiPriority w:val="99"/>
    <w:semiHidden w:val="1"/>
    <w:locked w:val="1"/>
    <w:rPr>
      <w:rFonts w:cs="Times New Roman"/>
      <w:sz w:val="20"/>
      <w:szCs w:val="20"/>
    </w:rPr>
  </w:style>
  <w:style w:type="paragraph" w:styleId="BodyTextIndent">
    <w:name w:val="Body Text Indent"/>
    <w:basedOn w:val="Normal"/>
    <w:link w:val="BodyTextIndentChar"/>
    <w:semiHidden w:val="1"/>
    <w:rsid w:val="00E544BA"/>
    <w:pPr>
      <w:ind w:left="720" w:hanging="720"/>
      <w:jc w:val="both"/>
    </w:pPr>
    <w:rPr>
      <w:sz w:val="22"/>
      <w:lang w:val="en-GB"/>
    </w:rPr>
  </w:style>
  <w:style w:type="character" w:styleId="BodyTextIndentChar" w:customStyle="1">
    <w:name w:val="Body Text Indent Char"/>
    <w:basedOn w:val="DefaultParagraphFont"/>
    <w:link w:val="BodyTextIndent"/>
    <w:uiPriority w:val="99"/>
    <w:semiHidden w:val="1"/>
    <w:locked w:val="1"/>
    <w:rPr>
      <w:rFonts w:cs="Times New Roman"/>
      <w:sz w:val="20"/>
      <w:szCs w:val="20"/>
    </w:rPr>
  </w:style>
  <w:style w:type="paragraph" w:styleId="BodyTextIndent2">
    <w:name w:val="Body Text Indent 2"/>
    <w:basedOn w:val="Normal"/>
    <w:link w:val="BodyTextIndent2Char"/>
    <w:semiHidden w:val="1"/>
    <w:rsid w:val="00E544BA"/>
    <w:pPr>
      <w:ind w:left="720" w:hanging="360"/>
    </w:pPr>
    <w:rPr>
      <w:sz w:val="20"/>
      <w:lang w:val="en-GB"/>
    </w:rPr>
  </w:style>
  <w:style w:type="character" w:styleId="BodyTextIndent2Char" w:customStyle="1">
    <w:name w:val="Body Text Indent 2 Char"/>
    <w:basedOn w:val="DefaultParagraphFont"/>
    <w:link w:val="BodyTextIndent2"/>
    <w:uiPriority w:val="99"/>
    <w:semiHidden w:val="1"/>
    <w:locked w:val="1"/>
    <w:rPr>
      <w:rFonts w:cs="Times New Roman"/>
      <w:sz w:val="20"/>
      <w:szCs w:val="20"/>
    </w:rPr>
  </w:style>
  <w:style w:type="paragraph" w:styleId="BodyText3">
    <w:name w:val="Body Text 3"/>
    <w:basedOn w:val="Normal"/>
    <w:link w:val="BodyText3Char"/>
    <w:semiHidden w:val="1"/>
    <w:rsid w:val="00E544BA"/>
    <w:pPr>
      <w:jc w:val="both"/>
    </w:pPr>
    <w:rPr>
      <w:rFonts w:ascii="Arial Unicode MS" w:eastAsia="Arial Unicode MS" w:hAnsi="Arial Unicode MS"/>
      <w:sz w:val="16"/>
    </w:rPr>
  </w:style>
  <w:style w:type="character" w:styleId="BodyText3Char" w:customStyle="1">
    <w:name w:val="Body Text 3 Char"/>
    <w:basedOn w:val="DefaultParagraphFont"/>
    <w:link w:val="BodyText3"/>
    <w:uiPriority w:val="99"/>
    <w:semiHidden w:val="1"/>
    <w:locked w:val="1"/>
    <w:rPr>
      <w:rFonts w:cs="Times New Roman"/>
      <w:sz w:val="16"/>
      <w:szCs w:val="16"/>
    </w:rPr>
  </w:style>
  <w:style w:type="paragraph" w:styleId="Header">
    <w:name w:val="header"/>
    <w:basedOn w:val="Normal"/>
    <w:link w:val="HeaderChar"/>
    <w:semiHidden w:val="1"/>
    <w:rsid w:val="00E544BA"/>
    <w:pPr>
      <w:tabs>
        <w:tab w:val="center" w:pos="4320"/>
        <w:tab w:val="right" w:pos="8640"/>
      </w:tabs>
    </w:pPr>
    <w:rPr>
      <w:rFonts w:ascii="Arial" w:hAnsi="Arial"/>
      <w:sz w:val="22"/>
      <w:lang w:val="en-GB"/>
    </w:rPr>
  </w:style>
  <w:style w:type="character" w:styleId="HeaderChar" w:customStyle="1">
    <w:name w:val="Header Char"/>
    <w:basedOn w:val="DefaultParagraphFont"/>
    <w:link w:val="Header"/>
    <w:semiHidden w:val="1"/>
    <w:locked w:val="1"/>
    <w:rPr>
      <w:rFonts w:cs="Times New Roman"/>
      <w:sz w:val="20"/>
      <w:szCs w:val="20"/>
    </w:rPr>
  </w:style>
  <w:style w:type="paragraph" w:styleId="Title">
    <w:name w:val="Title"/>
    <w:basedOn w:val="Normal"/>
    <w:link w:val="TitleChar"/>
    <w:qFormat w:val="1"/>
    <w:rsid w:val="00E544BA"/>
    <w:pPr>
      <w:jc w:val="center"/>
    </w:pPr>
    <w:rPr>
      <w:rFonts w:ascii="Tahoma" w:hAnsi="Tahoma"/>
      <w:b w:val="1"/>
      <w:color w:val="3366ff"/>
      <w:sz w:val="18"/>
    </w:rPr>
  </w:style>
  <w:style w:type="character" w:styleId="TitleChar" w:customStyle="1">
    <w:name w:val="Title Char"/>
    <w:basedOn w:val="DefaultParagraphFont"/>
    <w:link w:val="Title"/>
    <w:uiPriority w:val="99"/>
    <w:locked w:val="1"/>
    <w:rPr>
      <w:rFonts w:ascii="Cambria" w:cs="Times New Roman" w:hAnsi="Cambria"/>
      <w:b w:val="1"/>
      <w:bCs w:val="1"/>
      <w:kern w:val="28"/>
      <w:sz w:val="32"/>
      <w:szCs w:val="32"/>
    </w:rPr>
  </w:style>
  <w:style w:type="paragraph" w:styleId="BodyTextIndent3">
    <w:name w:val="Body Text Indent 3"/>
    <w:basedOn w:val="Normal"/>
    <w:link w:val="BodyTextIndent3Char"/>
    <w:semiHidden w:val="1"/>
    <w:rsid w:val="00E544BA"/>
    <w:pPr>
      <w:ind w:left="-360" w:firstLine="720"/>
    </w:pPr>
    <w:rPr>
      <w:rFonts w:ascii="Arial" w:hAnsi="Arial"/>
      <w:color w:val="000000"/>
      <w:sz w:val="15"/>
    </w:rPr>
  </w:style>
  <w:style w:type="character" w:styleId="BodyTextIndent3Char" w:customStyle="1">
    <w:name w:val="Body Text Indent 3 Char"/>
    <w:basedOn w:val="DefaultParagraphFont"/>
    <w:link w:val="BodyTextIndent3"/>
    <w:uiPriority w:val="99"/>
    <w:semiHidden w:val="1"/>
    <w:locked w:val="1"/>
    <w:rPr>
      <w:rFonts w:cs="Times New Roman"/>
      <w:sz w:val="16"/>
      <w:szCs w:val="16"/>
    </w:rPr>
  </w:style>
  <w:style w:type="paragraph" w:styleId="Footer">
    <w:name w:val="footer"/>
    <w:basedOn w:val="Normal"/>
    <w:link w:val="FooterChar"/>
    <w:uiPriority w:val="99"/>
    <w:rsid w:val="00E544BA"/>
    <w:pPr>
      <w:tabs>
        <w:tab w:val="center" w:pos="4320"/>
        <w:tab w:val="right" w:pos="8640"/>
      </w:tabs>
    </w:pPr>
  </w:style>
  <w:style w:type="character" w:styleId="FooterChar" w:customStyle="1">
    <w:name w:val="Footer Char"/>
    <w:basedOn w:val="DefaultParagraphFont"/>
    <w:link w:val="Footer"/>
    <w:uiPriority w:val="99"/>
    <w:locked w:val="1"/>
    <w:rPr>
      <w:rFonts w:cs="Times New Roman"/>
      <w:sz w:val="20"/>
      <w:szCs w:val="20"/>
    </w:rPr>
  </w:style>
  <w:style w:type="character" w:styleId="PageNumber">
    <w:name w:val="page number"/>
    <w:basedOn w:val="DefaultParagraphFont"/>
    <w:semiHidden w:val="1"/>
    <w:rsid w:val="00E544BA"/>
    <w:rPr>
      <w:rFonts w:ascii="Comic Sans MS" w:cs="Times New Roman" w:hAnsi="Comic Sans MS"/>
      <w:b w:val="1"/>
      <w:color w:val="666699"/>
      <w:sz w:val="14"/>
    </w:rPr>
  </w:style>
  <w:style w:type="paragraph" w:styleId="DocumentMap">
    <w:name w:val="Document Map"/>
    <w:basedOn w:val="Normal"/>
    <w:link w:val="DocumentMapChar"/>
    <w:semiHidden w:val="1"/>
    <w:rsid w:val="00E544BA"/>
    <w:pPr>
      <w:shd w:color="auto" w:fill="000080" w:val="clear"/>
    </w:pPr>
    <w:rPr>
      <w:rFonts w:ascii="Tahoma" w:hAnsi="Tahoma"/>
    </w:rPr>
  </w:style>
  <w:style w:type="character" w:styleId="DocumentMapChar" w:customStyle="1">
    <w:name w:val="Document Map Char"/>
    <w:basedOn w:val="DefaultParagraphFont"/>
    <w:link w:val="DocumentMap"/>
    <w:uiPriority w:val="99"/>
    <w:semiHidden w:val="1"/>
    <w:locked w:val="1"/>
    <w:rPr>
      <w:rFonts w:cs="Times New Roman"/>
      <w:sz w:val="2"/>
    </w:rPr>
  </w:style>
  <w:style w:type="character" w:styleId="Hyperlink">
    <w:name w:val="Hyperlink"/>
    <w:basedOn w:val="DefaultParagraphFont"/>
    <w:semiHidden w:val="1"/>
    <w:rsid w:val="00E544BA"/>
    <w:rPr>
      <w:rFonts w:cs="Times New Roman"/>
      <w:color w:val="0000ff"/>
      <w:u w:val="single"/>
    </w:rPr>
  </w:style>
  <w:style w:type="paragraph" w:styleId="NormalWeb">
    <w:name w:val="Normal (Web)"/>
    <w:basedOn w:val="Normal"/>
    <w:semiHidden w:val="1"/>
    <w:rsid w:val="00E544BA"/>
    <w:pPr>
      <w:spacing w:after="100" w:afterAutospacing="1" w:before="100" w:beforeAutospacing="1"/>
    </w:pPr>
    <w:rPr>
      <w:rFonts w:eastAsia="SimSun"/>
      <w:lang w:eastAsia="zh-CN"/>
    </w:rPr>
  </w:style>
  <w:style w:type="character" w:styleId="Strong">
    <w:name w:val="Strong"/>
    <w:basedOn w:val="DefaultParagraphFont"/>
    <w:qFormat w:val="1"/>
    <w:rsid w:val="00E544BA"/>
    <w:rPr>
      <w:rFonts w:cs="Times New Roman"/>
      <w:b w:val="1"/>
    </w:rPr>
  </w:style>
  <w:style w:type="character" w:styleId="Emphasis">
    <w:name w:val="Emphasis"/>
    <w:basedOn w:val="DefaultParagraphFont"/>
    <w:qFormat w:val="1"/>
    <w:rsid w:val="00E544BA"/>
    <w:rPr>
      <w:rFonts w:cs="Times New Roman"/>
      <w:i w:val="1"/>
    </w:rPr>
  </w:style>
  <w:style w:type="paragraph" w:styleId="Index1">
    <w:name w:val="index 1"/>
    <w:basedOn w:val="Normal"/>
    <w:next w:val="Normal"/>
    <w:autoRedefine w:val="1"/>
    <w:semiHidden w:val="1"/>
    <w:rsid w:val="00E544BA"/>
    <w:pPr>
      <w:ind w:left="240" w:hanging="240"/>
    </w:pPr>
  </w:style>
  <w:style w:type="paragraph" w:styleId="Index2">
    <w:name w:val="index 2"/>
    <w:basedOn w:val="Normal"/>
    <w:next w:val="Normal"/>
    <w:autoRedefine w:val="1"/>
    <w:semiHidden w:val="1"/>
    <w:rsid w:val="00E544BA"/>
    <w:pPr>
      <w:ind w:left="480" w:hanging="240"/>
    </w:pPr>
  </w:style>
  <w:style w:type="paragraph" w:styleId="Index3">
    <w:name w:val="index 3"/>
    <w:basedOn w:val="Normal"/>
    <w:next w:val="Normal"/>
    <w:autoRedefine w:val="1"/>
    <w:semiHidden w:val="1"/>
    <w:rsid w:val="00E544BA"/>
    <w:pPr>
      <w:ind w:left="720" w:hanging="240"/>
    </w:pPr>
  </w:style>
  <w:style w:type="paragraph" w:styleId="Index4">
    <w:name w:val="index 4"/>
    <w:basedOn w:val="Normal"/>
    <w:next w:val="Normal"/>
    <w:autoRedefine w:val="1"/>
    <w:semiHidden w:val="1"/>
    <w:rsid w:val="00E544BA"/>
    <w:pPr>
      <w:ind w:left="960" w:hanging="240"/>
    </w:pPr>
  </w:style>
  <w:style w:type="paragraph" w:styleId="Index5">
    <w:name w:val="index 5"/>
    <w:basedOn w:val="Normal"/>
    <w:next w:val="Normal"/>
    <w:autoRedefine w:val="1"/>
    <w:semiHidden w:val="1"/>
    <w:rsid w:val="00E544BA"/>
    <w:pPr>
      <w:ind w:left="1200" w:hanging="240"/>
    </w:pPr>
  </w:style>
  <w:style w:type="paragraph" w:styleId="Index6">
    <w:name w:val="index 6"/>
    <w:basedOn w:val="Normal"/>
    <w:next w:val="Normal"/>
    <w:autoRedefine w:val="1"/>
    <w:semiHidden w:val="1"/>
    <w:rsid w:val="00E544BA"/>
    <w:pPr>
      <w:ind w:left="1440" w:hanging="240"/>
    </w:pPr>
  </w:style>
  <w:style w:type="paragraph" w:styleId="Index7">
    <w:name w:val="index 7"/>
    <w:basedOn w:val="Normal"/>
    <w:next w:val="Normal"/>
    <w:autoRedefine w:val="1"/>
    <w:semiHidden w:val="1"/>
    <w:rsid w:val="00E544BA"/>
    <w:pPr>
      <w:ind w:left="1680" w:hanging="240"/>
    </w:pPr>
  </w:style>
  <w:style w:type="paragraph" w:styleId="Index8">
    <w:name w:val="index 8"/>
    <w:basedOn w:val="Normal"/>
    <w:next w:val="Normal"/>
    <w:autoRedefine w:val="1"/>
    <w:semiHidden w:val="1"/>
    <w:rsid w:val="00E544BA"/>
    <w:pPr>
      <w:ind w:left="1920" w:hanging="240"/>
    </w:pPr>
  </w:style>
  <w:style w:type="paragraph" w:styleId="Index9">
    <w:name w:val="index 9"/>
    <w:basedOn w:val="Normal"/>
    <w:next w:val="Normal"/>
    <w:autoRedefine w:val="1"/>
    <w:semiHidden w:val="1"/>
    <w:rsid w:val="00E544BA"/>
    <w:pPr>
      <w:ind w:left="2160" w:hanging="240"/>
    </w:pPr>
  </w:style>
  <w:style w:type="paragraph" w:styleId="IndexHeading">
    <w:name w:val="index heading"/>
    <w:basedOn w:val="Normal"/>
    <w:next w:val="Index1"/>
    <w:semiHidden w:val="1"/>
    <w:rsid w:val="00E544BA"/>
  </w:style>
  <w:style w:type="paragraph" w:styleId="BalloonText">
    <w:name w:val="Balloon Text"/>
    <w:basedOn w:val="Normal"/>
    <w:link w:val="BalloonTextChar"/>
    <w:uiPriority w:val="99"/>
    <w:semiHidden w:val="1"/>
    <w:rsid w:val="00CE0109"/>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CE0109"/>
    <w:rPr>
      <w:rFonts w:ascii="Tahoma" w:cs="Tahoma" w:hAnsi="Tahoma"/>
      <w:sz w:val="16"/>
      <w:szCs w:val="16"/>
    </w:rPr>
  </w:style>
  <w:style w:type="paragraph" w:styleId="ListParagraph">
    <w:name w:val="List Paragraph"/>
    <w:basedOn w:val="Normal"/>
    <w:qFormat w:val="1"/>
    <w:rsid w:val="00CE0109"/>
    <w:pPr>
      <w:ind w:left="720"/>
      <w:contextualSpacing w:val="1"/>
    </w:pPr>
  </w:style>
  <w:style w:type="table" w:styleId="TableGrid">
    <w:name w:val="Table Grid"/>
    <w:basedOn w:val="TableNormal"/>
    <w:uiPriority w:val="99"/>
    <w:rsid w:val="004E7C2A"/>
    <w:rPr>
      <w:sz w:val="20"/>
      <w:szCs w:val="20"/>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HTMLPreformatted">
    <w:name w:val="HTML Preformatted"/>
    <w:basedOn w:val="Normal"/>
    <w:link w:val="HTMLPreformattedChar"/>
    <w:uiPriority w:val="99"/>
    <w:locked w:val="1"/>
    <w:rsid w:val="00F51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PMingLiU" w:hAnsi="Courier New"/>
      <w:sz w:val="20"/>
      <w:lang w:eastAsia="zh-TW"/>
    </w:rPr>
  </w:style>
  <w:style w:type="character" w:styleId="HTMLPreformattedChar" w:customStyle="1">
    <w:name w:val="HTML Preformatted Char"/>
    <w:basedOn w:val="DefaultParagraphFont"/>
    <w:link w:val="HTMLPreformatted"/>
    <w:uiPriority w:val="99"/>
    <w:semiHidden w:val="1"/>
    <w:rsid w:val="00B20914"/>
    <w:rPr>
      <w:rFonts w:ascii="Courier New" w:cs="Courier New" w:hAnsi="Courier New"/>
      <w:sz w:val="20"/>
      <w:szCs w:val="20"/>
    </w:rPr>
  </w:style>
  <w:style w:type="character" w:styleId="apple-converted-space" w:customStyle="1">
    <w:name w:val="apple-converted-space"/>
    <w:basedOn w:val="DefaultParagraphFont"/>
    <w:uiPriority w:val="99"/>
    <w:rsid w:val="00F51938"/>
    <w:rPr>
      <w:rFonts w:cs="Times New Roman"/>
    </w:rPr>
  </w:style>
  <w:style w:type="paragraph" w:styleId="Revision">
    <w:name w:val="Revision"/>
    <w:hidden w:val="1"/>
    <w:uiPriority w:val="99"/>
    <w:semiHidden w:val="1"/>
    <w:rsid w:val="005F67D6"/>
    <w:rPr>
      <w:sz w:val="24"/>
      <w:szCs w:val="20"/>
    </w:rPr>
  </w:style>
  <w:style w:type="character" w:styleId="None" w:customStyle="1">
    <w:name w:val="None"/>
    <w:rsid w:val="00FB4747"/>
  </w:style>
  <w:style w:type="numbering" w:styleId="ImportedStyle3" w:customStyle="1">
    <w:name w:val="Imported Style 3"/>
    <w:rsid w:val="00FB4747"/>
    <w:pPr>
      <w:numPr>
        <w:numId w:val="8"/>
      </w:numPr>
    </w:pPr>
  </w:style>
  <w:style w:type="character" w:styleId="CommentReference">
    <w:name w:val="annotation reference"/>
    <w:basedOn w:val="DefaultParagraphFont"/>
    <w:uiPriority w:val="99"/>
    <w:semiHidden w:val="1"/>
    <w:unhideWhenUsed w:val="1"/>
    <w:locked w:val="1"/>
    <w:rsid w:val="002E5196"/>
    <w:rPr>
      <w:sz w:val="16"/>
      <w:szCs w:val="16"/>
    </w:rPr>
  </w:style>
  <w:style w:type="paragraph" w:styleId="CommentText">
    <w:name w:val="annotation text"/>
    <w:basedOn w:val="Normal"/>
    <w:link w:val="CommentTextChar"/>
    <w:uiPriority w:val="99"/>
    <w:semiHidden w:val="1"/>
    <w:unhideWhenUsed w:val="1"/>
    <w:locked w:val="1"/>
    <w:rsid w:val="002E5196"/>
    <w:rPr>
      <w:sz w:val="20"/>
    </w:rPr>
  </w:style>
  <w:style w:type="character" w:styleId="CommentTextChar" w:customStyle="1">
    <w:name w:val="Comment Text Char"/>
    <w:basedOn w:val="DefaultParagraphFont"/>
    <w:link w:val="CommentText"/>
    <w:uiPriority w:val="99"/>
    <w:semiHidden w:val="1"/>
    <w:rsid w:val="002E5196"/>
    <w:rPr>
      <w:sz w:val="20"/>
      <w:szCs w:val="20"/>
    </w:rPr>
  </w:style>
  <w:style w:type="paragraph" w:styleId="CommentSubject">
    <w:name w:val="annotation subject"/>
    <w:basedOn w:val="CommentText"/>
    <w:next w:val="CommentText"/>
    <w:link w:val="CommentSubjectChar"/>
    <w:uiPriority w:val="99"/>
    <w:semiHidden w:val="1"/>
    <w:unhideWhenUsed w:val="1"/>
    <w:locked w:val="1"/>
    <w:rsid w:val="002E5196"/>
    <w:rPr>
      <w:b w:val="1"/>
      <w:bCs w:val="1"/>
    </w:rPr>
  </w:style>
  <w:style w:type="character" w:styleId="CommentSubjectChar" w:customStyle="1">
    <w:name w:val="Comment Subject Char"/>
    <w:basedOn w:val="CommentTextChar"/>
    <w:link w:val="CommentSubject"/>
    <w:uiPriority w:val="99"/>
    <w:semiHidden w:val="1"/>
    <w:rsid w:val="002E5196"/>
    <w:rPr>
      <w:b w:val="1"/>
      <w:bCs w:val="1"/>
      <w:sz w:val="20"/>
      <w:szCs w:val="20"/>
    </w:rPr>
  </w:style>
  <w:style w:type="paragraph" w:styleId="EndnoteText">
    <w:name w:val="endnote text"/>
    <w:basedOn w:val="Normal"/>
    <w:link w:val="EndnoteTextChar"/>
    <w:uiPriority w:val="99"/>
    <w:semiHidden w:val="1"/>
    <w:unhideWhenUsed w:val="1"/>
    <w:locked w:val="1"/>
    <w:rsid w:val="006A08EF"/>
    <w:rPr>
      <w:sz w:val="20"/>
    </w:rPr>
  </w:style>
  <w:style w:type="character" w:styleId="EndnoteTextChar" w:customStyle="1">
    <w:name w:val="Endnote Text Char"/>
    <w:basedOn w:val="DefaultParagraphFont"/>
    <w:link w:val="EndnoteText"/>
    <w:uiPriority w:val="99"/>
    <w:semiHidden w:val="1"/>
    <w:rsid w:val="006A08EF"/>
    <w:rPr>
      <w:sz w:val="20"/>
      <w:szCs w:val="20"/>
    </w:rPr>
  </w:style>
  <w:style w:type="character" w:styleId="EndnoteReference">
    <w:name w:val="endnote reference"/>
    <w:basedOn w:val="DefaultParagraphFont"/>
    <w:uiPriority w:val="99"/>
    <w:semiHidden w:val="1"/>
    <w:unhideWhenUsed w:val="1"/>
    <w:locked w:val="1"/>
    <w:rsid w:val="006A08EF"/>
    <w:rPr>
      <w:vertAlign w:val="superscript"/>
    </w:rPr>
  </w:style>
  <w:style w:type="paragraph" w:styleId="title1" w:customStyle="1">
    <w:name w:val="title1"/>
    <w:basedOn w:val="Normal"/>
    <w:rsid w:val="006A08EF"/>
    <w:rPr>
      <w:sz w:val="27"/>
      <w:szCs w:val="27"/>
      <w:lang w:eastAsia="en-SG" w:val="en-SG"/>
    </w:rPr>
  </w:style>
  <w:style w:type="paragraph" w:styleId="desc2" w:customStyle="1">
    <w:name w:val="desc2"/>
    <w:basedOn w:val="Normal"/>
    <w:rsid w:val="006A08EF"/>
    <w:rPr>
      <w:sz w:val="26"/>
      <w:szCs w:val="26"/>
      <w:lang w:eastAsia="en-SG" w:val="en-SG"/>
    </w:rPr>
  </w:style>
  <w:style w:type="paragraph" w:styleId="details1" w:customStyle="1">
    <w:name w:val="details1"/>
    <w:basedOn w:val="Normal"/>
    <w:rsid w:val="006A08EF"/>
    <w:rPr>
      <w:sz w:val="22"/>
      <w:szCs w:val="22"/>
      <w:lang w:eastAsia="en-SG" w:val="en-SG"/>
    </w:rPr>
  </w:style>
  <w:style w:type="character" w:styleId="jrnl" w:customStyle="1">
    <w:name w:val="jrnl"/>
    <w:basedOn w:val="DefaultParagraphFont"/>
    <w:rsid w:val="006A08E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rPr>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0"/>
      <w:szCs w:val="20"/>
    </w:rPr>
    <w:tblPr>
      <w:tblStyleRowBandSize w:val="1"/>
      <w:tblStyleColBandSize w:val="1"/>
      <w:tblCellMar>
        <w:top w:w="0.0" w:type="dxa"/>
        <w:left w:w="0.0" w:type="dxa"/>
        <w:bottom w:w="0.0" w:type="dxa"/>
        <w:right w:w="0.0" w:type="dxa"/>
      </w:tblCellMar>
    </w:tblPr>
  </w:style>
  <w:style w:type="table" w:styleId="Table2">
    <w:basedOn w:val="TableNormal"/>
    <w:rPr>
      <w:sz w:val="20"/>
      <w:szCs w:val="20"/>
    </w:rPr>
    <w:tblPr>
      <w:tblStyleRowBandSize w:val="1"/>
      <w:tblStyleColBandSize w:val="1"/>
      <w:tblCellMar>
        <w:top w:w="0.0" w:type="dxa"/>
        <w:left w:w="0.0" w:type="dxa"/>
        <w:bottom w:w="0.0" w:type="dxa"/>
        <w:right w:w="0.0" w:type="dxa"/>
      </w:tblCellMar>
    </w:tblPr>
  </w:style>
  <w:style w:type="table" w:styleId="Table3">
    <w:basedOn w:val="TableNormal"/>
    <w:rPr>
      <w:sz w:val="20"/>
      <w:szCs w:val="20"/>
    </w:rPr>
    <w:tblPr>
      <w:tblStyleRowBandSize w:val="1"/>
      <w:tblStyleColBandSize w:val="1"/>
      <w:tblCellMar>
        <w:top w:w="0.0" w:type="dxa"/>
        <w:left w:w="0.0" w:type="dxa"/>
        <w:bottom w:w="0.0" w:type="dxa"/>
        <w:right w:w="0.0" w:type="dxa"/>
      </w:tblCellMar>
    </w:tblPr>
  </w:style>
  <w:style w:type="table" w:styleId="Table4">
    <w:basedOn w:val="TableNormal"/>
    <w:rPr>
      <w:sz w:val="20"/>
      <w:szCs w:val="20"/>
    </w:rPr>
    <w:tblPr>
      <w:tblStyleRowBandSize w:val="1"/>
      <w:tblStyleColBandSize w:val="1"/>
      <w:tblCellMar>
        <w:top w:w="0.0" w:type="dxa"/>
        <w:left w:w="0.0" w:type="dxa"/>
        <w:bottom w:w="0.0" w:type="dxa"/>
        <w:right w:w="0.0" w:type="dxa"/>
      </w:tblCellMar>
    </w:tblPr>
  </w:style>
  <w:style w:type="table" w:styleId="Table5">
    <w:basedOn w:val="TableNormal"/>
    <w:rPr>
      <w:sz w:val="20"/>
      <w:szCs w:val="20"/>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about:blank"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ermanentMarker-regular.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a8pg/2MR1cOkKylBGgkvdXHB+A==">CgMxLjAaJQoBMBIgCh4IB0IaCgZUYWhvbWESEEFyaWFsIFVuaWNvZGUgTVMaJQoBMRIgCh4IB0IaCgZUYWhvbWESEEFyaWFsIFVuaWNvZGUgTVMaJQoBMhIgCh4IB0IaCgZUYWhvbWESEEFyaWFsIFVuaWNvZGUgTVMaJQoBMxIgCh4IB0IaCgZUYWhvbWESEEFyaWFsIFVuaWNvZGUgTVMaJQoBNBIgCh4IB0IaCgZUYWhvbWESEEFyaWFsIFVuaWNvZGUgTVMyCGguZ2pkZ3hzMgloLjMwajB6bGw4AGohChRzdWdnZXN0LnU4cWMwYXl1MXpnYRIJa2FyZW4gdGFuaiEKFHN1Z2dlc3QudXFxMzl3dWxtYnFjEglrYXJlbiB0YW5qIQoUc3VnZ2VzdC5jNDFhenJldXBnYXoSCWthcmVuIHRhbmoeChRzdWdnZXN0Ljlva2FmNHg3cXFjYRIGTHVjeSBEaiEKFHN1Z2dlc3QuZmNlb2ZsdXZsdWNvEglrYXJlbiB0YW5qIQoUc3VnZ2VzdC56ZmV5amxub2gxMmQSCWthcmVuIHRhbmohChRzdWdnZXN0Lm8wZjU2MmliYmR0MxIJa2FyZW4gdGFuaiQKFHN1Z2dlc3QuY3ZuNm9zYmt2bWg5EgxTYXRpc2ggUmVkZHlqIQoUc3VnZ2VzdC43eTc3cnVvZmhxbmcSCWthcmVuIHRhbmohChRzdWdnZXN0LnY1cWQ1eXhwb21pORIJa2FyZW4gdGFuaiEKFHN1Z2dlc3QuZm5rOGU0Z2h6MTR0EglrYXJlbiB0YW5qIQoUc3VnZ2VzdC5zcG1rdXdwaHNiZzUSCWthcmVuIHRhbmohChRzdWdnZXN0LnhhdWM0aGhheTB3NxIJa2FyZW4gdGFuaiEKFHN1Z2dlc3QuanBld200cmhwOWxzEglrYXJlbiB0YW5qIQoUc3VnZ2VzdC50ZnE2YXBkd3d4ZngSCWthcmVuIHRhbmohChRzdWdnZXN0LmU4cXQxcmd2NnFjahIJa2FyZW4gdGFuaiEKFHN1Z2dlc3Qua2kxMTRiZGloYmxiEglrYXJlbiB0YW5qIQoUc3VnZ2VzdC5wZG9mOHU0OTY5NjASCWthcmVuIHRhbmohChRzdWdnZXN0LnJzMGs4dG0wbG5jMxIJa2FyZW4gdGFuaiEKFHN1Z2dlc3QucmRoMTg5d2ZtaTBuEglrYXJlbiB0YW5qIQoUc3VnZ2VzdC5zMjV4eGQ4eXd2eHISCWthcmVuIHRhbmohChRzdWdnZXN0Lmx1NHF5Y2libWEzehIJa2FyZW4gdGFuaiAKE3N1Z2dlc3QuMzdoaml2aDJyZTISCWthcmVuIHRhbmohChRzdWdnZXN0Lm5wNXEwN2MyYjk3MxIJa2FyZW4gdGFuaiAKE3N1Z2dlc3QubnlrOXYxZDBjeXESCWthcmVuIHRhbmohChRzdWdnZXN0LjYxcnE2MzQxdWlrchIJa2FyZW4gdGFuaiEKFHN1Z2dlc3QubmFreTk5ajBnZ2Q2EglrYXJlbiB0YW5qIQoUc3VnZ2VzdC53ZW85NTZpanBlNHYSCWthcmVuIHRhbmohChRzdWdnZXN0LnQwc3V0OWpzbmtyZRIJa2FyZW4gdGFuaiQKFHN1Z2dlc3QuYzJhNHNudXV3NnczEgxTYXRpc2ggUmVkZHlqIQoUc3VnZ2VzdC41YjBmNDl0ZXVpcmwSCWthcmVuIHRhbmohChRzdWdnZXN0LmIzaXBvejFjOGM5ehIJa2FyZW4gdGFuaiEKFHN1Z2dlc3QuemhyMDI3Nnl0Zmc3EglrYXJlbiB0YW5qIQoUc3VnZ2VzdC5hcHVuZTZqd29jbGMSCWthcmVuIHRhbmohChRzdWdnZXN0LnR3bTI4NmVlcDk4ZhIJa2FyZW4gdGFuciExT3o3dnRKb1BzMG50V2dDREVwMjFpRTRYNkZ4MElKS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2019-06-20T08:49:00Z</dcterms:created>
  <dc:creator>dr03268i</dc:creator>
</cp:coreProperties>
</file>