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1D8A" w14:textId="77777777" w:rsidR="0013342D" w:rsidRDefault="00000000">
      <w:pPr>
        <w:spacing w:before="720"/>
        <w:jc w:val="center"/>
      </w:pPr>
      <w:r>
        <w:rPr>
          <w:rFonts w:ascii="Arial" w:hAnsi="Arial"/>
          <w:b/>
          <w:color w:val="1A3A5C"/>
          <w:sz w:val="44"/>
        </w:rPr>
        <w:t>ETH Price Prediction Project</w:t>
      </w:r>
    </w:p>
    <w:p w14:paraId="16DD11F3" w14:textId="77777777" w:rsidR="0013342D" w:rsidRDefault="00000000">
      <w:pPr>
        <w:spacing w:before="120"/>
        <w:jc w:val="center"/>
      </w:pPr>
      <w:r>
        <w:rPr>
          <w:rFonts w:ascii="Arial" w:hAnsi="Arial"/>
          <w:color w:val="007B83"/>
          <w:sz w:val="26"/>
        </w:rPr>
        <w:t>Concepts &amp; Methods — Tied to ECPS 211 Lecture Material</w:t>
      </w:r>
    </w:p>
    <w:p w14:paraId="3A065073" w14:textId="77777777" w:rsidR="0013342D" w:rsidRDefault="00000000">
      <w:pPr>
        <w:jc w:val="center"/>
      </w:pPr>
      <w:r>
        <w:rPr>
          <w:rFonts w:ascii="Arial" w:hAnsi="Arial"/>
          <w:color w:val="888888"/>
          <w:sz w:val="20"/>
        </w:rPr>
        <w:t>ECPS 211 — Machine Learning and Data Mining  |  Winter 2026</w:t>
      </w:r>
    </w:p>
    <w:p w14:paraId="1F4915F5" w14:textId="77777777" w:rsidR="0013342D" w:rsidRDefault="0013342D"/>
    <w:p w14:paraId="51DC2B19" w14:textId="77777777" w:rsidR="0013342D" w:rsidRDefault="00000000">
      <w:pPr>
        <w:spacing w:before="20" w:after="120"/>
      </w:pPr>
      <w:r>
        <w:rPr>
          <w:rFonts w:ascii="Arial" w:hAnsi="Arial"/>
          <w:color w:val="444444"/>
          <w:sz w:val="21"/>
        </w:rPr>
        <w:t>This document walks through every major decision in the ETH Price Prediction Project and explains the underlying ML concept from course lectures. Each section names the technique used in the project, explains what it is and why it matters, and connects it to the theory you studied in class.</w:t>
      </w:r>
    </w:p>
    <w:p w14:paraId="066E48C9" w14:textId="77777777" w:rsidR="0013342D" w:rsidRDefault="00000000">
      <w:r>
        <w:br w:type="page"/>
      </w:r>
    </w:p>
    <w:p w14:paraId="4FEAED4F" w14:textId="77777777" w:rsidR="0013342D" w:rsidRDefault="00000000">
      <w:pPr>
        <w:pBdr>
          <w:bottom w:val="single" w:sz="6" w:space="1" w:color="1A3A5C"/>
        </w:pBdr>
        <w:spacing w:before="320" w:after="80"/>
      </w:pPr>
      <w:r>
        <w:rPr>
          <w:rFonts w:ascii="Arial" w:hAnsi="Arial"/>
          <w:b/>
          <w:color w:val="1A3A5C"/>
          <w:sz w:val="32"/>
        </w:rPr>
        <w:lastRenderedPageBreak/>
        <w:t>1. Non-Stationarity and Return Transformation</w:t>
      </w:r>
    </w:p>
    <w:p w14:paraId="029EC293" w14:textId="77777777" w:rsidR="0013342D" w:rsidRDefault="00000000">
      <w:pPr>
        <w:spacing w:before="240" w:after="40"/>
      </w:pPr>
      <w:r>
        <w:rPr>
          <w:rFonts w:ascii="Arial" w:hAnsi="Arial"/>
          <w:b/>
          <w:color w:val="007B83"/>
          <w:sz w:val="26"/>
        </w:rPr>
        <w:t>What we did</w:t>
      </w:r>
    </w:p>
    <w:p w14:paraId="1F9B30D6" w14:textId="77777777" w:rsidR="0013342D" w:rsidRDefault="00000000">
      <w:pPr>
        <w:spacing w:before="20" w:after="80"/>
      </w:pPr>
      <w:r>
        <w:rPr>
          <w:rFonts w:ascii="Arial" w:hAnsi="Arial"/>
          <w:color w:val="444444"/>
          <w:sz w:val="21"/>
        </w:rPr>
        <w:t>Instead of predicting tomorrow's raw ETH price directly, the model predicts the next-day percentage return, then recovers the price estimate from that return:</w:t>
      </w:r>
    </w:p>
    <w:p w14:paraId="1FAD3466" w14:textId="77777777" w:rsidR="0013342D" w:rsidRDefault="00000000">
      <w:pPr>
        <w:spacing w:before="20" w:after="80"/>
      </w:pPr>
      <w:r>
        <w:rPr>
          <w:rFonts w:ascii="Arial" w:hAnsi="Arial"/>
          <w:color w:val="444444"/>
          <w:sz w:val="21"/>
        </w:rPr>
        <w:t>rₜ = (Pₜ − Pₜ₋₁) / (Pₜ₋₁ + ε)          and          P̂ₜ₊₁ = Pₜ × (1 + r̂ₜ)</w:t>
      </w:r>
    </w:p>
    <w:p w14:paraId="52BFEF71" w14:textId="77777777" w:rsidR="0013342D" w:rsidRDefault="00000000">
      <w:pPr>
        <w:spacing w:before="240" w:after="40"/>
      </w:pPr>
      <w:r>
        <w:rPr>
          <w:rFonts w:ascii="Arial" w:hAnsi="Arial"/>
          <w:b/>
          <w:color w:val="007B83"/>
          <w:sz w:val="26"/>
        </w:rPr>
        <w:t>The course concept: stationarity</w:t>
      </w:r>
    </w:p>
    <w:p w14:paraId="28519958" w14:textId="77777777" w:rsidR="0013342D" w:rsidRDefault="00000000">
      <w:pPr>
        <w:spacing w:before="20" w:after="80"/>
      </w:pPr>
      <w:r>
        <w:rPr>
          <w:rFonts w:ascii="Arial" w:hAnsi="Arial"/>
          <w:color w:val="444444"/>
          <w:sz w:val="21"/>
        </w:rPr>
        <w:t>A time series is stationary when its mean and variance do not change over time. Raw asset prices are non-stationary: ETH went from under $10 in 2017 to over $4,000 in 2021 before falling back. If you train a model on raw prices, it learns the trend — but trends shift across regimes. The model optimises for memorising levels rather than detecting patterns.</w:t>
      </w:r>
    </w:p>
    <w:p w14:paraId="5D748FE5" w14:textId="77777777" w:rsidR="0013342D" w:rsidRDefault="00000000">
      <w:pPr>
        <w:spacing w:before="20" w:after="80"/>
      </w:pPr>
      <w:r>
        <w:rPr>
          <w:rFonts w:ascii="Arial" w:hAnsi="Arial"/>
          <w:color w:val="444444"/>
          <w:sz w:val="21"/>
        </w:rPr>
        <w:t>Differencing (or percent-change) is the standard textbook fix. A percent-return series oscillates around zero with roughly stable variance. It is not perfectly stationary (crypto exhibits volatility clustering — quiet periods interrupted by explosive moves) but it is far better behaved than the raw price.</w:t>
      </w:r>
    </w:p>
    <w:tbl>
      <w:tblPr>
        <w:tblStyle w:val="TableGrid"/>
        <w:tblW w:w="0" w:type="auto"/>
        <w:tblLook w:val="04A0" w:firstRow="1" w:lastRow="0" w:firstColumn="1" w:lastColumn="0" w:noHBand="0" w:noVBand="1"/>
      </w:tblPr>
      <w:tblGrid>
        <w:gridCol w:w="9350"/>
      </w:tblGrid>
      <w:tr w:rsidR="0013342D" w14:paraId="1E58C029"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5BC1369B" w14:textId="77777777" w:rsidR="0013342D" w:rsidRDefault="00000000">
            <w:r>
              <w:rPr>
                <w:rFonts w:ascii="Arial" w:hAnsi="Arial"/>
                <w:b/>
                <w:color w:val="007B83"/>
                <w:sz w:val="20"/>
              </w:rPr>
              <w:t xml:space="preserve">Why This Matters: </w:t>
            </w:r>
            <w:r>
              <w:rPr>
                <w:rFonts w:ascii="Arial" w:hAnsi="Arial"/>
                <w:color w:val="444444"/>
                <w:sz w:val="20"/>
              </w:rPr>
              <w:t>Non-stationarity is why you cannot shuffle financial time series data. The distribution changes across time, so a model trained on 2019 data may be completely miscalibrated on 2024 data.</w:t>
            </w:r>
          </w:p>
        </w:tc>
      </w:tr>
    </w:tbl>
    <w:p w14:paraId="4DD0B54B" w14:textId="77777777" w:rsidR="0013342D" w:rsidRDefault="0013342D"/>
    <w:p w14:paraId="5AC7D443" w14:textId="77777777" w:rsidR="0013342D" w:rsidRDefault="00000000">
      <w:pPr>
        <w:spacing w:before="240" w:after="40"/>
      </w:pPr>
      <w:r>
        <w:rPr>
          <w:rFonts w:ascii="Arial" w:hAnsi="Arial"/>
          <w:b/>
          <w:color w:val="007B83"/>
          <w:sz w:val="26"/>
        </w:rPr>
        <w:t>Connection to log_volume feature</w:t>
      </w:r>
    </w:p>
    <w:p w14:paraId="3F26FC43" w14:textId="77777777" w:rsidR="0013342D" w:rsidRDefault="00000000">
      <w:pPr>
        <w:spacing w:before="20" w:after="80"/>
      </w:pPr>
      <w:r>
        <w:rPr>
          <w:rFonts w:ascii="Arial" w:hAnsi="Arial"/>
          <w:color w:val="444444"/>
          <w:sz w:val="21"/>
        </w:rPr>
        <w:t>The same logic applies to trading volume. Raw daily volume has extreme outlier days (panic selling, exchange listings). Log transformation compresses those spikes: log(1 + volume). This is the same principle as log-normalising skewed features covered in lecture — reducing the influence of extreme values on gradient-based and distance-based learning.</w:t>
      </w:r>
    </w:p>
    <w:p w14:paraId="55A85BB9" w14:textId="77777777" w:rsidR="0013342D" w:rsidRDefault="0013342D"/>
    <w:p w14:paraId="36D3A9B1" w14:textId="77777777" w:rsidR="0013342D" w:rsidRDefault="00000000">
      <w:pPr>
        <w:pBdr>
          <w:bottom w:val="single" w:sz="6" w:space="1" w:color="1A3A5C"/>
        </w:pBdr>
        <w:spacing w:before="320" w:after="80"/>
      </w:pPr>
      <w:r>
        <w:rPr>
          <w:rFonts w:ascii="Arial" w:hAnsi="Arial"/>
          <w:b/>
          <w:color w:val="1A3A5C"/>
          <w:sz w:val="32"/>
        </w:rPr>
        <w:t>2. Chronological Data Splits and Data Leakage</w:t>
      </w:r>
    </w:p>
    <w:p w14:paraId="7121AAD6" w14:textId="77777777" w:rsidR="0013342D" w:rsidRDefault="00000000">
      <w:pPr>
        <w:spacing w:before="240" w:after="40"/>
      </w:pPr>
      <w:r>
        <w:rPr>
          <w:rFonts w:ascii="Arial" w:hAnsi="Arial"/>
          <w:b/>
          <w:color w:val="007B83"/>
          <w:sz w:val="26"/>
        </w:rPr>
        <w:t>What we did</w:t>
      </w:r>
    </w:p>
    <w:p w14:paraId="33A3D525" w14:textId="77777777" w:rsidR="0013342D" w:rsidRDefault="00000000">
      <w:pPr>
        <w:spacing w:before="20" w:after="80"/>
      </w:pPr>
      <w:r>
        <w:rPr>
          <w:rFonts w:ascii="Arial" w:hAnsi="Arial"/>
          <w:color w:val="444444"/>
          <w:sz w:val="21"/>
        </w:rPr>
        <w:t>The dataset was split 70% train / 15% validation / 15% test in strict chronological order. No shuffling. The StandardScaler was fit only on training data, then applied to validation and test without refit. The LSTM sequences were also constructed so that no future data ever appears in any training window.</w:t>
      </w:r>
    </w:p>
    <w:p w14:paraId="2F34BA98" w14:textId="77777777" w:rsidR="0013342D" w:rsidRDefault="00000000">
      <w:pPr>
        <w:spacing w:before="240" w:after="40"/>
      </w:pPr>
      <w:r>
        <w:rPr>
          <w:rFonts w:ascii="Arial" w:hAnsi="Arial"/>
          <w:b/>
          <w:color w:val="007B83"/>
          <w:sz w:val="26"/>
        </w:rPr>
        <w:t>The course concept: data leakage</w:t>
      </w:r>
    </w:p>
    <w:p w14:paraId="14E71E02" w14:textId="77777777" w:rsidR="0013342D" w:rsidRDefault="00000000">
      <w:pPr>
        <w:spacing w:before="20" w:after="80"/>
      </w:pPr>
      <w:r>
        <w:rPr>
          <w:rFonts w:ascii="Arial" w:hAnsi="Arial"/>
          <w:color w:val="444444"/>
          <w:sz w:val="21"/>
        </w:rPr>
        <w:t>Data leakage is one of the most common and most damaging mistakes in applied ML. It occurs when information from the future — data the model could not have seen in a real deployment — leaks into the training process. For time series, shuffling creates leakage automatically: a training sample from December could be adjacent to a validation sample from the following January, letting the model see the future context.</w:t>
      </w:r>
    </w:p>
    <w:p w14:paraId="0176DC77" w14:textId="77777777" w:rsidR="0013342D" w:rsidRDefault="00000000">
      <w:pPr>
        <w:spacing w:before="20" w:after="80"/>
      </w:pPr>
      <w:r>
        <w:rPr>
          <w:rFonts w:ascii="Arial" w:hAnsi="Arial"/>
          <w:color w:val="444444"/>
          <w:sz w:val="21"/>
        </w:rPr>
        <w:lastRenderedPageBreak/>
        <w:t>The practical consequence of leakage is that validation and test metrics look great during development but collapse to noise in production. The model is essentially memorising future information it will never have access to in reality.</w:t>
      </w:r>
    </w:p>
    <w:tbl>
      <w:tblPr>
        <w:tblStyle w:val="TableGrid"/>
        <w:tblW w:w="0" w:type="auto"/>
        <w:tblLook w:val="04A0" w:firstRow="1" w:lastRow="0" w:firstColumn="1" w:lastColumn="0" w:noHBand="0" w:noVBand="1"/>
      </w:tblPr>
      <w:tblGrid>
        <w:gridCol w:w="9350"/>
      </w:tblGrid>
      <w:tr w:rsidR="0013342D" w14:paraId="092DE9EC"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47F47B60" w14:textId="77777777" w:rsidR="0013342D" w:rsidRDefault="00000000">
            <w:r>
              <w:rPr>
                <w:rFonts w:ascii="Arial" w:hAnsi="Arial"/>
                <w:b/>
                <w:color w:val="007B83"/>
                <w:sz w:val="20"/>
              </w:rPr>
              <w:t xml:space="preserve">Subtle Leakage Example: </w:t>
            </w:r>
            <w:r>
              <w:rPr>
                <w:rFonts w:ascii="Arial" w:hAnsi="Arial"/>
                <w:color w:val="444444"/>
                <w:sz w:val="20"/>
              </w:rPr>
              <w:t>Fitting the StandardScaler on all data (train + test) before splitting is a subtle but real form of leakage. The scaler learns the test set's mean and variance, which the model should not know. Always fit scalers on train only.</w:t>
            </w:r>
          </w:p>
        </w:tc>
      </w:tr>
    </w:tbl>
    <w:p w14:paraId="4173ABB8" w14:textId="77777777" w:rsidR="0013342D" w:rsidRDefault="0013342D"/>
    <w:p w14:paraId="0D8F9966" w14:textId="77777777" w:rsidR="0013342D" w:rsidRDefault="00000000">
      <w:pPr>
        <w:spacing w:before="240" w:after="40"/>
      </w:pPr>
      <w:r>
        <w:rPr>
          <w:rFonts w:ascii="Arial" w:hAnsi="Arial"/>
          <w:b/>
          <w:color w:val="007B83"/>
          <w:sz w:val="26"/>
        </w:rPr>
        <w:t>Why the test period matters</w:t>
      </w:r>
    </w:p>
    <w:p w14:paraId="58FC9294" w14:textId="77777777" w:rsidR="0013342D" w:rsidRDefault="00000000">
      <w:pPr>
        <w:spacing w:before="20" w:after="80"/>
      </w:pPr>
      <w:r>
        <w:rPr>
          <w:rFonts w:ascii="Arial" w:hAnsi="Arial"/>
          <w:color w:val="444444"/>
          <w:sz w:val="21"/>
        </w:rPr>
        <w:t>The test window falls in a bear market for ETH (December 2024 through early 2026). This is the hardest possible test environment: the model was trained on years of data that included bull runs, and must now generalise to a declining market. A model that overfits the trend direction during training will fail here. Chronological splitting forces this honest evaluation.</w:t>
      </w:r>
    </w:p>
    <w:p w14:paraId="6C901E44" w14:textId="77777777" w:rsidR="0013342D" w:rsidRDefault="0013342D"/>
    <w:p w14:paraId="6FE6031F" w14:textId="77777777" w:rsidR="0013342D" w:rsidRDefault="00000000">
      <w:pPr>
        <w:pBdr>
          <w:bottom w:val="single" w:sz="6" w:space="1" w:color="1A3A5C"/>
        </w:pBdr>
        <w:spacing w:before="320" w:after="80"/>
      </w:pPr>
      <w:r>
        <w:rPr>
          <w:rFonts w:ascii="Arial" w:hAnsi="Arial"/>
          <w:b/>
          <w:color w:val="1A3A5C"/>
          <w:sz w:val="32"/>
        </w:rPr>
        <w:t>3. Regularisation — Ridge Regression (L2 Penalty)</w:t>
      </w:r>
    </w:p>
    <w:p w14:paraId="6612B62B" w14:textId="77777777" w:rsidR="0013342D" w:rsidRDefault="00000000">
      <w:pPr>
        <w:spacing w:before="240" w:after="40"/>
      </w:pPr>
      <w:r>
        <w:rPr>
          <w:rFonts w:ascii="Arial" w:hAnsi="Arial"/>
          <w:b/>
          <w:color w:val="007B83"/>
          <w:sz w:val="26"/>
        </w:rPr>
        <w:t>What we did</w:t>
      </w:r>
    </w:p>
    <w:p w14:paraId="76E37DD6" w14:textId="77777777" w:rsidR="0013342D" w:rsidRDefault="00000000">
      <w:pPr>
        <w:spacing w:before="20" w:after="80"/>
      </w:pPr>
      <w:r>
        <w:rPr>
          <w:rFonts w:ascii="Arial" w:hAnsi="Arial"/>
          <w:color w:val="444444"/>
          <w:sz w:val="21"/>
        </w:rPr>
        <w:t>The core ML model is Ridge Regression with 32 features (30 return lags + log_volume + volatility_14). Ridge adds an L2 penalty to the loss function:</w:t>
      </w:r>
    </w:p>
    <w:p w14:paraId="105F825E" w14:textId="77777777" w:rsidR="0013342D" w:rsidRDefault="00000000">
      <w:pPr>
        <w:spacing w:before="20" w:after="80"/>
      </w:pPr>
      <w:r>
        <w:rPr>
          <w:rFonts w:ascii="Arial" w:hAnsi="Arial"/>
          <w:color w:val="444444"/>
          <w:sz w:val="21"/>
        </w:rPr>
        <w:t>Loss = MSE(y, ŷ) + α × Σ(wᵢ²)</w:t>
      </w:r>
    </w:p>
    <w:p w14:paraId="3B18FAC9" w14:textId="77777777" w:rsidR="0013342D" w:rsidRDefault="00000000">
      <w:pPr>
        <w:spacing w:before="20" w:after="80"/>
      </w:pPr>
      <w:r>
        <w:rPr>
          <w:rFonts w:ascii="Arial" w:hAnsi="Arial"/>
          <w:color w:val="444444"/>
          <w:sz w:val="21"/>
        </w:rPr>
        <w:t>The optimal alpha found by Optuna was 99.27 — heavily regularised.</w:t>
      </w:r>
    </w:p>
    <w:p w14:paraId="4859B20F" w14:textId="77777777" w:rsidR="0013342D" w:rsidRDefault="00000000">
      <w:pPr>
        <w:spacing w:before="240" w:after="40"/>
      </w:pPr>
      <w:r>
        <w:rPr>
          <w:rFonts w:ascii="Arial" w:hAnsi="Arial"/>
          <w:b/>
          <w:color w:val="007B83"/>
          <w:sz w:val="26"/>
        </w:rPr>
        <w:t>The course concept: bias-variance tradeoff and regularisation</w:t>
      </w:r>
    </w:p>
    <w:p w14:paraId="3410B667" w14:textId="77777777" w:rsidR="0013342D" w:rsidRDefault="00000000">
      <w:pPr>
        <w:spacing w:before="20" w:after="80"/>
      </w:pPr>
      <w:r>
        <w:rPr>
          <w:rFonts w:ascii="Arial" w:hAnsi="Arial"/>
          <w:color w:val="444444"/>
          <w:sz w:val="21"/>
        </w:rPr>
        <w:t>The bias-variance tradeoff is the central tension in supervised learning. A model with too little complexity underfits (high bias, misses real patterns). A model with too much complexity overfits (high variance, memorises noise in training data and fails to generalise).</w:t>
      </w:r>
    </w:p>
    <w:p w14:paraId="003255CE" w14:textId="77777777" w:rsidR="0013342D" w:rsidRDefault="00000000">
      <w:pPr>
        <w:spacing w:before="20" w:after="80"/>
      </w:pPr>
      <w:r>
        <w:rPr>
          <w:rFonts w:ascii="Arial" w:hAnsi="Arial"/>
          <w:color w:val="444444"/>
          <w:sz w:val="21"/>
        </w:rPr>
        <w:t>Regularisation deliberately introduces bias by penalising large weights. The L2 penalty (used in Ridge) shrinks all coefficients toward zero. The L1 penalty (Lasso) sets some coefficients exactly to zero (feature selection). Ridge is preferred when you believe all features carry some signal but you want to prevent any single one from dominating.</w:t>
      </w:r>
    </w:p>
    <w:p w14:paraId="26125EC9" w14:textId="77777777" w:rsidR="0013342D" w:rsidRDefault="00000000">
      <w:pPr>
        <w:spacing w:before="240" w:after="40"/>
      </w:pPr>
      <w:r>
        <w:rPr>
          <w:rFonts w:ascii="Arial" w:hAnsi="Arial"/>
          <w:b/>
          <w:color w:val="007B83"/>
          <w:sz w:val="26"/>
        </w:rPr>
        <w:t>What alpha = 99.27 tells us</w:t>
      </w:r>
    </w:p>
    <w:p w14:paraId="29CAF92C" w14:textId="77777777" w:rsidR="0013342D" w:rsidRDefault="00000000">
      <w:pPr>
        <w:spacing w:before="20" w:after="80"/>
      </w:pPr>
      <w:r>
        <w:rPr>
          <w:rFonts w:ascii="Arial" w:hAnsi="Arial"/>
          <w:color w:val="444444"/>
          <w:sz w:val="21"/>
        </w:rPr>
        <w:t>A very high alpha is the model saying: I cannot find strong predictive signal in these 32 features, so I am making very conservative near-zero return predictions. Almost all 30 lag coefficients have been shrunk close to zero. The model is essentially predicting that tomorrow's return will be close to the historical mean return — which is near zero. This is consistent with the efficient market hypothesis: if prices already reflect all available public information, there is no exploitable signal in past prices alone.</w:t>
      </w:r>
    </w:p>
    <w:tbl>
      <w:tblPr>
        <w:tblStyle w:val="TableGrid"/>
        <w:tblW w:w="0" w:type="auto"/>
        <w:tblLook w:val="04A0" w:firstRow="1" w:lastRow="0" w:firstColumn="1" w:lastColumn="0" w:noHBand="0" w:noVBand="1"/>
      </w:tblPr>
      <w:tblGrid>
        <w:gridCol w:w="9350"/>
      </w:tblGrid>
      <w:tr w:rsidR="0013342D" w14:paraId="440A0BC6"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6AC5DF07" w14:textId="77777777" w:rsidR="0013342D" w:rsidRDefault="00000000">
            <w:r>
              <w:rPr>
                <w:rFonts w:ascii="Arial" w:hAnsi="Arial"/>
                <w:b/>
                <w:color w:val="007B83"/>
                <w:sz w:val="20"/>
              </w:rPr>
              <w:t xml:space="preserve">Interpretation: </w:t>
            </w:r>
            <w:r>
              <w:rPr>
                <w:rFonts w:ascii="Arial" w:hAnsi="Arial"/>
                <w:color w:val="444444"/>
                <w:sz w:val="20"/>
              </w:rPr>
              <w:t>This is why Ridge slightly beats the last-value baseline (MAE 0.529 vs 0.558). It is not finding strong signal — it is making very slightly more calibrated near-zero predictions than the naive baseline.</w:t>
            </w:r>
          </w:p>
        </w:tc>
      </w:tr>
    </w:tbl>
    <w:p w14:paraId="50728AEA" w14:textId="77777777" w:rsidR="0013342D" w:rsidRDefault="0013342D"/>
    <w:p w14:paraId="554800A2" w14:textId="77777777" w:rsidR="0013342D" w:rsidRDefault="0013342D"/>
    <w:p w14:paraId="464D2795" w14:textId="77777777" w:rsidR="0013342D" w:rsidRDefault="00000000">
      <w:pPr>
        <w:pBdr>
          <w:bottom w:val="single" w:sz="6" w:space="1" w:color="1A3A5C"/>
        </w:pBdr>
        <w:spacing w:before="320" w:after="80"/>
      </w:pPr>
      <w:r>
        <w:rPr>
          <w:rFonts w:ascii="Arial" w:hAnsi="Arial"/>
          <w:b/>
          <w:color w:val="1A3A5C"/>
          <w:sz w:val="32"/>
        </w:rPr>
        <w:t>4. Feature Engineering and Feature Scaling</w:t>
      </w:r>
    </w:p>
    <w:p w14:paraId="18F46C14" w14:textId="77777777" w:rsidR="0013342D" w:rsidRDefault="00000000">
      <w:pPr>
        <w:spacing w:before="240" w:after="40"/>
      </w:pPr>
      <w:r>
        <w:rPr>
          <w:rFonts w:ascii="Arial" w:hAnsi="Arial"/>
          <w:b/>
          <w:color w:val="007B83"/>
          <w:sz w:val="26"/>
        </w:rPr>
        <w:t>The three derived features</w:t>
      </w:r>
    </w:p>
    <w:p w14:paraId="73E2F2C9" w14:textId="77777777" w:rsidR="0013342D" w:rsidRDefault="00000000">
      <w:pPr>
        <w:spacing w:before="20" w:after="80"/>
      </w:pPr>
      <w:r>
        <w:rPr>
          <w:rFonts w:ascii="Arial" w:hAnsi="Arial"/>
          <w:color w:val="444444"/>
          <w:sz w:val="21"/>
        </w:rPr>
        <w:t>Raw OHLCV data is not directly useful. The team engineered three categories of features:</w:t>
      </w:r>
    </w:p>
    <w:p w14:paraId="6488F9B6" w14:textId="77777777" w:rsidR="0013342D" w:rsidRDefault="00000000">
      <w:pPr>
        <w:pStyle w:val="ListBullet"/>
        <w:spacing w:after="40"/>
      </w:pPr>
      <w:r>
        <w:rPr>
          <w:rFonts w:ascii="Arial" w:hAnsi="Arial"/>
          <w:b/>
          <w:color w:val="444444"/>
          <w:sz w:val="21"/>
        </w:rPr>
        <w:t xml:space="preserve">Autoregressive lags — </w:t>
      </w:r>
      <w:r>
        <w:rPr>
          <w:rFonts w:ascii="Arial" w:hAnsi="Arial"/>
          <w:color w:val="444444"/>
          <w:sz w:val="21"/>
        </w:rPr>
        <w:t>30 return lags (lag_1 through lag_30): The past 30 days of returns. Gives the model a window into recent price momentum. Lag_1 = yesterday, Lag_30 = 30 days ago.</w:t>
      </w:r>
    </w:p>
    <w:p w14:paraId="75E09C25" w14:textId="77777777" w:rsidR="0013342D" w:rsidRDefault="00000000">
      <w:pPr>
        <w:pStyle w:val="ListBullet"/>
        <w:spacing w:after="40"/>
      </w:pPr>
      <w:r>
        <w:rPr>
          <w:rFonts w:ascii="Arial" w:hAnsi="Arial"/>
          <w:b/>
          <w:color w:val="444444"/>
          <w:sz w:val="21"/>
        </w:rPr>
        <w:t xml:space="preserve">Volume context — </w:t>
      </w:r>
      <w:r>
        <w:rPr>
          <w:rFonts w:ascii="Arial" w:hAnsi="Arial"/>
          <w:color w:val="444444"/>
          <w:sz w:val="21"/>
        </w:rPr>
        <w:t>log_volume = log(1 + volume): Log-transformed trading volume, capturing whether the market is active or quiet. High volume often accompanies large moves.</w:t>
      </w:r>
    </w:p>
    <w:p w14:paraId="44D34043" w14:textId="77777777" w:rsidR="0013342D" w:rsidRDefault="00000000">
      <w:pPr>
        <w:pStyle w:val="ListBullet"/>
        <w:spacing w:after="40"/>
      </w:pPr>
      <w:r>
        <w:rPr>
          <w:rFonts w:ascii="Arial" w:hAnsi="Arial"/>
          <w:b/>
          <w:color w:val="444444"/>
          <w:sz w:val="21"/>
        </w:rPr>
        <w:t xml:space="preserve">Volatility regime — </w:t>
      </w:r>
      <w:r>
        <w:rPr>
          <w:rFonts w:ascii="Arial" w:hAnsi="Arial"/>
          <w:color w:val="444444"/>
          <w:sz w:val="21"/>
        </w:rPr>
        <w:t>volatility_14 = 14-day rolling std of returns: A backward-looking measure of how turbulent the market has been. High volatility_14 warns the model that the market is in an uncertain regime.</w:t>
      </w:r>
    </w:p>
    <w:p w14:paraId="775517BD" w14:textId="77777777" w:rsidR="0013342D" w:rsidRDefault="00000000">
      <w:pPr>
        <w:spacing w:before="240" w:after="40"/>
      </w:pPr>
      <w:r>
        <w:rPr>
          <w:rFonts w:ascii="Arial" w:hAnsi="Arial"/>
          <w:b/>
          <w:color w:val="007B83"/>
          <w:sz w:val="26"/>
        </w:rPr>
        <w:t>The course concept: feature scaling with StandardScaler</w:t>
      </w:r>
    </w:p>
    <w:p w14:paraId="167C9FDB" w14:textId="77777777" w:rsidR="0013342D" w:rsidRDefault="00000000">
      <w:pPr>
        <w:spacing w:before="20" w:after="80"/>
      </w:pPr>
      <w:r>
        <w:rPr>
          <w:rFonts w:ascii="Arial" w:hAnsi="Arial"/>
          <w:color w:val="444444"/>
          <w:sz w:val="21"/>
        </w:rPr>
        <w:t>Regularisation (Ridge's L2 penalty) penalises all coefficients equally in units. If one feature has values in the thousands and another has values in the tenths, the unscaled penalty will shrink the large-scale feature much more aggressively. This is not what we want — the penalty should depend on predictive relevance, not units of measurement.</w:t>
      </w:r>
    </w:p>
    <w:p w14:paraId="460D4124" w14:textId="77777777" w:rsidR="0013342D" w:rsidRDefault="00000000">
      <w:pPr>
        <w:spacing w:before="20" w:after="80"/>
      </w:pPr>
      <w:r>
        <w:rPr>
          <w:rFonts w:ascii="Arial" w:hAnsi="Arial"/>
          <w:color w:val="444444"/>
          <w:sz w:val="21"/>
        </w:rPr>
        <w:t>StandardScaler z-scores each feature: subtracts the mean and divides by the standard deviation. After scaling, all 32 features live on the same scale, so Ridge's penalty is applied fairly. This is standard practice for any distance-based or penalty-based model.</w:t>
      </w:r>
    </w:p>
    <w:p w14:paraId="0588DED8" w14:textId="77777777" w:rsidR="0013342D" w:rsidRDefault="00000000">
      <w:pPr>
        <w:spacing w:before="20" w:after="80"/>
      </w:pPr>
      <w:r>
        <w:rPr>
          <w:rFonts w:ascii="Arial" w:hAnsi="Arial"/>
          <w:color w:val="444444"/>
          <w:sz w:val="21"/>
        </w:rPr>
        <w:t>Critically, the scaler is fit on training data only, so the mean and standard deviation used to transform validation and test data are computed from training data alone — no leakage.</w:t>
      </w:r>
    </w:p>
    <w:p w14:paraId="6ED9B2FF" w14:textId="77777777" w:rsidR="0013342D" w:rsidRDefault="0013342D"/>
    <w:p w14:paraId="30B4D91F" w14:textId="77777777" w:rsidR="0013342D" w:rsidRDefault="00000000">
      <w:pPr>
        <w:pBdr>
          <w:bottom w:val="single" w:sz="6" w:space="1" w:color="1A3A5C"/>
        </w:pBdr>
        <w:spacing w:before="320" w:after="80"/>
      </w:pPr>
      <w:r>
        <w:rPr>
          <w:rFonts w:ascii="Arial" w:hAnsi="Arial"/>
          <w:b/>
          <w:color w:val="1A3A5C"/>
          <w:sz w:val="32"/>
        </w:rPr>
        <w:t>5. Hyperparameter Tuning — Bayesian Optimisation with Optuna</w:t>
      </w:r>
    </w:p>
    <w:p w14:paraId="24FA571A" w14:textId="77777777" w:rsidR="0013342D" w:rsidRDefault="00000000">
      <w:pPr>
        <w:spacing w:before="240" w:after="40"/>
      </w:pPr>
      <w:r>
        <w:rPr>
          <w:rFonts w:ascii="Arial" w:hAnsi="Arial"/>
          <w:b/>
          <w:color w:val="007B83"/>
          <w:sz w:val="26"/>
        </w:rPr>
        <w:t>What we did</w:t>
      </w:r>
    </w:p>
    <w:p w14:paraId="32EC35F2" w14:textId="77777777" w:rsidR="0013342D" w:rsidRDefault="00000000">
      <w:pPr>
        <w:spacing w:before="20" w:after="80"/>
      </w:pPr>
      <w:r>
        <w:rPr>
          <w:rFonts w:ascii="Arial" w:hAnsi="Arial"/>
          <w:color w:val="444444"/>
          <w:sz w:val="21"/>
        </w:rPr>
        <w:t>Instead of a grid search or random search, the team used Optuna to find the best alpha for Ridge. Optuna sampled 50 trial values of alpha (range 0.01 to 100, log-scaled) and used the validation MAE on return predictions as the objective to minimise. Best alpha: 99.27.</w:t>
      </w:r>
    </w:p>
    <w:p w14:paraId="2ADE52EB" w14:textId="77777777" w:rsidR="0013342D" w:rsidRDefault="00000000">
      <w:pPr>
        <w:spacing w:before="240" w:after="40"/>
      </w:pPr>
      <w:r>
        <w:rPr>
          <w:rFonts w:ascii="Arial" w:hAnsi="Arial"/>
          <w:b/>
          <w:color w:val="007B83"/>
          <w:sz w:val="26"/>
        </w:rPr>
        <w:t>The course concept: model selection and search strategies</w:t>
      </w:r>
    </w:p>
    <w:p w14:paraId="2E1FB838" w14:textId="77777777" w:rsidR="0013342D" w:rsidRDefault="00000000">
      <w:pPr>
        <w:spacing w:before="20" w:after="80"/>
      </w:pPr>
      <w:r>
        <w:rPr>
          <w:rFonts w:ascii="Arial" w:hAnsi="Arial"/>
          <w:color w:val="444444"/>
          <w:sz w:val="21"/>
        </w:rPr>
        <w:t>Hyperparameters are not learned from data — they must be chosen before training. There are three main search strategies:</w:t>
      </w:r>
    </w:p>
    <w:p w14:paraId="11EB14B0" w14:textId="77777777" w:rsidR="0013342D" w:rsidRDefault="00000000">
      <w:pPr>
        <w:pStyle w:val="ListBullet"/>
        <w:spacing w:after="40"/>
      </w:pPr>
      <w:r>
        <w:rPr>
          <w:rFonts w:ascii="Arial" w:hAnsi="Arial"/>
          <w:b/>
          <w:color w:val="444444"/>
          <w:sz w:val="21"/>
        </w:rPr>
        <w:t xml:space="preserve">Grid search — </w:t>
      </w:r>
      <w:r>
        <w:rPr>
          <w:rFonts w:ascii="Arial" w:hAnsi="Arial"/>
          <w:color w:val="444444"/>
          <w:sz w:val="21"/>
        </w:rPr>
        <w:t>Grid search: Tests every combination in a predefined grid. Simple but exponentially expensive as the number of hyperparameters grows (the 'curse of dimensionality' of hyperparameter space).</w:t>
      </w:r>
    </w:p>
    <w:p w14:paraId="02855D56" w14:textId="77777777" w:rsidR="0013342D" w:rsidRDefault="00000000">
      <w:pPr>
        <w:pStyle w:val="ListBullet"/>
        <w:spacing w:after="40"/>
      </w:pPr>
      <w:r>
        <w:rPr>
          <w:rFonts w:ascii="Arial" w:hAnsi="Arial"/>
          <w:b/>
          <w:color w:val="444444"/>
          <w:sz w:val="21"/>
        </w:rPr>
        <w:lastRenderedPageBreak/>
        <w:t xml:space="preserve">Random search — </w:t>
      </w:r>
      <w:r>
        <w:rPr>
          <w:rFonts w:ascii="Arial" w:hAnsi="Arial"/>
          <w:color w:val="444444"/>
          <w:sz w:val="21"/>
        </w:rPr>
        <w:t>Random search: Samples random combinations. Empirically more efficient than grid search because many hyperparameters are often irrelevant — random search covers the important dimensions more uniformly.</w:t>
      </w:r>
    </w:p>
    <w:p w14:paraId="515A64F6" w14:textId="77777777" w:rsidR="0013342D" w:rsidRDefault="00000000">
      <w:pPr>
        <w:pStyle w:val="ListBullet"/>
        <w:spacing w:after="40"/>
      </w:pPr>
      <w:r>
        <w:rPr>
          <w:rFonts w:ascii="Arial" w:hAnsi="Arial"/>
          <w:b/>
          <w:color w:val="444444"/>
          <w:sz w:val="21"/>
        </w:rPr>
        <w:t xml:space="preserve">Bayesian optimisation — </w:t>
      </w:r>
      <w:r>
        <w:rPr>
          <w:rFonts w:ascii="Arial" w:hAnsi="Arial"/>
          <w:color w:val="444444"/>
          <w:sz w:val="21"/>
        </w:rPr>
        <w:t>Bayesian optimisation (Optuna): Builds a probabilistic surrogate model of the objective function (validation MAE as a function of alpha) and uses it to select the next promising region to sample. Smarter than random — it remembers which regions were good and focuses exploration there.</w:t>
      </w:r>
    </w:p>
    <w:p w14:paraId="13E01E78" w14:textId="77777777" w:rsidR="0013342D" w:rsidRDefault="00000000">
      <w:pPr>
        <w:spacing w:before="20" w:after="80"/>
      </w:pPr>
      <w:r>
        <w:rPr>
          <w:rFonts w:ascii="Arial" w:hAnsi="Arial"/>
          <w:color w:val="444444"/>
          <w:sz w:val="21"/>
        </w:rPr>
        <w:t>For a single hyperparameter like Ridge's alpha, the advantage of Optuna over grid search is modest. The real payoff comes with many hyperparameters (e.g., LSTM's learning rate, number of units, dropout rate, batch size). The project uses Optuna here for good ML practice and to meet the course rubric.</w:t>
      </w:r>
    </w:p>
    <w:tbl>
      <w:tblPr>
        <w:tblStyle w:val="TableGrid"/>
        <w:tblW w:w="0" w:type="auto"/>
        <w:tblLook w:val="04A0" w:firstRow="1" w:lastRow="0" w:firstColumn="1" w:lastColumn="0" w:noHBand="0" w:noVBand="1"/>
      </w:tblPr>
      <w:tblGrid>
        <w:gridCol w:w="9350"/>
      </w:tblGrid>
      <w:tr w:rsidR="0013342D" w14:paraId="76B140AE"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17FD97B2" w14:textId="77777777" w:rsidR="0013342D" w:rsidRDefault="00000000">
            <w:r>
              <w:rPr>
                <w:rFonts w:ascii="Arial" w:hAnsi="Arial"/>
                <w:b/>
                <w:color w:val="007B83"/>
                <w:sz w:val="20"/>
              </w:rPr>
              <w:t xml:space="preserve">TimeSeriesSplit inside Optuna: </w:t>
            </w:r>
            <w:r>
              <w:rPr>
                <w:rFonts w:ascii="Arial" w:hAnsi="Arial"/>
                <w:color w:val="444444"/>
                <w:sz w:val="20"/>
              </w:rPr>
              <w:t>The TimeSeriesSplit used inside the Optuna objective is itself an important detail. It performs 5-fold cross-validation while preserving temporal order — each fold's training set ends before its validation set begins.</w:t>
            </w:r>
          </w:p>
        </w:tc>
      </w:tr>
    </w:tbl>
    <w:p w14:paraId="090B5C2F" w14:textId="77777777" w:rsidR="0013342D" w:rsidRDefault="0013342D"/>
    <w:p w14:paraId="13DC2C0D" w14:textId="77777777" w:rsidR="0013342D" w:rsidRDefault="0013342D"/>
    <w:p w14:paraId="0092B250" w14:textId="77777777" w:rsidR="0013342D" w:rsidRDefault="00000000">
      <w:pPr>
        <w:pBdr>
          <w:bottom w:val="single" w:sz="6" w:space="1" w:color="1A3A5C"/>
        </w:pBdr>
        <w:spacing w:before="320" w:after="80"/>
      </w:pPr>
      <w:r>
        <w:rPr>
          <w:rFonts w:ascii="Arial" w:hAnsi="Arial"/>
          <w:b/>
          <w:color w:val="1A3A5C"/>
          <w:sz w:val="32"/>
        </w:rPr>
        <w:t>6. LSTM — Recurrent Neural Networks for Sequence Learning</w:t>
      </w:r>
    </w:p>
    <w:p w14:paraId="16CF5466" w14:textId="77777777" w:rsidR="0013342D" w:rsidRDefault="00000000">
      <w:pPr>
        <w:spacing w:before="240" w:after="40"/>
      </w:pPr>
      <w:r>
        <w:rPr>
          <w:rFonts w:ascii="Arial" w:hAnsi="Arial"/>
          <w:b/>
          <w:color w:val="007B83"/>
          <w:sz w:val="26"/>
        </w:rPr>
        <w:t>What we did</w:t>
      </w:r>
    </w:p>
    <w:p w14:paraId="2AE57C6A" w14:textId="77777777" w:rsidR="0013342D" w:rsidRDefault="00000000">
      <w:pPr>
        <w:spacing w:before="20" w:after="80"/>
      </w:pPr>
      <w:r>
        <w:rPr>
          <w:rFonts w:ascii="Arial" w:hAnsi="Arial"/>
          <w:color w:val="444444"/>
          <w:sz w:val="21"/>
        </w:rPr>
        <w:t>Architecture: Input → LSTM(64 units, return_sequences=True) → Dropout(0.2) → LSTM(32 units) → Dropout(0.2) → Dense(1)</w:t>
      </w:r>
    </w:p>
    <w:p w14:paraId="40E2A5B1" w14:textId="77777777" w:rsidR="0013342D" w:rsidRDefault="00000000">
      <w:pPr>
        <w:spacing w:before="20" w:after="80"/>
      </w:pPr>
      <w:r>
        <w:rPr>
          <w:rFonts w:ascii="Arial" w:hAnsi="Arial"/>
          <w:color w:val="444444"/>
          <w:sz w:val="21"/>
        </w:rPr>
        <w:t>Input: sequences of length 30, with 3 features per timestep: return, log_volume, volatility_14. Trained with MSE loss, Adam optimiser, early stopping (patience=15), and ReduceLROnPlateau.</w:t>
      </w:r>
    </w:p>
    <w:p w14:paraId="51FB5BD1" w14:textId="77777777" w:rsidR="0013342D" w:rsidRDefault="00000000">
      <w:pPr>
        <w:spacing w:before="240" w:after="40"/>
      </w:pPr>
      <w:r>
        <w:rPr>
          <w:rFonts w:ascii="Arial" w:hAnsi="Arial"/>
          <w:b/>
          <w:color w:val="007B83"/>
          <w:sz w:val="26"/>
        </w:rPr>
        <w:t>The course concept: LSTMs and the vanishing gradient problem</w:t>
      </w:r>
    </w:p>
    <w:p w14:paraId="32FE415C" w14:textId="77777777" w:rsidR="0013342D" w:rsidRDefault="00000000">
      <w:pPr>
        <w:spacing w:before="20" w:after="80"/>
      </w:pPr>
      <w:r>
        <w:rPr>
          <w:rFonts w:ascii="Arial" w:hAnsi="Arial"/>
          <w:color w:val="444444"/>
          <w:sz w:val="21"/>
        </w:rPr>
        <w:t>Chapter 10 of the course covers recurrent neural networks. A standard RNN processes sequential input by maintaining a hidden state that is passed from step to step. However, standard RNNs suffer from the vanishing gradient problem: as gradients are backpropagated through many time steps, they shrink exponentially, making it impossible for the model to learn long-range dependencies.</w:t>
      </w:r>
    </w:p>
    <w:p w14:paraId="5F1E377E" w14:textId="77777777" w:rsidR="0013342D" w:rsidRDefault="00000000">
      <w:pPr>
        <w:spacing w:before="20" w:after="80"/>
      </w:pPr>
      <w:r>
        <w:rPr>
          <w:rFonts w:ascii="Arial" w:hAnsi="Arial"/>
          <w:color w:val="444444"/>
          <w:sz w:val="21"/>
        </w:rPr>
        <w:t>The Long Short-Term Memory (LSTM) architecture solves this with gating mechanisms:</w:t>
      </w:r>
    </w:p>
    <w:p w14:paraId="2543CB25" w14:textId="77777777" w:rsidR="0013342D" w:rsidRDefault="00000000">
      <w:pPr>
        <w:pStyle w:val="ListBullet"/>
        <w:spacing w:after="40"/>
      </w:pPr>
      <w:r>
        <w:rPr>
          <w:rFonts w:ascii="Arial" w:hAnsi="Arial"/>
          <w:b/>
          <w:color w:val="444444"/>
          <w:sz w:val="21"/>
        </w:rPr>
        <w:t xml:space="preserve">Forget gate (f) — </w:t>
      </w:r>
      <w:r>
        <w:rPr>
          <w:rFonts w:ascii="Arial" w:hAnsi="Arial"/>
          <w:color w:val="444444"/>
          <w:sz w:val="21"/>
        </w:rPr>
        <w:t>Forget gate: Decides what fraction of the previous cell state to forget. Gates are sigmoid-activated (output in [0,1]) — 0 means forget everything, 1 means keep everything.</w:t>
      </w:r>
    </w:p>
    <w:p w14:paraId="34D51346" w14:textId="77777777" w:rsidR="0013342D" w:rsidRDefault="00000000">
      <w:pPr>
        <w:pStyle w:val="ListBullet"/>
        <w:spacing w:after="40"/>
      </w:pPr>
      <w:r>
        <w:rPr>
          <w:rFonts w:ascii="Arial" w:hAnsi="Arial"/>
          <w:b/>
          <w:color w:val="444444"/>
          <w:sz w:val="21"/>
        </w:rPr>
        <w:t xml:space="preserve">Input gate (i) — </w:t>
      </w:r>
      <w:r>
        <w:rPr>
          <w:rFonts w:ascii="Arial" w:hAnsi="Arial"/>
          <w:color w:val="444444"/>
          <w:sz w:val="21"/>
        </w:rPr>
        <w:t>Input gate: Decides what new information to add to the cell state. A tanh-activated candidate vector provides the new values; the input gate controls how much of each value is added.</w:t>
      </w:r>
    </w:p>
    <w:p w14:paraId="6D512D2F" w14:textId="77777777" w:rsidR="0013342D" w:rsidRDefault="00000000">
      <w:pPr>
        <w:pStyle w:val="ListBullet"/>
        <w:spacing w:after="40"/>
      </w:pPr>
      <w:r>
        <w:rPr>
          <w:rFonts w:ascii="Arial" w:hAnsi="Arial"/>
          <w:b/>
          <w:color w:val="444444"/>
          <w:sz w:val="21"/>
        </w:rPr>
        <w:t xml:space="preserve">Output gate (o) — </w:t>
      </w:r>
      <w:r>
        <w:rPr>
          <w:rFonts w:ascii="Arial" w:hAnsi="Arial"/>
          <w:color w:val="444444"/>
          <w:sz w:val="21"/>
        </w:rPr>
        <w:t>Output gate: Decides what to output from the current cell state. The hidden state hₜ = oₜ × tanh(Cₜ).</w:t>
      </w:r>
    </w:p>
    <w:p w14:paraId="5E3F4C39" w14:textId="77777777" w:rsidR="0013342D" w:rsidRDefault="00000000">
      <w:pPr>
        <w:spacing w:before="20" w:after="80"/>
      </w:pPr>
      <w:r>
        <w:rPr>
          <w:rFonts w:ascii="Arial" w:hAnsi="Arial"/>
          <w:color w:val="444444"/>
          <w:sz w:val="21"/>
        </w:rPr>
        <w:t>By separating the cell state C (long-term memory) from the hidden state h (short-term context), LSTMs can in principle remember patterns across hundreds of timesteps without gradient vanishing.</w:t>
      </w:r>
    </w:p>
    <w:p w14:paraId="3D5C12FB" w14:textId="77777777" w:rsidR="0013342D" w:rsidRDefault="00000000">
      <w:pPr>
        <w:spacing w:before="240" w:after="40"/>
      </w:pPr>
      <w:r>
        <w:rPr>
          <w:rFonts w:ascii="Arial" w:hAnsi="Arial"/>
          <w:b/>
          <w:color w:val="007B83"/>
          <w:sz w:val="26"/>
        </w:rPr>
        <w:lastRenderedPageBreak/>
        <w:t>Why return_sequences=True on the first layer?</w:t>
      </w:r>
    </w:p>
    <w:p w14:paraId="1050ECB8" w14:textId="77777777" w:rsidR="0013342D" w:rsidRDefault="00000000">
      <w:pPr>
        <w:spacing w:before="20" w:after="80"/>
      </w:pPr>
      <w:r>
        <w:rPr>
          <w:rFonts w:ascii="Arial" w:hAnsi="Arial"/>
          <w:color w:val="444444"/>
          <w:sz w:val="21"/>
        </w:rPr>
        <w:t>Setting return_sequences=True on the first LSTM layer makes it output a hidden state at every time step, not just the final one. This allows the second LSTM layer to process the full sequence of hidden states rather than just the last one — enabling deeper temporal feature extraction across both layers.</w:t>
      </w:r>
    </w:p>
    <w:p w14:paraId="0B9617E7" w14:textId="77777777" w:rsidR="0013342D" w:rsidRDefault="00000000">
      <w:pPr>
        <w:spacing w:before="240" w:after="40"/>
      </w:pPr>
      <w:r>
        <w:rPr>
          <w:rFonts w:ascii="Arial" w:hAnsi="Arial"/>
          <w:b/>
          <w:color w:val="007B83"/>
          <w:sz w:val="26"/>
        </w:rPr>
        <w:t>Dropout as regularisation for neural networks</w:t>
      </w:r>
    </w:p>
    <w:p w14:paraId="181FB038" w14:textId="77777777" w:rsidR="0013342D" w:rsidRDefault="00000000">
      <w:pPr>
        <w:spacing w:before="20" w:after="80"/>
      </w:pPr>
      <w:r>
        <w:rPr>
          <w:rFonts w:ascii="Arial" w:hAnsi="Arial"/>
          <w:color w:val="444444"/>
          <w:sz w:val="21"/>
        </w:rPr>
        <w:t>During training, Dropout randomly zeroes a fraction (0.2 = 20%) of neuron outputs at each forward pass. This prevents the network from relying too heavily on any single neuron and forces it to learn redundant representations. It is the neural network analogue of Ridge's weight penalty: a mechanism to fight overfitting.</w:t>
      </w:r>
    </w:p>
    <w:p w14:paraId="12B809C5" w14:textId="77777777" w:rsidR="0013342D" w:rsidRDefault="00000000">
      <w:pPr>
        <w:spacing w:before="20" w:after="80"/>
      </w:pPr>
      <w:r>
        <w:rPr>
          <w:rFonts w:ascii="Arial" w:hAnsi="Arial"/>
          <w:color w:val="444444"/>
          <w:sz w:val="21"/>
        </w:rPr>
        <w:t>During inference (evaluation), all neurons are active but their outputs are scaled by (1 - dropout_rate) to maintain the expected magnitude.</w:t>
      </w:r>
    </w:p>
    <w:p w14:paraId="395B9199" w14:textId="77777777" w:rsidR="0013342D" w:rsidRDefault="00000000">
      <w:pPr>
        <w:spacing w:before="240" w:after="40"/>
      </w:pPr>
      <w:r>
        <w:rPr>
          <w:rFonts w:ascii="Arial" w:hAnsi="Arial"/>
          <w:b/>
          <w:color w:val="007B83"/>
          <w:sz w:val="26"/>
        </w:rPr>
        <w:t>Early stopping and ReduceLROnPlateau</w:t>
      </w:r>
    </w:p>
    <w:p w14:paraId="08ED7BEB" w14:textId="77777777" w:rsidR="0013342D" w:rsidRDefault="00000000">
      <w:pPr>
        <w:spacing w:before="20" w:after="80"/>
      </w:pPr>
      <w:r>
        <w:rPr>
          <w:rFonts w:ascii="Arial" w:hAnsi="Arial"/>
          <w:color w:val="444444"/>
          <w:sz w:val="21"/>
        </w:rPr>
        <w:t>Early stopping monitors validation loss after each epoch. If it does not improve for 15 consecutive epochs (patience=15), training stops and the best weights are restored. This prevents the model from overfitting as training loss continues to fall while validation loss plateaus or rises.</w:t>
      </w:r>
    </w:p>
    <w:p w14:paraId="19B797FA" w14:textId="77777777" w:rsidR="0013342D" w:rsidRDefault="00000000">
      <w:pPr>
        <w:spacing w:before="20" w:after="80"/>
      </w:pPr>
      <w:r>
        <w:rPr>
          <w:rFonts w:ascii="Arial" w:hAnsi="Arial"/>
          <w:color w:val="444444"/>
          <w:sz w:val="21"/>
        </w:rPr>
        <w:t>ReduceLROnPlateau halves the learning rate when validation loss stops improving. A smaller learning rate allows finer weight adjustments, helping the model escape local plateaus near convergence.</w:t>
      </w:r>
    </w:p>
    <w:tbl>
      <w:tblPr>
        <w:tblStyle w:val="TableGrid"/>
        <w:tblW w:w="0" w:type="auto"/>
        <w:tblLook w:val="04A0" w:firstRow="1" w:lastRow="0" w:firstColumn="1" w:lastColumn="0" w:noHBand="0" w:noVBand="1"/>
      </w:tblPr>
      <w:tblGrid>
        <w:gridCol w:w="9350"/>
      </w:tblGrid>
      <w:tr w:rsidR="0013342D" w14:paraId="549835FC"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334E0EBD" w14:textId="77777777" w:rsidR="0013342D" w:rsidRDefault="00000000">
            <w:r>
              <w:rPr>
                <w:rFonts w:ascii="Arial" w:hAnsi="Arial"/>
                <w:b/>
                <w:color w:val="007B83"/>
                <w:sz w:val="20"/>
              </w:rPr>
              <w:t xml:space="preserve">LSTM Failure Point: </w:t>
            </w:r>
            <w:r>
              <w:rPr>
                <w:rFonts w:ascii="Arial" w:hAnsi="Arial"/>
                <w:color w:val="444444"/>
                <w:sz w:val="20"/>
              </w:rPr>
              <w:t>The LSTM's directional accuracy of 45.0% — below random — is the signature of overfitting to noise. With ~2,100 training samples and 64+32 LSTM units, the model has enough parameters to memorise noise patterns in training data that do not generalise to unseen test data.</w:t>
            </w:r>
          </w:p>
        </w:tc>
      </w:tr>
    </w:tbl>
    <w:p w14:paraId="6E5BEFC4" w14:textId="77777777" w:rsidR="0013342D" w:rsidRDefault="0013342D"/>
    <w:p w14:paraId="580A2FA2" w14:textId="77777777" w:rsidR="0013342D" w:rsidRDefault="0013342D"/>
    <w:p w14:paraId="19D2363E" w14:textId="77777777" w:rsidR="0013342D" w:rsidRDefault="00000000">
      <w:pPr>
        <w:pBdr>
          <w:bottom w:val="single" w:sz="6" w:space="1" w:color="1A3A5C"/>
        </w:pBdr>
        <w:spacing w:before="320" w:after="80"/>
      </w:pPr>
      <w:r>
        <w:rPr>
          <w:rFonts w:ascii="Arial" w:hAnsi="Arial"/>
          <w:b/>
          <w:color w:val="1A3A5C"/>
          <w:sz w:val="32"/>
        </w:rPr>
        <w:t>7. Baselines and the Random Walk Hypothesis</w:t>
      </w:r>
    </w:p>
    <w:p w14:paraId="30779A94" w14:textId="77777777" w:rsidR="0013342D" w:rsidRDefault="00000000">
      <w:pPr>
        <w:spacing w:before="240" w:after="40"/>
      </w:pPr>
      <w:r>
        <w:rPr>
          <w:rFonts w:ascii="Arial" w:hAnsi="Arial"/>
          <w:b/>
          <w:color w:val="007B83"/>
          <w:sz w:val="26"/>
        </w:rPr>
        <w:t>What we did</w:t>
      </w:r>
    </w:p>
    <w:p w14:paraId="7771E020" w14:textId="77777777" w:rsidR="0013342D" w:rsidRDefault="00000000">
      <w:pPr>
        <w:spacing w:before="20" w:after="80"/>
      </w:pPr>
      <w:r>
        <w:rPr>
          <w:rFonts w:ascii="Arial" w:hAnsi="Arial"/>
          <w:color w:val="444444"/>
          <w:sz w:val="21"/>
        </w:rPr>
        <w:t>Two naive baselines were computed before any ML model:</w:t>
      </w:r>
    </w:p>
    <w:p w14:paraId="66B02CF3" w14:textId="77777777" w:rsidR="0013342D" w:rsidRDefault="00000000">
      <w:pPr>
        <w:pStyle w:val="ListBullet"/>
        <w:spacing w:after="40"/>
      </w:pPr>
      <w:r>
        <w:rPr>
          <w:rFonts w:ascii="Arial" w:hAnsi="Arial"/>
          <w:b/>
          <w:color w:val="444444"/>
          <w:sz w:val="21"/>
        </w:rPr>
        <w:t xml:space="preserve">Baseline 1 — </w:t>
      </w:r>
      <w:r>
        <w:rPr>
          <w:rFonts w:ascii="Arial" w:hAnsi="Arial"/>
          <w:color w:val="444444"/>
          <w:sz w:val="21"/>
        </w:rPr>
        <w:t>Last Value: Predict tomorrow's price = today's price. MAE = 0.558.</w:t>
      </w:r>
    </w:p>
    <w:p w14:paraId="0FB953C0" w14:textId="77777777" w:rsidR="0013342D" w:rsidRDefault="00000000">
      <w:pPr>
        <w:pStyle w:val="ListBullet"/>
        <w:spacing w:after="40"/>
      </w:pPr>
      <w:r>
        <w:rPr>
          <w:rFonts w:ascii="Arial" w:hAnsi="Arial"/>
          <w:b/>
          <w:color w:val="444444"/>
          <w:sz w:val="21"/>
        </w:rPr>
        <w:t xml:space="preserve">Baseline 2 — </w:t>
      </w:r>
      <w:r>
        <w:rPr>
          <w:rFonts w:ascii="Arial" w:hAnsi="Arial"/>
          <w:color w:val="444444"/>
          <w:sz w:val="21"/>
        </w:rPr>
        <w:t>7-Day Moving Average: Predict tomorrow's price = average of past 7 days. MAE = 0.848.</w:t>
      </w:r>
    </w:p>
    <w:p w14:paraId="53CEAEB0" w14:textId="77777777" w:rsidR="0013342D" w:rsidRDefault="00000000">
      <w:pPr>
        <w:spacing w:before="240" w:after="40"/>
      </w:pPr>
      <w:r>
        <w:rPr>
          <w:rFonts w:ascii="Arial" w:hAnsi="Arial"/>
          <w:b/>
          <w:color w:val="007B83"/>
          <w:sz w:val="26"/>
        </w:rPr>
        <w:t>The course concept: always establish baselines</w:t>
      </w:r>
    </w:p>
    <w:p w14:paraId="3B1069C8" w14:textId="77777777" w:rsidR="0013342D" w:rsidRDefault="00000000">
      <w:pPr>
        <w:spacing w:before="20" w:after="80"/>
      </w:pPr>
      <w:r>
        <w:rPr>
          <w:rFonts w:ascii="Arial" w:hAnsi="Arial"/>
          <w:color w:val="444444"/>
          <w:sz w:val="21"/>
        </w:rPr>
        <w:t>A model that cannot beat a trivial baseline has not learned anything useful. Baselines set the floor: any ML result must be evaluated against them. Common baselines in time series are the last-value (persistence) model, moving averages, and linear trend extrapolation. In classification tasks, the baseline is the majority-class classifier.</w:t>
      </w:r>
    </w:p>
    <w:p w14:paraId="7FB7014F" w14:textId="77777777" w:rsidR="0013342D" w:rsidRDefault="00000000">
      <w:pPr>
        <w:spacing w:before="240" w:after="40"/>
      </w:pPr>
      <w:r>
        <w:rPr>
          <w:rFonts w:ascii="Arial" w:hAnsi="Arial"/>
          <w:b/>
          <w:color w:val="007B83"/>
          <w:sz w:val="26"/>
        </w:rPr>
        <w:t>Why the last-value baseline wins on MAE</w:t>
      </w:r>
    </w:p>
    <w:p w14:paraId="2ABA23DE" w14:textId="77777777" w:rsidR="0013342D" w:rsidRDefault="00000000">
      <w:pPr>
        <w:spacing w:before="20" w:after="80"/>
      </w:pPr>
      <w:r>
        <w:rPr>
          <w:rFonts w:ascii="Arial" w:hAnsi="Arial"/>
          <w:color w:val="444444"/>
          <w:sz w:val="21"/>
        </w:rPr>
        <w:lastRenderedPageBreak/>
        <w:t>The uncomfortable truth in this project is that the last-value baseline achieves the best MAE (0.558) of any model — including Ridge (0.529, slightly better) and LSTM (0.528). This is not a project failure; it is a consequence of the random walk nature of financial prices.</w:t>
      </w:r>
    </w:p>
    <w:p w14:paraId="41FED257" w14:textId="77777777" w:rsidR="0013342D" w:rsidRDefault="00000000">
      <w:pPr>
        <w:spacing w:before="20" w:after="80"/>
      </w:pPr>
      <w:r>
        <w:rPr>
          <w:rFonts w:ascii="Arial" w:hAnsi="Arial"/>
          <w:color w:val="444444"/>
          <w:sz w:val="21"/>
        </w:rPr>
        <w:t>The Efficient Market Hypothesis (EMH) states that asset prices already reflect all publicly available information. Under EMH, tomorrow's price change is unpredictable from today's public data alone. Mathematically, this means the price series follows a random walk: Pₜ = Pₜ₋₁ + εₜ, where εₜ is unpredictable noise. The best point estimate of a random walk is the current value — exactly what the last-value baseline predicts. MAE rewards conservative predictions, which is why the naive model performs so competitively.</w:t>
      </w:r>
    </w:p>
    <w:tbl>
      <w:tblPr>
        <w:tblStyle w:val="TableGrid"/>
        <w:tblW w:w="0" w:type="auto"/>
        <w:tblLook w:val="04A0" w:firstRow="1" w:lastRow="0" w:firstColumn="1" w:lastColumn="0" w:noHBand="0" w:noVBand="1"/>
      </w:tblPr>
      <w:tblGrid>
        <w:gridCol w:w="9350"/>
      </w:tblGrid>
      <w:tr w:rsidR="0013342D" w14:paraId="6C3D159C"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67D83383" w14:textId="77777777" w:rsidR="0013342D" w:rsidRDefault="00000000">
            <w:r>
              <w:rPr>
                <w:rFonts w:ascii="Arial" w:hAnsi="Arial"/>
                <w:b/>
                <w:color w:val="007B83"/>
                <w:sz w:val="20"/>
              </w:rPr>
              <w:t xml:space="preserve">Why the Small Improvement Still Counts: </w:t>
            </w:r>
            <w:r>
              <w:rPr>
                <w:rFonts w:ascii="Arial" w:hAnsi="Arial"/>
                <w:color w:val="444444"/>
                <w:sz w:val="20"/>
              </w:rPr>
              <w:t>Ridge barely beats last-value (0.529 vs 0.558) because it is making slightly more calibrated near-zero return predictions. The improvement is real but small — consistent with the near-random-walk nature of ETH prices.</w:t>
            </w:r>
          </w:p>
        </w:tc>
      </w:tr>
    </w:tbl>
    <w:p w14:paraId="7E72E686" w14:textId="77777777" w:rsidR="0013342D" w:rsidRDefault="0013342D"/>
    <w:p w14:paraId="19028F41" w14:textId="77777777" w:rsidR="0013342D" w:rsidRDefault="0013342D"/>
    <w:p w14:paraId="123E6BBC" w14:textId="77777777" w:rsidR="0013342D" w:rsidRDefault="00000000">
      <w:pPr>
        <w:pBdr>
          <w:bottom w:val="single" w:sz="6" w:space="1" w:color="1A3A5C"/>
        </w:pBdr>
        <w:spacing w:before="320" w:after="80"/>
      </w:pPr>
      <w:r>
        <w:rPr>
          <w:rFonts w:ascii="Arial" w:hAnsi="Arial"/>
          <w:b/>
          <w:color w:val="1A3A5C"/>
          <w:sz w:val="32"/>
        </w:rPr>
        <w:t>8. Ablation Study — Isolating Feature Contributions</w:t>
      </w:r>
    </w:p>
    <w:p w14:paraId="7FB7CAD5" w14:textId="77777777" w:rsidR="0013342D" w:rsidRDefault="00000000">
      <w:pPr>
        <w:spacing w:before="240" w:after="40"/>
      </w:pPr>
      <w:r>
        <w:rPr>
          <w:rFonts w:ascii="Arial" w:hAnsi="Arial"/>
          <w:b/>
          <w:color w:val="007B83"/>
          <w:sz w:val="26"/>
        </w:rPr>
        <w:t>What we did</w:t>
      </w:r>
    </w:p>
    <w:p w14:paraId="48ED4EC8" w14:textId="77777777" w:rsidR="0013342D" w:rsidRDefault="00000000">
      <w:pPr>
        <w:spacing w:before="20" w:after="80"/>
      </w:pPr>
      <w:r>
        <w:rPr>
          <w:rFonts w:ascii="Arial" w:hAnsi="Arial"/>
          <w:color w:val="444444"/>
          <w:sz w:val="21"/>
        </w:rPr>
        <w:t>Four versions of the Ridge pipeline were tested with the same best alpha (99.27):</w:t>
      </w:r>
    </w:p>
    <w:tbl>
      <w:tblPr>
        <w:tblStyle w:val="TableGrid"/>
        <w:tblW w:w="0" w:type="auto"/>
        <w:tblLook w:val="04A0" w:firstRow="1" w:lastRow="0" w:firstColumn="1" w:lastColumn="0" w:noHBand="0" w:noVBand="1"/>
      </w:tblPr>
      <w:tblGrid>
        <w:gridCol w:w="2337"/>
        <w:gridCol w:w="2338"/>
        <w:gridCol w:w="2337"/>
        <w:gridCol w:w="2338"/>
      </w:tblGrid>
      <w:tr w:rsidR="0013342D" w14:paraId="435419B0" w14:textId="77777777">
        <w:tc>
          <w:tcPr>
            <w:tcW w:w="2340" w:type="dxa"/>
            <w:shd w:val="clear" w:color="auto" w:fill="1A3A5C"/>
          </w:tcPr>
          <w:p w14:paraId="52F41CCE" w14:textId="77777777" w:rsidR="0013342D" w:rsidRDefault="00000000">
            <w:r>
              <w:rPr>
                <w:rFonts w:ascii="Arial" w:hAnsi="Arial"/>
                <w:b/>
                <w:color w:val="FFFFFF"/>
                <w:sz w:val="19"/>
              </w:rPr>
              <w:t>Feature Set</w:t>
            </w:r>
          </w:p>
        </w:tc>
        <w:tc>
          <w:tcPr>
            <w:tcW w:w="2340" w:type="dxa"/>
            <w:shd w:val="clear" w:color="auto" w:fill="1A3A5C"/>
          </w:tcPr>
          <w:p w14:paraId="7A01F5FB" w14:textId="77777777" w:rsidR="0013342D" w:rsidRDefault="00000000">
            <w:r>
              <w:rPr>
                <w:rFonts w:ascii="Arial" w:hAnsi="Arial"/>
                <w:b/>
                <w:color w:val="FFFFFF"/>
                <w:sz w:val="19"/>
              </w:rPr>
              <w:t>Num Features</w:t>
            </w:r>
          </w:p>
        </w:tc>
        <w:tc>
          <w:tcPr>
            <w:tcW w:w="2340" w:type="dxa"/>
            <w:shd w:val="clear" w:color="auto" w:fill="1A3A5C"/>
          </w:tcPr>
          <w:p w14:paraId="384694A5" w14:textId="77777777" w:rsidR="0013342D" w:rsidRDefault="00000000">
            <w:r>
              <w:rPr>
                <w:rFonts w:ascii="Arial" w:hAnsi="Arial"/>
                <w:b/>
                <w:color w:val="FFFFFF"/>
                <w:sz w:val="19"/>
              </w:rPr>
              <w:t>MAE (return)</w:t>
            </w:r>
          </w:p>
        </w:tc>
        <w:tc>
          <w:tcPr>
            <w:tcW w:w="2340" w:type="dxa"/>
            <w:shd w:val="clear" w:color="auto" w:fill="1A3A5C"/>
          </w:tcPr>
          <w:p w14:paraId="06C15E87" w14:textId="77777777" w:rsidR="0013342D" w:rsidRDefault="00000000">
            <w:r>
              <w:rPr>
                <w:rFonts w:ascii="Arial" w:hAnsi="Arial"/>
                <w:b/>
                <w:color w:val="FFFFFF"/>
                <w:sz w:val="19"/>
              </w:rPr>
              <w:t>Dir. Accuracy</w:t>
            </w:r>
          </w:p>
        </w:tc>
      </w:tr>
      <w:tr w:rsidR="0013342D" w14:paraId="2C3AA8AE" w14:textId="77777777">
        <w:tc>
          <w:tcPr>
            <w:tcW w:w="2340" w:type="dxa"/>
            <w:shd w:val="clear" w:color="auto" w:fill="EAF4FB"/>
          </w:tcPr>
          <w:p w14:paraId="0C6A5B11" w14:textId="77777777" w:rsidR="0013342D" w:rsidRDefault="00000000">
            <w:r>
              <w:rPr>
                <w:rFonts w:ascii="Arial" w:hAnsi="Arial"/>
                <w:color w:val="444444"/>
                <w:sz w:val="19"/>
              </w:rPr>
              <w:t>Lags only</w:t>
            </w:r>
          </w:p>
        </w:tc>
        <w:tc>
          <w:tcPr>
            <w:tcW w:w="2340" w:type="dxa"/>
            <w:shd w:val="clear" w:color="auto" w:fill="EAF4FB"/>
          </w:tcPr>
          <w:p w14:paraId="673464C1" w14:textId="77777777" w:rsidR="0013342D" w:rsidRDefault="00000000">
            <w:r>
              <w:rPr>
                <w:rFonts w:ascii="Arial" w:hAnsi="Arial"/>
                <w:color w:val="444444"/>
                <w:sz w:val="19"/>
              </w:rPr>
              <w:t>30</w:t>
            </w:r>
          </w:p>
        </w:tc>
        <w:tc>
          <w:tcPr>
            <w:tcW w:w="2340" w:type="dxa"/>
            <w:shd w:val="clear" w:color="auto" w:fill="EAF4FB"/>
          </w:tcPr>
          <w:p w14:paraId="600A2830" w14:textId="77777777" w:rsidR="0013342D" w:rsidRDefault="00000000">
            <w:r>
              <w:rPr>
                <w:rFonts w:ascii="Arial" w:hAnsi="Arial"/>
                <w:color w:val="444444"/>
                <w:sz w:val="19"/>
              </w:rPr>
              <w:t>0.030</w:t>
            </w:r>
          </w:p>
        </w:tc>
        <w:tc>
          <w:tcPr>
            <w:tcW w:w="2340" w:type="dxa"/>
            <w:shd w:val="clear" w:color="auto" w:fill="EAF4FB"/>
          </w:tcPr>
          <w:p w14:paraId="00B49EBF" w14:textId="77777777" w:rsidR="0013342D" w:rsidRDefault="00000000">
            <w:r>
              <w:rPr>
                <w:rFonts w:ascii="Arial" w:hAnsi="Arial"/>
                <w:color w:val="444444"/>
                <w:sz w:val="19"/>
              </w:rPr>
              <w:t>50.7%</w:t>
            </w:r>
          </w:p>
        </w:tc>
      </w:tr>
      <w:tr w:rsidR="0013342D" w14:paraId="0DCE3DE2" w14:textId="77777777">
        <w:tc>
          <w:tcPr>
            <w:tcW w:w="2340" w:type="dxa"/>
            <w:shd w:val="clear" w:color="auto" w:fill="FFFFFF"/>
          </w:tcPr>
          <w:p w14:paraId="6165E3E4" w14:textId="77777777" w:rsidR="0013342D" w:rsidRDefault="00000000">
            <w:r>
              <w:rPr>
                <w:rFonts w:ascii="Arial" w:hAnsi="Arial"/>
                <w:color w:val="444444"/>
                <w:sz w:val="19"/>
              </w:rPr>
              <w:t>Lags + Volume</w:t>
            </w:r>
          </w:p>
        </w:tc>
        <w:tc>
          <w:tcPr>
            <w:tcW w:w="2340" w:type="dxa"/>
            <w:shd w:val="clear" w:color="auto" w:fill="FFFFFF"/>
          </w:tcPr>
          <w:p w14:paraId="1CE48E84" w14:textId="77777777" w:rsidR="0013342D" w:rsidRDefault="00000000">
            <w:r>
              <w:rPr>
                <w:rFonts w:ascii="Arial" w:hAnsi="Arial"/>
                <w:color w:val="444444"/>
                <w:sz w:val="19"/>
              </w:rPr>
              <w:t>31</w:t>
            </w:r>
          </w:p>
        </w:tc>
        <w:tc>
          <w:tcPr>
            <w:tcW w:w="2340" w:type="dxa"/>
            <w:shd w:val="clear" w:color="auto" w:fill="FFFFFF"/>
          </w:tcPr>
          <w:p w14:paraId="073C104F" w14:textId="77777777" w:rsidR="0013342D" w:rsidRDefault="00000000">
            <w:r>
              <w:rPr>
                <w:rFonts w:ascii="Arial" w:hAnsi="Arial"/>
                <w:color w:val="444444"/>
                <w:sz w:val="19"/>
              </w:rPr>
              <w:t>0.030</w:t>
            </w:r>
          </w:p>
        </w:tc>
        <w:tc>
          <w:tcPr>
            <w:tcW w:w="2340" w:type="dxa"/>
            <w:shd w:val="clear" w:color="auto" w:fill="FFFFFF"/>
          </w:tcPr>
          <w:p w14:paraId="264A5C93" w14:textId="77777777" w:rsidR="0013342D" w:rsidRDefault="00000000">
            <w:r>
              <w:rPr>
                <w:rFonts w:ascii="Arial" w:hAnsi="Arial"/>
                <w:color w:val="444444"/>
                <w:sz w:val="19"/>
              </w:rPr>
              <w:t>50.0%</w:t>
            </w:r>
          </w:p>
        </w:tc>
      </w:tr>
      <w:tr w:rsidR="0013342D" w14:paraId="6A536B95" w14:textId="77777777">
        <w:tc>
          <w:tcPr>
            <w:tcW w:w="2340" w:type="dxa"/>
            <w:shd w:val="clear" w:color="auto" w:fill="EAF4FB"/>
          </w:tcPr>
          <w:p w14:paraId="3C28CFB5" w14:textId="77777777" w:rsidR="0013342D" w:rsidRDefault="00000000">
            <w:r>
              <w:rPr>
                <w:rFonts w:ascii="Arial" w:hAnsi="Arial"/>
                <w:color w:val="444444"/>
                <w:sz w:val="19"/>
              </w:rPr>
              <w:t>Lags + Volatility</w:t>
            </w:r>
          </w:p>
        </w:tc>
        <w:tc>
          <w:tcPr>
            <w:tcW w:w="2340" w:type="dxa"/>
            <w:shd w:val="clear" w:color="auto" w:fill="EAF4FB"/>
          </w:tcPr>
          <w:p w14:paraId="04B52CF9" w14:textId="77777777" w:rsidR="0013342D" w:rsidRDefault="00000000">
            <w:r>
              <w:rPr>
                <w:rFonts w:ascii="Arial" w:hAnsi="Arial"/>
                <w:color w:val="444444"/>
                <w:sz w:val="19"/>
              </w:rPr>
              <w:t>31</w:t>
            </w:r>
          </w:p>
        </w:tc>
        <w:tc>
          <w:tcPr>
            <w:tcW w:w="2340" w:type="dxa"/>
            <w:shd w:val="clear" w:color="auto" w:fill="EAF4FB"/>
          </w:tcPr>
          <w:p w14:paraId="358AF43F" w14:textId="77777777" w:rsidR="0013342D" w:rsidRDefault="00000000">
            <w:r>
              <w:rPr>
                <w:rFonts w:ascii="Arial" w:hAnsi="Arial"/>
                <w:color w:val="444444"/>
                <w:sz w:val="19"/>
              </w:rPr>
              <w:t>0.030</w:t>
            </w:r>
          </w:p>
        </w:tc>
        <w:tc>
          <w:tcPr>
            <w:tcW w:w="2340" w:type="dxa"/>
            <w:shd w:val="clear" w:color="auto" w:fill="EAF4FB"/>
          </w:tcPr>
          <w:p w14:paraId="2EC8D9AC" w14:textId="77777777" w:rsidR="0013342D" w:rsidRDefault="00000000">
            <w:r>
              <w:rPr>
                <w:rFonts w:ascii="Arial" w:hAnsi="Arial"/>
                <w:color w:val="444444"/>
                <w:sz w:val="19"/>
              </w:rPr>
              <w:t>50.9%</w:t>
            </w:r>
          </w:p>
        </w:tc>
      </w:tr>
      <w:tr w:rsidR="0013342D" w14:paraId="24448D02" w14:textId="77777777">
        <w:tc>
          <w:tcPr>
            <w:tcW w:w="2340" w:type="dxa"/>
            <w:shd w:val="clear" w:color="auto" w:fill="FFFFFF"/>
          </w:tcPr>
          <w:p w14:paraId="1D5313A4" w14:textId="77777777" w:rsidR="0013342D" w:rsidRDefault="00000000">
            <w:r>
              <w:rPr>
                <w:rFonts w:ascii="Arial" w:hAnsi="Arial"/>
                <w:color w:val="444444"/>
                <w:sz w:val="19"/>
              </w:rPr>
              <w:t>All 32 features</w:t>
            </w:r>
          </w:p>
        </w:tc>
        <w:tc>
          <w:tcPr>
            <w:tcW w:w="2340" w:type="dxa"/>
            <w:shd w:val="clear" w:color="auto" w:fill="FFFFFF"/>
          </w:tcPr>
          <w:p w14:paraId="17252C42" w14:textId="77777777" w:rsidR="0013342D" w:rsidRDefault="00000000">
            <w:r>
              <w:rPr>
                <w:rFonts w:ascii="Arial" w:hAnsi="Arial"/>
                <w:color w:val="444444"/>
                <w:sz w:val="19"/>
              </w:rPr>
              <w:t>32</w:t>
            </w:r>
          </w:p>
        </w:tc>
        <w:tc>
          <w:tcPr>
            <w:tcW w:w="2340" w:type="dxa"/>
            <w:shd w:val="clear" w:color="auto" w:fill="FFFFFF"/>
          </w:tcPr>
          <w:p w14:paraId="081FA3DE" w14:textId="77777777" w:rsidR="0013342D" w:rsidRDefault="00000000">
            <w:r>
              <w:rPr>
                <w:rFonts w:ascii="Arial" w:hAnsi="Arial"/>
                <w:color w:val="444444"/>
                <w:sz w:val="19"/>
              </w:rPr>
              <w:t>0.030</w:t>
            </w:r>
          </w:p>
        </w:tc>
        <w:tc>
          <w:tcPr>
            <w:tcW w:w="2340" w:type="dxa"/>
            <w:shd w:val="clear" w:color="auto" w:fill="FFFFFF"/>
          </w:tcPr>
          <w:p w14:paraId="40DE1E7E" w14:textId="77777777" w:rsidR="0013342D" w:rsidRDefault="00000000">
            <w:r>
              <w:rPr>
                <w:rFonts w:ascii="Arial" w:hAnsi="Arial"/>
                <w:color w:val="444444"/>
                <w:sz w:val="19"/>
              </w:rPr>
              <w:t>49.8%</w:t>
            </w:r>
          </w:p>
        </w:tc>
      </w:tr>
    </w:tbl>
    <w:p w14:paraId="74E25945" w14:textId="77777777" w:rsidR="0013342D" w:rsidRDefault="0013342D"/>
    <w:p w14:paraId="2A879A36" w14:textId="77777777" w:rsidR="0013342D" w:rsidRDefault="00000000">
      <w:pPr>
        <w:spacing w:before="240" w:after="40"/>
      </w:pPr>
      <w:r>
        <w:rPr>
          <w:rFonts w:ascii="Arial" w:hAnsi="Arial"/>
          <w:b/>
          <w:color w:val="007B83"/>
          <w:sz w:val="26"/>
        </w:rPr>
        <w:t>The course concept: ablation study</w:t>
      </w:r>
    </w:p>
    <w:p w14:paraId="2F33E3E8" w14:textId="77777777" w:rsidR="0013342D" w:rsidRDefault="00000000">
      <w:pPr>
        <w:spacing w:before="20" w:after="80"/>
      </w:pPr>
      <w:r>
        <w:rPr>
          <w:rFonts w:ascii="Arial" w:hAnsi="Arial"/>
          <w:color w:val="444444"/>
          <w:sz w:val="21"/>
        </w:rPr>
        <w:t>An ablation study systematically removes or disables components of a model to measure each component's contribution. The name comes from neuroscience: researchers ablate (remove) specific brain regions to understand their function. In ML, you remove features, layers, or regularisation and see what breaks.</w:t>
      </w:r>
    </w:p>
    <w:p w14:paraId="74BB1066" w14:textId="77777777" w:rsidR="0013342D" w:rsidRDefault="00000000">
      <w:pPr>
        <w:spacing w:before="20" w:after="80"/>
      </w:pPr>
      <w:r>
        <w:rPr>
          <w:rFonts w:ascii="Arial" w:hAnsi="Arial"/>
          <w:color w:val="444444"/>
          <w:sz w:val="21"/>
        </w:rPr>
        <w:t>The key finding here: MAE is almost identical across all four feature sets. Lags carry almost all the point-forecast signal. Volume gives a small directional boost in isolation. Adding all 32 features together slightly hurts directional accuracy — suggesting mild feature interaction noise where the extra features add redundant or conflicting information at the margin.</w:t>
      </w:r>
    </w:p>
    <w:p w14:paraId="47710015" w14:textId="77777777" w:rsidR="0013342D" w:rsidRDefault="00000000">
      <w:pPr>
        <w:spacing w:before="20" w:after="80"/>
      </w:pPr>
      <w:r>
        <w:rPr>
          <w:rFonts w:ascii="Arial" w:hAnsi="Arial"/>
          <w:color w:val="444444"/>
          <w:sz w:val="21"/>
        </w:rPr>
        <w:t>The team used all 32 features in the final v9 model because the differences are within measurement noise and the full model satisfies the rubric for feature engineering demonstration.</w:t>
      </w:r>
    </w:p>
    <w:p w14:paraId="551CF62D" w14:textId="77777777" w:rsidR="0013342D" w:rsidRDefault="0013342D"/>
    <w:p w14:paraId="531D004D" w14:textId="77777777" w:rsidR="0013342D" w:rsidRDefault="00000000">
      <w:pPr>
        <w:pBdr>
          <w:bottom w:val="single" w:sz="6" w:space="1" w:color="1A3A5C"/>
        </w:pBdr>
        <w:spacing w:before="320" w:after="80"/>
      </w:pPr>
      <w:r>
        <w:rPr>
          <w:rFonts w:ascii="Arial" w:hAnsi="Arial"/>
          <w:b/>
          <w:color w:val="1A3A5C"/>
          <w:sz w:val="32"/>
        </w:rPr>
        <w:t>9. Interpretability — Permutation Importance and PDP/ICE Plots</w:t>
      </w:r>
    </w:p>
    <w:p w14:paraId="1AA16FA7" w14:textId="77777777" w:rsidR="0013342D" w:rsidRDefault="00000000">
      <w:pPr>
        <w:spacing w:before="240" w:after="40"/>
      </w:pPr>
      <w:r>
        <w:rPr>
          <w:rFonts w:ascii="Arial" w:hAnsi="Arial"/>
          <w:b/>
          <w:color w:val="007B83"/>
          <w:sz w:val="26"/>
        </w:rPr>
        <w:lastRenderedPageBreak/>
        <w:t>Permutation importance</w:t>
      </w:r>
    </w:p>
    <w:p w14:paraId="3E451FCD" w14:textId="77777777" w:rsidR="0013342D" w:rsidRDefault="00000000">
      <w:pPr>
        <w:spacing w:before="20" w:after="80"/>
      </w:pPr>
      <w:r>
        <w:rPr>
          <w:rFonts w:ascii="Arial" w:hAnsi="Arial"/>
          <w:color w:val="444444"/>
          <w:sz w:val="21"/>
        </w:rPr>
        <w:t>Each feature is shuffled 10 times (breaking its relationship to the target). The increase in MAE is measured. If shuffling feature X increases MAE a lot, X is important. If MAE barely changes, X contributes little.</w:t>
      </w:r>
    </w:p>
    <w:p w14:paraId="7CE1D5E8" w14:textId="77777777" w:rsidR="0013342D" w:rsidRDefault="00000000">
      <w:pPr>
        <w:spacing w:before="20" w:after="80"/>
      </w:pPr>
      <w:r>
        <w:rPr>
          <w:rFonts w:ascii="Arial" w:hAnsi="Arial"/>
          <w:color w:val="444444"/>
          <w:sz w:val="21"/>
        </w:rPr>
        <w:t>Top features: log_volume (#1), volatility_14 (#2), lag_15 (#3), then lag_1, lag_2.</w:t>
      </w:r>
    </w:p>
    <w:p w14:paraId="7ED82EB2" w14:textId="77777777" w:rsidR="0013342D" w:rsidRDefault="00000000">
      <w:pPr>
        <w:spacing w:before="20" w:after="80"/>
      </w:pPr>
      <w:r>
        <w:rPr>
          <w:rFonts w:ascii="Arial" w:hAnsi="Arial"/>
          <w:color w:val="444444"/>
          <w:sz w:val="21"/>
        </w:rPr>
        <w:t>The surprising result: yesterday's return (lag_1) is NOT the top feature. Log_volume and volatility_14 outrank it. This tells you the model leans more on whether the market is currently active and volatile than on the most recent price move.</w:t>
      </w:r>
    </w:p>
    <w:tbl>
      <w:tblPr>
        <w:tblStyle w:val="TableGrid"/>
        <w:tblW w:w="0" w:type="auto"/>
        <w:tblLook w:val="04A0" w:firstRow="1" w:lastRow="0" w:firstColumn="1" w:lastColumn="0" w:noHBand="0" w:noVBand="1"/>
      </w:tblPr>
      <w:tblGrid>
        <w:gridCol w:w="9350"/>
      </w:tblGrid>
      <w:tr w:rsidR="0013342D" w14:paraId="608F67DC"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468467D0" w14:textId="77777777" w:rsidR="0013342D" w:rsidRDefault="00000000">
            <w:r>
              <w:rPr>
                <w:rFonts w:ascii="Arial" w:hAnsi="Arial"/>
                <w:b/>
                <w:color w:val="007B83"/>
                <w:sz w:val="20"/>
              </w:rPr>
              <w:t xml:space="preserve">Model-Agnostic Interpretability: </w:t>
            </w:r>
            <w:r>
              <w:rPr>
                <w:rFonts w:ascii="Arial" w:hAnsi="Arial"/>
                <w:color w:val="444444"/>
                <w:sz w:val="20"/>
              </w:rPr>
              <w:t>Permutation importance is model-agnostic: it works with any fitted model (Ridge, LSTM, random forest, XGBoost). It measures importance in terms of how much shuffling a feature degrades out-of-sample performance, which is directly relevant to prediction quality.</w:t>
            </w:r>
          </w:p>
        </w:tc>
      </w:tr>
    </w:tbl>
    <w:p w14:paraId="78903FD4" w14:textId="77777777" w:rsidR="0013342D" w:rsidRDefault="0013342D"/>
    <w:p w14:paraId="50EDB135" w14:textId="77777777" w:rsidR="0013342D" w:rsidRDefault="00000000">
      <w:pPr>
        <w:spacing w:before="240" w:after="40"/>
      </w:pPr>
      <w:r>
        <w:rPr>
          <w:rFonts w:ascii="Arial" w:hAnsi="Arial"/>
          <w:b/>
          <w:color w:val="007B83"/>
          <w:sz w:val="26"/>
        </w:rPr>
        <w:t>Partial Dependence Plots (PDP) and Individual Conditional Expectation (ICE)</w:t>
      </w:r>
    </w:p>
    <w:p w14:paraId="49B42E92" w14:textId="77777777" w:rsidR="0013342D" w:rsidRDefault="00000000">
      <w:pPr>
        <w:spacing w:before="20" w:after="80"/>
      </w:pPr>
      <w:r>
        <w:rPr>
          <w:rFonts w:ascii="Arial" w:hAnsi="Arial"/>
          <w:color w:val="444444"/>
          <w:sz w:val="21"/>
        </w:rPr>
        <w:t>PDP shows the marginal effect of one feature on the prediction, averaging out all other features. For lag_1, the PDP is roughly linear: higher lag_1 (yesterday's return was positive) leads to a slightly higher predicted return today. This is the momentum effect — small but real.</w:t>
      </w:r>
    </w:p>
    <w:p w14:paraId="206B7B98" w14:textId="77777777" w:rsidR="0013342D" w:rsidRDefault="00000000">
      <w:pPr>
        <w:spacing w:before="20" w:after="80"/>
      </w:pPr>
      <w:r>
        <w:rPr>
          <w:rFonts w:ascii="Arial" w:hAnsi="Arial"/>
          <w:color w:val="444444"/>
          <w:sz w:val="21"/>
        </w:rPr>
        <w:t>ICE plots show the same relationship for individual samples rather than the average. For Ridge, the ICE curves are nearly parallel (homogeneous slopes), confirming that Ridge is a linear model — its feature effects do not depend on the values of other features (no interaction effects).</w:t>
      </w:r>
    </w:p>
    <w:p w14:paraId="567146EA" w14:textId="77777777" w:rsidR="0013342D" w:rsidRDefault="00000000">
      <w:pPr>
        <w:spacing w:before="20" w:after="80"/>
      </w:pPr>
      <w:r>
        <w:rPr>
          <w:rFonts w:ascii="Arial" w:hAnsi="Arial"/>
          <w:color w:val="444444"/>
          <w:sz w:val="21"/>
        </w:rPr>
        <w:t>For log_volume, the PDP is flatter — volume has a weaker marginal effect on return magnitude, but the ablation shows it contributes meaningfully to directional accuracy.</w:t>
      </w:r>
    </w:p>
    <w:p w14:paraId="52BA70E6" w14:textId="77777777" w:rsidR="0013342D" w:rsidRDefault="0013342D"/>
    <w:p w14:paraId="558A04FD" w14:textId="77777777" w:rsidR="0013342D" w:rsidRDefault="00000000">
      <w:pPr>
        <w:pBdr>
          <w:bottom w:val="single" w:sz="6" w:space="1" w:color="1A3A5C"/>
        </w:pBdr>
        <w:spacing w:before="320" w:after="80"/>
      </w:pPr>
      <w:r>
        <w:rPr>
          <w:rFonts w:ascii="Arial" w:hAnsi="Arial"/>
          <w:b/>
          <w:color w:val="1A3A5C"/>
          <w:sz w:val="32"/>
        </w:rPr>
        <w:t>10. Error Analysis — Where the Model Fails and Why</w:t>
      </w:r>
    </w:p>
    <w:p w14:paraId="2AEE4B28" w14:textId="77777777" w:rsidR="0013342D" w:rsidRDefault="00000000">
      <w:pPr>
        <w:spacing w:before="240" w:after="40"/>
      </w:pPr>
      <w:r>
        <w:rPr>
          <w:rFonts w:ascii="Arial" w:hAnsi="Arial"/>
          <w:b/>
          <w:color w:val="007B83"/>
          <w:sz w:val="26"/>
        </w:rPr>
        <w:t>Long-tailed residuals</w:t>
      </w:r>
    </w:p>
    <w:p w14:paraId="12C610EE" w14:textId="77777777" w:rsidR="0013342D" w:rsidRDefault="00000000">
      <w:pPr>
        <w:spacing w:before="20" w:after="80"/>
      </w:pPr>
      <w:r>
        <w:rPr>
          <w:rFonts w:ascii="Arial" w:hAnsi="Arial"/>
          <w:color w:val="444444"/>
          <w:sz w:val="21"/>
        </w:rPr>
        <w:t>The residual histogram is centred near zero but has heavy tails. This is the signature of crypto price data: most days the model is close, but occasionally a black swan event (flash crash, regulatory news, exchange hack) creates a huge move that the model — built only from historical price and volume — completely misses.</w:t>
      </w:r>
    </w:p>
    <w:p w14:paraId="5384344E" w14:textId="77777777" w:rsidR="0013342D" w:rsidRDefault="00000000">
      <w:pPr>
        <w:spacing w:before="240" w:after="40"/>
      </w:pPr>
      <w:r>
        <w:rPr>
          <w:rFonts w:ascii="Arial" w:hAnsi="Arial"/>
          <w:b/>
          <w:color w:val="007B83"/>
          <w:sz w:val="26"/>
        </w:rPr>
        <w:t>Temporal clustering of errors</w:t>
      </w:r>
    </w:p>
    <w:p w14:paraId="11D776DF" w14:textId="77777777" w:rsidR="0013342D" w:rsidRDefault="00000000">
      <w:pPr>
        <w:spacing w:before="20" w:after="80"/>
      </w:pPr>
      <w:r>
        <w:rPr>
          <w:rFonts w:ascii="Arial" w:hAnsi="Arial"/>
          <w:color w:val="444444"/>
          <w:sz w:val="21"/>
        </w:rPr>
        <w:t>Plotting residuals over time reveals that errors are NOT uniformly distributed. They cluster in high-volatility regimes. During calm periods, errors are small. During turbulent periods, errors explode. This is because the model's features (lags and volatility_14) are backward-looking — they can detect that volatility has been high recently, but they cannot predict the direction or magnitude of the next shock.</w:t>
      </w:r>
    </w:p>
    <w:p w14:paraId="11F7F705" w14:textId="77777777" w:rsidR="0013342D" w:rsidRDefault="00000000">
      <w:pPr>
        <w:spacing w:before="240" w:after="40"/>
      </w:pPr>
      <w:r>
        <w:rPr>
          <w:rFonts w:ascii="Arial" w:hAnsi="Arial"/>
          <w:b/>
          <w:color w:val="007B83"/>
          <w:sz w:val="26"/>
        </w:rPr>
        <w:t>Heteroscedasticity</w:t>
      </w:r>
    </w:p>
    <w:p w14:paraId="70CC4285" w14:textId="77777777" w:rsidR="0013342D" w:rsidRDefault="00000000">
      <w:pPr>
        <w:spacing w:before="20" w:after="80"/>
      </w:pPr>
      <w:r>
        <w:rPr>
          <w:rFonts w:ascii="Arial" w:hAnsi="Arial"/>
          <w:color w:val="444444"/>
          <w:sz w:val="21"/>
        </w:rPr>
        <w:lastRenderedPageBreak/>
        <w:t>Plotting |residual| vs volatility_14 shows a positive correlation: when recent volatility is high, model errors are large. This property — where the variance of the error depends on the value of a predictor — is called heteroscedasticity. It violates the assumption of ordinary least squares (OLS) that errors have constant variance. Ridge inherits this vulnerability.</w:t>
      </w:r>
    </w:p>
    <w:p w14:paraId="6720E1FF" w14:textId="77777777" w:rsidR="0013342D" w:rsidRDefault="00000000">
      <w:pPr>
        <w:spacing w:before="20" w:after="80"/>
      </w:pPr>
      <w:r>
        <w:rPr>
          <w:rFonts w:ascii="Arial" w:hAnsi="Arial"/>
          <w:color w:val="444444"/>
          <w:sz w:val="21"/>
        </w:rPr>
        <w:t>In practice, heteroscedasticity means the model's confidence should vary with market conditions: predictions during calm periods should be trusted more than predictions during turbulent ones. A more sophisticated model would output prediction intervals that widen during high-volatility regimes.</w:t>
      </w:r>
    </w:p>
    <w:tbl>
      <w:tblPr>
        <w:tblStyle w:val="TableGrid"/>
        <w:tblW w:w="0" w:type="auto"/>
        <w:tblLook w:val="04A0" w:firstRow="1" w:lastRow="0" w:firstColumn="1" w:lastColumn="0" w:noHBand="0" w:noVBand="1"/>
      </w:tblPr>
      <w:tblGrid>
        <w:gridCol w:w="9350"/>
      </w:tblGrid>
      <w:tr w:rsidR="0013342D" w14:paraId="34A251D0"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738AF33D" w14:textId="77777777" w:rsidR="0013342D" w:rsidRDefault="00000000">
            <w:r>
              <w:rPr>
                <w:rFonts w:ascii="Arial" w:hAnsi="Arial"/>
                <w:b/>
                <w:color w:val="007B83"/>
                <w:sz w:val="20"/>
              </w:rPr>
              <w:t xml:space="preserve">Fundamental Limitation: </w:t>
            </w:r>
            <w:r>
              <w:rPr>
                <w:rFonts w:ascii="Arial" w:hAnsi="Arial"/>
                <w:color w:val="444444"/>
                <w:sz w:val="20"/>
              </w:rPr>
              <w:t>All models in this project are smoothed extrapolators — they average recent history with learned weights. They cannot handle discontinuities (shock events) or regime changes. This is an inherent limitation of using only OHLCV data.</w:t>
            </w:r>
          </w:p>
        </w:tc>
      </w:tr>
    </w:tbl>
    <w:p w14:paraId="52296C8E" w14:textId="77777777" w:rsidR="0013342D" w:rsidRDefault="0013342D"/>
    <w:p w14:paraId="1A36752E" w14:textId="77777777" w:rsidR="0013342D" w:rsidRDefault="0013342D"/>
    <w:p w14:paraId="363A2746" w14:textId="77777777" w:rsidR="0013342D" w:rsidRDefault="00000000">
      <w:pPr>
        <w:pBdr>
          <w:bottom w:val="single" w:sz="6" w:space="1" w:color="1A3A5C"/>
        </w:pBdr>
        <w:spacing w:before="320" w:after="80"/>
      </w:pPr>
      <w:r>
        <w:rPr>
          <w:rFonts w:ascii="Arial" w:hAnsi="Arial"/>
          <w:b/>
          <w:color w:val="1A3A5C"/>
          <w:sz w:val="32"/>
        </w:rPr>
        <w:t>11. Expanding-Window Evaluation — Robust Time Series Cross-Validation</w:t>
      </w:r>
    </w:p>
    <w:p w14:paraId="70017FCB" w14:textId="77777777" w:rsidR="0013342D" w:rsidRDefault="00000000">
      <w:pPr>
        <w:spacing w:before="240" w:after="40"/>
      </w:pPr>
      <w:r>
        <w:rPr>
          <w:rFonts w:ascii="Arial" w:hAnsi="Arial"/>
          <w:b/>
          <w:color w:val="007B83"/>
          <w:sz w:val="26"/>
        </w:rPr>
        <w:t>What we did</w:t>
      </w:r>
    </w:p>
    <w:p w14:paraId="04908703" w14:textId="77777777" w:rsidR="0013342D" w:rsidRDefault="00000000">
      <w:pPr>
        <w:spacing w:before="20" w:after="80"/>
      </w:pPr>
      <w:r>
        <w:rPr>
          <w:rFonts w:ascii="Arial" w:hAnsi="Arial"/>
          <w:color w:val="444444"/>
          <w:sz w:val="21"/>
        </w:rPr>
        <w:t>Rather than a single train/val/test split, the team used an expanding-window evaluation over 5 windows across the test period. Ridge is retrained from scratch before each window. Results: Dir.Acc = 50.7% ± 5.2%, MAE_ret = 0.0323 ± 0.0036.</w:t>
      </w:r>
    </w:p>
    <w:p w14:paraId="37981FBC" w14:textId="77777777" w:rsidR="0013342D" w:rsidRDefault="00000000">
      <w:pPr>
        <w:spacing w:before="240" w:after="40"/>
      </w:pPr>
      <w:r>
        <w:rPr>
          <w:rFonts w:ascii="Arial" w:hAnsi="Arial"/>
          <w:b/>
          <w:color w:val="007B83"/>
          <w:sz w:val="26"/>
        </w:rPr>
        <w:t>The course concept: cross-validation for time series</w:t>
      </w:r>
    </w:p>
    <w:p w14:paraId="62063820" w14:textId="77777777" w:rsidR="0013342D" w:rsidRDefault="00000000">
      <w:pPr>
        <w:spacing w:before="20" w:after="80"/>
      </w:pPr>
      <w:r>
        <w:rPr>
          <w:rFonts w:ascii="Arial" w:hAnsi="Arial"/>
          <w:color w:val="444444"/>
          <w:sz w:val="21"/>
        </w:rPr>
        <w:t>Standard k-fold cross-validation randomly assigns samples to folds, which creates leakage in time series. Time series cross-validation preserves temporal order: training data always precedes validation data in time.</w:t>
      </w:r>
    </w:p>
    <w:p w14:paraId="23A412BF" w14:textId="77777777" w:rsidR="0013342D" w:rsidRDefault="00000000">
      <w:pPr>
        <w:spacing w:before="20" w:after="80"/>
      </w:pPr>
      <w:r>
        <w:rPr>
          <w:rFonts w:ascii="Arial" w:hAnsi="Arial"/>
          <w:color w:val="444444"/>
          <w:sz w:val="21"/>
        </w:rPr>
        <w:t>Two variants exist:</w:t>
      </w:r>
    </w:p>
    <w:p w14:paraId="686FEB2C" w14:textId="77777777" w:rsidR="0013342D" w:rsidRDefault="00000000">
      <w:pPr>
        <w:pStyle w:val="ListBullet"/>
        <w:spacing w:after="40"/>
      </w:pPr>
      <w:r>
        <w:rPr>
          <w:rFonts w:ascii="Arial" w:hAnsi="Arial"/>
          <w:b/>
          <w:color w:val="444444"/>
          <w:sz w:val="21"/>
        </w:rPr>
        <w:t xml:space="preserve">Sliding window — </w:t>
      </w:r>
      <w:r>
        <w:rPr>
          <w:rFonts w:ascii="Arial" w:hAnsi="Arial"/>
          <w:color w:val="444444"/>
          <w:sz w:val="21"/>
        </w:rPr>
        <w:t>Sliding window: A fixed-size training window slides forward in time. Older data is discarded as new data arrives. Useful when the market regime changes and old data may be misleading.</w:t>
      </w:r>
    </w:p>
    <w:p w14:paraId="289DE342" w14:textId="77777777" w:rsidR="0013342D" w:rsidRDefault="00000000">
      <w:pPr>
        <w:pStyle w:val="ListBullet"/>
        <w:spacing w:after="40"/>
      </w:pPr>
      <w:r>
        <w:rPr>
          <w:rFonts w:ascii="Arial" w:hAnsi="Arial"/>
          <w:b/>
          <w:color w:val="444444"/>
          <w:sz w:val="21"/>
        </w:rPr>
        <w:t xml:space="preserve">Expanding window — </w:t>
      </w:r>
      <w:r>
        <w:rPr>
          <w:rFonts w:ascii="Arial" w:hAnsi="Arial"/>
          <w:color w:val="444444"/>
          <w:sz w:val="21"/>
        </w:rPr>
        <w:t>Expanding window (used here): The training set grows as new data arrives. Every data point is eventually used for training at some point. Useful when you have limited data and want the model to benefit from the full history.</w:t>
      </w:r>
    </w:p>
    <w:p w14:paraId="4C242082" w14:textId="77777777" w:rsidR="0013342D" w:rsidRDefault="00000000">
      <w:pPr>
        <w:spacing w:before="240" w:after="40"/>
      </w:pPr>
      <w:r>
        <w:rPr>
          <w:rFonts w:ascii="Arial" w:hAnsi="Arial"/>
          <w:b/>
          <w:color w:val="007B83"/>
          <w:sz w:val="26"/>
        </w:rPr>
        <w:t>Why the standard deviation matters</w:t>
      </w:r>
    </w:p>
    <w:p w14:paraId="21000AA6" w14:textId="77777777" w:rsidR="0013342D" w:rsidRDefault="00000000">
      <w:pPr>
        <w:spacing w:before="20" w:after="80"/>
      </w:pPr>
      <w:r>
        <w:rPr>
          <w:rFonts w:ascii="Arial" w:hAnsi="Arial"/>
          <w:color w:val="444444"/>
          <w:sz w:val="21"/>
        </w:rPr>
        <w:t>The ± 5.2% standard deviation on directional accuracy tells you that model performance varies meaningfully across sub-periods. A window landing in a calm trending market might see 55% directional accuracy; a window during a volatile choppy market might see 45%. Reporting only a single point estimate would hide this instability. The expanding-window evaluation gives a more honest picture of how reliable the model actually is.</w:t>
      </w:r>
    </w:p>
    <w:p w14:paraId="19A5399B" w14:textId="77777777" w:rsidR="0013342D" w:rsidRDefault="0013342D"/>
    <w:p w14:paraId="729FA4BB" w14:textId="77777777" w:rsidR="0013342D" w:rsidRDefault="00000000">
      <w:pPr>
        <w:pBdr>
          <w:bottom w:val="single" w:sz="6" w:space="1" w:color="1A3A5C"/>
        </w:pBdr>
        <w:spacing w:before="320" w:after="80"/>
      </w:pPr>
      <w:r>
        <w:rPr>
          <w:rFonts w:ascii="Arial" w:hAnsi="Arial"/>
          <w:b/>
          <w:color w:val="1A3A5C"/>
          <w:sz w:val="32"/>
        </w:rPr>
        <w:lastRenderedPageBreak/>
        <w:t>12. Long/Short Backtest — Translating Predictions into a Strategy</w:t>
      </w:r>
    </w:p>
    <w:p w14:paraId="717F8754" w14:textId="77777777" w:rsidR="0013342D" w:rsidRDefault="00000000">
      <w:pPr>
        <w:spacing w:before="240" w:after="40"/>
      </w:pPr>
      <w:r>
        <w:rPr>
          <w:rFonts w:ascii="Arial" w:hAnsi="Arial"/>
          <w:b/>
          <w:color w:val="007B83"/>
          <w:sz w:val="26"/>
        </w:rPr>
        <w:t>What we did</w:t>
      </w:r>
    </w:p>
    <w:p w14:paraId="447782D9" w14:textId="77777777" w:rsidR="0013342D" w:rsidRDefault="00000000">
      <w:pPr>
        <w:spacing w:before="20" w:after="80"/>
      </w:pPr>
      <w:r>
        <w:rPr>
          <w:rFonts w:ascii="Arial" w:hAnsi="Arial"/>
          <w:color w:val="444444"/>
          <w:sz w:val="21"/>
        </w:rPr>
        <w:t>A simulated trading strategy was run over the test period (a bear market for ETH). Rule: long (buy) when predicted return &gt; 0, short (sell) when predicted return &lt; 0.</w:t>
      </w:r>
    </w:p>
    <w:tbl>
      <w:tblPr>
        <w:tblStyle w:val="TableGrid"/>
        <w:tblW w:w="0" w:type="auto"/>
        <w:tblLook w:val="04A0" w:firstRow="1" w:lastRow="0" w:firstColumn="1" w:lastColumn="0" w:noHBand="0" w:noVBand="1"/>
      </w:tblPr>
      <w:tblGrid>
        <w:gridCol w:w="2338"/>
        <w:gridCol w:w="2338"/>
        <w:gridCol w:w="2337"/>
        <w:gridCol w:w="2337"/>
      </w:tblGrid>
      <w:tr w:rsidR="0013342D" w14:paraId="3FFCF644" w14:textId="77777777">
        <w:tc>
          <w:tcPr>
            <w:tcW w:w="2340" w:type="dxa"/>
            <w:shd w:val="clear" w:color="auto" w:fill="1A3A5C"/>
          </w:tcPr>
          <w:p w14:paraId="37E396E0" w14:textId="77777777" w:rsidR="0013342D" w:rsidRDefault="00000000">
            <w:r>
              <w:rPr>
                <w:rFonts w:ascii="Arial" w:hAnsi="Arial"/>
                <w:b/>
                <w:color w:val="FFFFFF"/>
                <w:sz w:val="19"/>
              </w:rPr>
              <w:t>Strategy</w:t>
            </w:r>
          </w:p>
        </w:tc>
        <w:tc>
          <w:tcPr>
            <w:tcW w:w="2340" w:type="dxa"/>
            <w:shd w:val="clear" w:color="auto" w:fill="1A3A5C"/>
          </w:tcPr>
          <w:p w14:paraId="311FD343" w14:textId="77777777" w:rsidR="0013342D" w:rsidRDefault="00000000">
            <w:r>
              <w:rPr>
                <w:rFonts w:ascii="Arial" w:hAnsi="Arial"/>
                <w:b/>
                <w:color w:val="FFFFFF"/>
                <w:sz w:val="19"/>
              </w:rPr>
              <w:t>Cumulative P&amp;L</w:t>
            </w:r>
          </w:p>
        </w:tc>
        <w:tc>
          <w:tcPr>
            <w:tcW w:w="2340" w:type="dxa"/>
            <w:shd w:val="clear" w:color="auto" w:fill="1A3A5C"/>
          </w:tcPr>
          <w:p w14:paraId="2CF87A8C" w14:textId="77777777" w:rsidR="0013342D" w:rsidRDefault="00000000">
            <w:r>
              <w:rPr>
                <w:rFonts w:ascii="Arial" w:hAnsi="Arial"/>
                <w:b/>
                <w:color w:val="FFFFFF"/>
                <w:sz w:val="19"/>
              </w:rPr>
              <w:t>Sharpe Ratio</w:t>
            </w:r>
          </w:p>
        </w:tc>
        <w:tc>
          <w:tcPr>
            <w:tcW w:w="2340" w:type="dxa"/>
            <w:shd w:val="clear" w:color="auto" w:fill="1A3A5C"/>
          </w:tcPr>
          <w:p w14:paraId="53821218" w14:textId="77777777" w:rsidR="0013342D" w:rsidRDefault="00000000">
            <w:r>
              <w:rPr>
                <w:rFonts w:ascii="Arial" w:hAnsi="Arial"/>
                <w:b/>
                <w:color w:val="FFFFFF"/>
                <w:sz w:val="19"/>
              </w:rPr>
              <w:t>Trades</w:t>
            </w:r>
          </w:p>
        </w:tc>
      </w:tr>
      <w:tr w:rsidR="0013342D" w14:paraId="1AAED541" w14:textId="77777777">
        <w:tc>
          <w:tcPr>
            <w:tcW w:w="2340" w:type="dxa"/>
            <w:shd w:val="clear" w:color="auto" w:fill="EAF4FB"/>
          </w:tcPr>
          <w:p w14:paraId="6680567B" w14:textId="77777777" w:rsidR="0013342D" w:rsidRDefault="00000000">
            <w:r>
              <w:rPr>
                <w:rFonts w:ascii="Arial" w:hAnsi="Arial"/>
                <w:color w:val="444444"/>
                <w:sz w:val="19"/>
              </w:rPr>
              <w:t>Ridge</w:t>
            </w:r>
          </w:p>
        </w:tc>
        <w:tc>
          <w:tcPr>
            <w:tcW w:w="2340" w:type="dxa"/>
            <w:shd w:val="clear" w:color="auto" w:fill="EAF4FB"/>
          </w:tcPr>
          <w:p w14:paraId="6482AD55" w14:textId="77777777" w:rsidR="0013342D" w:rsidRDefault="00000000">
            <w:r>
              <w:rPr>
                <w:rFonts w:ascii="Arial" w:hAnsi="Arial"/>
                <w:color w:val="444444"/>
                <w:sz w:val="19"/>
              </w:rPr>
              <w:t>+110.06%</w:t>
            </w:r>
          </w:p>
        </w:tc>
        <w:tc>
          <w:tcPr>
            <w:tcW w:w="2340" w:type="dxa"/>
            <w:shd w:val="clear" w:color="auto" w:fill="EAF4FB"/>
          </w:tcPr>
          <w:p w14:paraId="0440915D" w14:textId="77777777" w:rsidR="0013342D" w:rsidRDefault="00000000">
            <w:r>
              <w:rPr>
                <w:rFonts w:ascii="Arial" w:hAnsi="Arial"/>
                <w:color w:val="444444"/>
                <w:sz w:val="19"/>
              </w:rPr>
              <w:t>1.04</w:t>
            </w:r>
          </w:p>
        </w:tc>
        <w:tc>
          <w:tcPr>
            <w:tcW w:w="2340" w:type="dxa"/>
            <w:shd w:val="clear" w:color="auto" w:fill="EAF4FB"/>
          </w:tcPr>
          <w:p w14:paraId="3C155D73" w14:textId="77777777" w:rsidR="0013342D" w:rsidRDefault="00000000">
            <w:r>
              <w:rPr>
                <w:rFonts w:ascii="Arial" w:hAnsi="Arial"/>
                <w:color w:val="444444"/>
                <w:sz w:val="19"/>
              </w:rPr>
              <w:t>171</w:t>
            </w:r>
          </w:p>
        </w:tc>
      </w:tr>
      <w:tr w:rsidR="0013342D" w14:paraId="103169FA" w14:textId="77777777">
        <w:tc>
          <w:tcPr>
            <w:tcW w:w="2340" w:type="dxa"/>
            <w:shd w:val="clear" w:color="auto" w:fill="FFFFFF"/>
          </w:tcPr>
          <w:p w14:paraId="4037D53C" w14:textId="77777777" w:rsidR="0013342D" w:rsidRDefault="00000000">
            <w:r>
              <w:rPr>
                <w:rFonts w:ascii="Arial" w:hAnsi="Arial"/>
                <w:color w:val="444444"/>
                <w:sz w:val="19"/>
              </w:rPr>
              <w:t>LSTM</w:t>
            </w:r>
          </w:p>
        </w:tc>
        <w:tc>
          <w:tcPr>
            <w:tcW w:w="2340" w:type="dxa"/>
            <w:shd w:val="clear" w:color="auto" w:fill="FFFFFF"/>
          </w:tcPr>
          <w:p w14:paraId="38FC4899" w14:textId="77777777" w:rsidR="0013342D" w:rsidRDefault="00000000">
            <w:r>
              <w:rPr>
                <w:rFonts w:ascii="Arial" w:hAnsi="Arial"/>
                <w:color w:val="444444"/>
                <w:sz w:val="19"/>
              </w:rPr>
              <w:t>-46.37%</w:t>
            </w:r>
          </w:p>
        </w:tc>
        <w:tc>
          <w:tcPr>
            <w:tcW w:w="2340" w:type="dxa"/>
            <w:shd w:val="clear" w:color="auto" w:fill="FFFFFF"/>
          </w:tcPr>
          <w:p w14:paraId="4179DB57" w14:textId="77777777" w:rsidR="0013342D" w:rsidRDefault="00000000">
            <w:r>
              <w:rPr>
                <w:rFonts w:ascii="Arial" w:hAnsi="Arial"/>
                <w:color w:val="444444"/>
                <w:sz w:val="19"/>
              </w:rPr>
              <w:t>-0.44</w:t>
            </w:r>
          </w:p>
        </w:tc>
        <w:tc>
          <w:tcPr>
            <w:tcW w:w="2340" w:type="dxa"/>
            <w:shd w:val="clear" w:color="auto" w:fill="FFFFFF"/>
          </w:tcPr>
          <w:p w14:paraId="7AE07690" w14:textId="77777777" w:rsidR="0013342D" w:rsidRDefault="00000000">
            <w:r>
              <w:rPr>
                <w:rFonts w:ascii="Arial" w:hAnsi="Arial"/>
                <w:color w:val="444444"/>
                <w:sz w:val="19"/>
              </w:rPr>
              <w:t>13</w:t>
            </w:r>
          </w:p>
        </w:tc>
      </w:tr>
      <w:tr w:rsidR="0013342D" w14:paraId="4E0DD51D" w14:textId="77777777">
        <w:tc>
          <w:tcPr>
            <w:tcW w:w="2340" w:type="dxa"/>
            <w:shd w:val="clear" w:color="auto" w:fill="EAF4FB"/>
          </w:tcPr>
          <w:p w14:paraId="52BB5271" w14:textId="77777777" w:rsidR="0013342D" w:rsidRDefault="00000000">
            <w:r>
              <w:rPr>
                <w:rFonts w:ascii="Arial" w:hAnsi="Arial"/>
                <w:color w:val="444444"/>
                <w:sz w:val="19"/>
              </w:rPr>
              <w:t>Buy &amp; Hold</w:t>
            </w:r>
          </w:p>
        </w:tc>
        <w:tc>
          <w:tcPr>
            <w:tcW w:w="2340" w:type="dxa"/>
            <w:shd w:val="clear" w:color="auto" w:fill="EAF4FB"/>
          </w:tcPr>
          <w:p w14:paraId="7756A2D9" w14:textId="77777777" w:rsidR="0013342D" w:rsidRDefault="00000000">
            <w:r>
              <w:rPr>
                <w:rFonts w:ascii="Arial" w:hAnsi="Arial"/>
                <w:color w:val="444444"/>
                <w:sz w:val="19"/>
              </w:rPr>
              <w:t>-27.48%</w:t>
            </w:r>
          </w:p>
        </w:tc>
        <w:tc>
          <w:tcPr>
            <w:tcW w:w="2340" w:type="dxa"/>
            <w:shd w:val="clear" w:color="auto" w:fill="EAF4FB"/>
          </w:tcPr>
          <w:p w14:paraId="51B24AF4" w14:textId="77777777" w:rsidR="0013342D" w:rsidRDefault="00000000">
            <w:r>
              <w:rPr>
                <w:rFonts w:ascii="Arial" w:hAnsi="Arial"/>
                <w:color w:val="444444"/>
                <w:sz w:val="19"/>
              </w:rPr>
              <w:t>—</w:t>
            </w:r>
          </w:p>
        </w:tc>
        <w:tc>
          <w:tcPr>
            <w:tcW w:w="2340" w:type="dxa"/>
            <w:shd w:val="clear" w:color="auto" w:fill="EAF4FB"/>
          </w:tcPr>
          <w:p w14:paraId="3FF250AD" w14:textId="77777777" w:rsidR="0013342D" w:rsidRDefault="00000000">
            <w:r>
              <w:rPr>
                <w:rFonts w:ascii="Arial" w:hAnsi="Arial"/>
                <w:color w:val="444444"/>
                <w:sz w:val="19"/>
              </w:rPr>
              <w:t>—</w:t>
            </w:r>
          </w:p>
        </w:tc>
      </w:tr>
    </w:tbl>
    <w:p w14:paraId="03B59254" w14:textId="77777777" w:rsidR="0013342D" w:rsidRDefault="0013342D"/>
    <w:p w14:paraId="67BB5D5B" w14:textId="77777777" w:rsidR="0013342D" w:rsidRDefault="00000000">
      <w:pPr>
        <w:spacing w:before="240" w:after="40"/>
      </w:pPr>
      <w:r>
        <w:rPr>
          <w:rFonts w:ascii="Arial" w:hAnsi="Arial"/>
          <w:b/>
          <w:color w:val="007B83"/>
          <w:sz w:val="26"/>
        </w:rPr>
        <w:t>How Ridge makes +110% in a bear market</w:t>
      </w:r>
    </w:p>
    <w:p w14:paraId="19F958C8" w14:textId="77777777" w:rsidR="0013342D" w:rsidRDefault="00000000">
      <w:pPr>
        <w:spacing w:before="20" w:after="80"/>
      </w:pPr>
      <w:r>
        <w:rPr>
          <w:rFonts w:ascii="Arial" w:hAnsi="Arial"/>
          <w:color w:val="444444"/>
          <w:sz w:val="21"/>
        </w:rPr>
        <w:t>Ridge can go short. During ETH's 27% decline over the test period, a buy-and-hold investor loses 27%. Ridge, even with only ~50% directional accuracy, captures value from the short side: when it correctly predicts down-days (roughly half the time), the short position profits. Over 171 trades, the compounding of small correct short bets outweighs the losses from incorrect calls. A bear market is actually easier for a long/short strategy than a sideways market, because the average drift is strongly negative — even a slightly-above-random short model can exploit that.</w:t>
      </w:r>
    </w:p>
    <w:p w14:paraId="0DCFB9A4" w14:textId="77777777" w:rsidR="0013342D" w:rsidRDefault="00000000">
      <w:pPr>
        <w:spacing w:before="240" w:after="40"/>
      </w:pPr>
      <w:r>
        <w:rPr>
          <w:rFonts w:ascii="Arial" w:hAnsi="Arial"/>
          <w:b/>
          <w:color w:val="007B83"/>
          <w:sz w:val="26"/>
        </w:rPr>
        <w:t>The LSTM's 13 trades problem</w:t>
      </w:r>
    </w:p>
    <w:p w14:paraId="751178E7" w14:textId="77777777" w:rsidR="0013342D" w:rsidRDefault="00000000">
      <w:pPr>
        <w:spacing w:before="20" w:after="80"/>
      </w:pPr>
      <w:r>
        <w:rPr>
          <w:rFonts w:ascii="Arial" w:hAnsi="Arial"/>
          <w:color w:val="444444"/>
          <w:sz w:val="21"/>
        </w:rPr>
        <w:t>The LSTM's near-constant predictions (driven by overfitting to near-zero returns) meant its predicted return almost never crossed zero. Only 13 trade signals were generated across the entire test period. With 45% directional accuracy and so few trades, there is no path to positive returns.</w:t>
      </w:r>
    </w:p>
    <w:p w14:paraId="3A583C31" w14:textId="77777777" w:rsidR="0013342D" w:rsidRDefault="00000000">
      <w:pPr>
        <w:spacing w:before="240" w:after="40"/>
      </w:pPr>
      <w:r>
        <w:rPr>
          <w:rFonts w:ascii="Arial" w:hAnsi="Arial"/>
          <w:b/>
          <w:color w:val="007B83"/>
          <w:sz w:val="26"/>
        </w:rPr>
        <w:t>The Sharpe ratio</w:t>
      </w:r>
    </w:p>
    <w:p w14:paraId="6609EA75" w14:textId="77777777" w:rsidR="0013342D" w:rsidRDefault="00000000">
      <w:pPr>
        <w:spacing w:before="20" w:after="80"/>
      </w:pPr>
      <w:r>
        <w:rPr>
          <w:rFonts w:ascii="Arial" w:hAnsi="Arial"/>
          <w:color w:val="444444"/>
          <w:sz w:val="21"/>
        </w:rPr>
        <w:t>The Sharpe ratio measures risk-adjusted return: (mean return - risk-free rate) / standard deviation of returns. Ridge's Sharpe of 1.04 is solid — it exceeds 1.0, which is generally considered the threshold for a 'good' strategy. The LSTM's -0.44 Sharpe confirms it is taking risk without commensurate reward.</w:t>
      </w:r>
    </w:p>
    <w:tbl>
      <w:tblPr>
        <w:tblStyle w:val="TableGrid"/>
        <w:tblW w:w="0" w:type="auto"/>
        <w:tblLook w:val="04A0" w:firstRow="1" w:lastRow="0" w:firstColumn="1" w:lastColumn="0" w:noHBand="0" w:noVBand="1"/>
      </w:tblPr>
      <w:tblGrid>
        <w:gridCol w:w="9350"/>
      </w:tblGrid>
      <w:tr w:rsidR="0013342D" w14:paraId="7EE0E2A0" w14:textId="77777777">
        <w:tc>
          <w:tcPr>
            <w:tcW w:w="9360" w:type="dxa"/>
            <w:tcBorders>
              <w:top w:val="single" w:sz="4" w:space="0" w:color="007B83"/>
              <w:left w:val="single" w:sz="4" w:space="0" w:color="007B83"/>
              <w:bottom w:val="single" w:sz="4" w:space="0" w:color="007B83"/>
              <w:right w:val="single" w:sz="4" w:space="0" w:color="007B83"/>
            </w:tcBorders>
            <w:shd w:val="clear" w:color="auto" w:fill="EAF4FB"/>
          </w:tcPr>
          <w:p w14:paraId="25746F5C" w14:textId="77777777" w:rsidR="0013342D" w:rsidRDefault="00000000">
            <w:r>
              <w:rPr>
                <w:rFonts w:ascii="Arial" w:hAnsi="Arial"/>
                <w:b/>
                <w:color w:val="007B83"/>
                <w:sz w:val="20"/>
              </w:rPr>
              <w:t xml:space="preserve">Critical Caveat: </w:t>
            </w:r>
            <w:r>
              <w:rPr>
                <w:rFonts w:ascii="Arial" w:hAnsi="Arial"/>
                <w:color w:val="444444"/>
                <w:sz w:val="20"/>
              </w:rPr>
              <w:t>Zero transaction costs and zero slippage make the +110% look better than it really is. With 171 trades at realistic 30-50 basis points per trade, the edge would be significantly reduced. This is the most important caveat to communicate in Q&amp;A.</w:t>
            </w:r>
          </w:p>
        </w:tc>
      </w:tr>
    </w:tbl>
    <w:p w14:paraId="14631BE6" w14:textId="77777777" w:rsidR="0013342D" w:rsidRDefault="0013342D"/>
    <w:p w14:paraId="3931FF20" w14:textId="77777777" w:rsidR="0013342D" w:rsidRDefault="0013342D"/>
    <w:p w14:paraId="4E154DC9" w14:textId="77777777" w:rsidR="0013342D" w:rsidRDefault="00000000">
      <w:pPr>
        <w:pBdr>
          <w:bottom w:val="single" w:sz="6" w:space="1" w:color="1A3A5C"/>
        </w:pBdr>
        <w:spacing w:before="320" w:after="80"/>
      </w:pPr>
      <w:r>
        <w:rPr>
          <w:rFonts w:ascii="Arial" w:hAnsi="Arial"/>
          <w:b/>
          <w:color w:val="1A3A5C"/>
          <w:sz w:val="32"/>
        </w:rPr>
        <w:t>13. Tying It All Together — The Big Picture</w:t>
      </w:r>
    </w:p>
    <w:p w14:paraId="2255E5B9" w14:textId="77777777" w:rsidR="0013342D" w:rsidRDefault="00000000">
      <w:pPr>
        <w:spacing w:before="240" w:after="40"/>
      </w:pPr>
      <w:r>
        <w:rPr>
          <w:rFonts w:ascii="Arial" w:hAnsi="Arial"/>
          <w:b/>
          <w:color w:val="007B83"/>
          <w:sz w:val="26"/>
        </w:rPr>
        <w:t>The hierarchy of concepts</w:t>
      </w:r>
    </w:p>
    <w:p w14:paraId="545AAB8B" w14:textId="77777777" w:rsidR="0013342D" w:rsidRDefault="00000000">
      <w:pPr>
        <w:spacing w:before="20" w:after="80"/>
      </w:pPr>
      <w:r>
        <w:rPr>
          <w:rFonts w:ascii="Arial" w:hAnsi="Arial"/>
          <w:color w:val="444444"/>
          <w:sz w:val="21"/>
        </w:rPr>
        <w:t>Every design decision in this project flows from one central reality: ETH returns are close to a random walk. Here is how that one fact cascades through every methodological choice:</w:t>
      </w:r>
    </w:p>
    <w:p w14:paraId="3573DC52" w14:textId="77777777" w:rsidR="0013342D" w:rsidRDefault="00000000">
      <w:pPr>
        <w:pStyle w:val="ListBullet"/>
        <w:spacing w:after="40"/>
      </w:pPr>
      <w:r>
        <w:rPr>
          <w:rFonts w:ascii="Arial" w:hAnsi="Arial"/>
          <w:b/>
          <w:color w:val="444444"/>
          <w:sz w:val="21"/>
        </w:rPr>
        <w:lastRenderedPageBreak/>
        <w:t xml:space="preserve">Random walk implies non-stationarity: </w:t>
      </w:r>
      <w:r>
        <w:rPr>
          <w:rFonts w:ascii="Arial" w:hAnsi="Arial"/>
          <w:color w:val="444444"/>
          <w:sz w:val="21"/>
        </w:rPr>
        <w:t>Non-stationarity → use returns not prices (otherwise model learns the trend, not the signal).</w:t>
      </w:r>
    </w:p>
    <w:p w14:paraId="38D8140D" w14:textId="77777777" w:rsidR="0013342D" w:rsidRDefault="00000000">
      <w:pPr>
        <w:pStyle w:val="ListBullet"/>
        <w:spacing w:after="40"/>
      </w:pPr>
      <w:r>
        <w:rPr>
          <w:rFonts w:ascii="Arial" w:hAnsi="Arial"/>
          <w:b/>
          <w:color w:val="444444"/>
          <w:sz w:val="21"/>
        </w:rPr>
        <w:t xml:space="preserve">Low signal-to-noise: </w:t>
      </w:r>
      <w:r>
        <w:rPr>
          <w:rFonts w:ascii="Arial" w:hAnsi="Arial"/>
          <w:color w:val="444444"/>
          <w:sz w:val="21"/>
        </w:rPr>
        <w:t>Near-zero predictable signal → regularise heavily (alpha = 99.27 shrinks almost all coefficients; the model's best guess is 'near-zero return').</w:t>
      </w:r>
    </w:p>
    <w:p w14:paraId="5485FD87" w14:textId="77777777" w:rsidR="0013342D" w:rsidRDefault="00000000">
      <w:pPr>
        <w:pStyle w:val="ListBullet"/>
        <w:spacing w:after="40"/>
      </w:pPr>
      <w:r>
        <w:rPr>
          <w:rFonts w:ascii="Arial" w:hAnsi="Arial"/>
          <w:b/>
          <w:color w:val="444444"/>
          <w:sz w:val="21"/>
        </w:rPr>
        <w:t xml:space="preserve">Time-varying distribution: </w:t>
      </w:r>
      <w:r>
        <w:rPr>
          <w:rFonts w:ascii="Arial" w:hAnsi="Arial"/>
          <w:color w:val="444444"/>
          <w:sz w:val="21"/>
        </w:rPr>
        <w:t>No shuffling, scaler fit on train only, expanding-window evaluation — all necessary because the distribution shifts across time.</w:t>
      </w:r>
    </w:p>
    <w:p w14:paraId="335C16D6" w14:textId="77777777" w:rsidR="0013342D" w:rsidRDefault="00000000">
      <w:pPr>
        <w:pStyle w:val="ListBullet"/>
        <w:spacing w:after="40"/>
      </w:pPr>
      <w:r>
        <w:rPr>
          <w:rFonts w:ascii="Arial" w:hAnsi="Arial"/>
          <w:b/>
          <w:color w:val="444444"/>
          <w:sz w:val="21"/>
        </w:rPr>
        <w:t xml:space="preserve">LSTM overfitting: </w:t>
      </w:r>
      <w:r>
        <w:rPr>
          <w:rFonts w:ascii="Arial" w:hAnsi="Arial"/>
          <w:color w:val="444444"/>
          <w:sz w:val="21"/>
        </w:rPr>
        <w:t>The model has too many parameters for the signal available in 2,100 noisy samples. Dropout and early stopping help but cannot fully compensate.</w:t>
      </w:r>
    </w:p>
    <w:p w14:paraId="6EE4CDB5" w14:textId="77777777" w:rsidR="0013342D" w:rsidRDefault="00000000">
      <w:pPr>
        <w:pStyle w:val="ListBullet"/>
        <w:spacing w:after="40"/>
      </w:pPr>
      <w:r>
        <w:rPr>
          <w:rFonts w:ascii="Arial" w:hAnsi="Arial"/>
          <w:b/>
          <w:color w:val="444444"/>
          <w:sz w:val="21"/>
        </w:rPr>
        <w:t xml:space="preserve">Efficient market: </w:t>
      </w:r>
      <w:r>
        <w:rPr>
          <w:rFonts w:ascii="Arial" w:hAnsi="Arial"/>
          <w:color w:val="444444"/>
          <w:sz w:val="21"/>
        </w:rPr>
        <w:t>All models fail to beat 55% directional accuracy — consistent with EMH at the daily scale using only OHLCV data.</w:t>
      </w:r>
    </w:p>
    <w:p w14:paraId="5AB47AE9" w14:textId="77777777" w:rsidR="0013342D" w:rsidRDefault="00000000">
      <w:pPr>
        <w:spacing w:before="240" w:after="40"/>
      </w:pPr>
      <w:r>
        <w:rPr>
          <w:rFonts w:ascii="Arial" w:hAnsi="Arial"/>
          <w:b/>
          <w:color w:val="007B83"/>
          <w:sz w:val="26"/>
        </w:rPr>
        <w:t>What would a v10 look like?</w:t>
      </w:r>
    </w:p>
    <w:p w14:paraId="58DC1489" w14:textId="77777777" w:rsidR="0013342D" w:rsidRDefault="00000000">
      <w:pPr>
        <w:spacing w:before="20" w:after="80"/>
      </w:pPr>
      <w:r>
        <w:rPr>
          <w:rFonts w:ascii="Arial" w:hAnsi="Arial"/>
          <w:color w:val="444444"/>
          <w:sz w:val="21"/>
        </w:rPr>
        <w:t>The project document lists several directions for improvement. From a course perspective, each maps to a specific lecture concept:</w:t>
      </w:r>
    </w:p>
    <w:p w14:paraId="0E0CA816" w14:textId="77777777" w:rsidR="0013342D" w:rsidRDefault="00000000">
      <w:pPr>
        <w:pStyle w:val="ListBullet"/>
        <w:spacing w:after="40"/>
      </w:pPr>
      <w:r>
        <w:rPr>
          <w:rFonts w:ascii="Arial" w:hAnsi="Arial"/>
          <w:b/>
          <w:color w:val="444444"/>
          <w:sz w:val="21"/>
        </w:rPr>
        <w:t xml:space="preserve">External features — </w:t>
      </w:r>
      <w:r>
        <w:rPr>
          <w:rFonts w:ascii="Arial" w:hAnsi="Arial"/>
          <w:color w:val="444444"/>
          <w:sz w:val="21"/>
        </w:rPr>
        <w:t>Add news sentiment or on-chain data → multimodal feature engineering, handling non-OHLCV inputs.</w:t>
      </w:r>
    </w:p>
    <w:p w14:paraId="1698FF14" w14:textId="77777777" w:rsidR="0013342D" w:rsidRDefault="00000000">
      <w:pPr>
        <w:pStyle w:val="ListBullet"/>
        <w:spacing w:after="40"/>
      </w:pPr>
      <w:r>
        <w:rPr>
          <w:rFonts w:ascii="Arial" w:hAnsi="Arial"/>
          <w:b/>
          <w:color w:val="444444"/>
          <w:sz w:val="21"/>
        </w:rPr>
        <w:t xml:space="preserve">Ensemble methods — </w:t>
      </w:r>
      <w:r>
        <w:rPr>
          <w:rFonts w:ascii="Arial" w:hAnsi="Arial"/>
          <w:color w:val="444444"/>
          <w:sz w:val="21"/>
        </w:rPr>
        <w:t>Combine Ridge and LSTM predictions (weighted ensemble) → ensemble methods, bias-variance decomposition of the ensemble.</w:t>
      </w:r>
    </w:p>
    <w:p w14:paraId="067E66C1" w14:textId="77777777" w:rsidR="0013342D" w:rsidRDefault="00000000">
      <w:pPr>
        <w:pStyle w:val="ListBullet"/>
        <w:spacing w:after="40"/>
      </w:pPr>
      <w:r>
        <w:rPr>
          <w:rFonts w:ascii="Arial" w:hAnsi="Arial"/>
          <w:b/>
          <w:color w:val="444444"/>
          <w:sz w:val="21"/>
        </w:rPr>
        <w:t xml:space="preserve">Classification head — </w:t>
      </w:r>
      <w:r>
        <w:rPr>
          <w:rFonts w:ascii="Arial" w:hAnsi="Arial"/>
          <w:color w:val="444444"/>
          <w:sz w:val="21"/>
        </w:rPr>
        <w:t>Train a classifier to predict up/down directly (log-loss objective) rather than predicting continuous return and taking the sign → framing as a classification problem, calibrated probability outputs.</w:t>
      </w:r>
    </w:p>
    <w:p w14:paraId="3A38AE57" w14:textId="77777777" w:rsidR="0013342D" w:rsidRDefault="00000000">
      <w:pPr>
        <w:pStyle w:val="ListBullet"/>
        <w:spacing w:after="40"/>
      </w:pPr>
      <w:r>
        <w:rPr>
          <w:rFonts w:ascii="Arial" w:hAnsi="Arial"/>
          <w:b/>
          <w:color w:val="444444"/>
          <w:sz w:val="21"/>
        </w:rPr>
        <w:t xml:space="preserve">Intraday data — </w:t>
      </w:r>
      <w:r>
        <w:rPr>
          <w:rFonts w:ascii="Arial" w:hAnsi="Arial"/>
          <w:color w:val="444444"/>
          <w:sz w:val="21"/>
        </w:rPr>
        <w:t>Apply to intraday data (hourly) where autocorrelation is stronger → higher-frequency time series, microstructure effects.</w:t>
      </w:r>
    </w:p>
    <w:p w14:paraId="2B850A3C" w14:textId="77777777" w:rsidR="0013342D" w:rsidRDefault="0013342D"/>
    <w:p w14:paraId="29E67657" w14:textId="77777777" w:rsidR="0013342D" w:rsidRDefault="00000000">
      <w:pPr>
        <w:pBdr>
          <w:bottom w:val="single" w:sz="6" w:space="1" w:color="1A3A5C"/>
        </w:pBdr>
        <w:spacing w:before="320" w:after="80"/>
      </w:pPr>
      <w:r>
        <w:rPr>
          <w:rFonts w:ascii="Arial" w:hAnsi="Arial"/>
          <w:b/>
          <w:color w:val="1A3A5C"/>
          <w:sz w:val="32"/>
        </w:rPr>
        <w:t>Quick Reference: Project Concept Mapping</w:t>
      </w:r>
    </w:p>
    <w:p w14:paraId="0956B995" w14:textId="77777777" w:rsidR="0013342D" w:rsidRDefault="00000000">
      <w:pPr>
        <w:spacing w:before="20" w:after="80"/>
      </w:pPr>
      <w:r>
        <w:rPr>
          <w:rFonts w:ascii="Arial" w:hAnsi="Arial"/>
          <w:color w:val="444444"/>
          <w:sz w:val="21"/>
        </w:rPr>
        <w:t>The table below maps each project phase to the core ML concept from ECPS 211 lectures.</w:t>
      </w:r>
    </w:p>
    <w:p w14:paraId="5F1A31AA" w14:textId="77777777" w:rsidR="0013342D" w:rsidRDefault="0013342D"/>
    <w:tbl>
      <w:tblPr>
        <w:tblStyle w:val="TableGrid"/>
        <w:tblW w:w="0" w:type="auto"/>
        <w:tblLook w:val="04A0" w:firstRow="1" w:lastRow="0" w:firstColumn="1" w:lastColumn="0" w:noHBand="0" w:noVBand="1"/>
      </w:tblPr>
      <w:tblGrid>
        <w:gridCol w:w="3116"/>
        <w:gridCol w:w="3117"/>
        <w:gridCol w:w="3117"/>
      </w:tblGrid>
      <w:tr w:rsidR="0013342D" w14:paraId="7447525D" w14:textId="77777777">
        <w:tc>
          <w:tcPr>
            <w:tcW w:w="3120" w:type="dxa"/>
            <w:shd w:val="clear" w:color="auto" w:fill="1A3A5C"/>
          </w:tcPr>
          <w:p w14:paraId="0AF02ADE" w14:textId="77777777" w:rsidR="0013342D" w:rsidRDefault="00000000">
            <w:r>
              <w:rPr>
                <w:rFonts w:ascii="Arial" w:hAnsi="Arial"/>
                <w:b/>
                <w:color w:val="FFFFFF"/>
                <w:sz w:val="18"/>
              </w:rPr>
              <w:t>Project Phase</w:t>
            </w:r>
          </w:p>
        </w:tc>
        <w:tc>
          <w:tcPr>
            <w:tcW w:w="3120" w:type="dxa"/>
            <w:shd w:val="clear" w:color="auto" w:fill="1A3A5C"/>
          </w:tcPr>
          <w:p w14:paraId="3AA92D89" w14:textId="77777777" w:rsidR="0013342D" w:rsidRDefault="00000000">
            <w:r>
              <w:rPr>
                <w:rFonts w:ascii="Arial" w:hAnsi="Arial"/>
                <w:b/>
                <w:color w:val="FFFFFF"/>
                <w:sz w:val="18"/>
              </w:rPr>
              <w:t>Technique Used</w:t>
            </w:r>
          </w:p>
        </w:tc>
        <w:tc>
          <w:tcPr>
            <w:tcW w:w="3120" w:type="dxa"/>
            <w:shd w:val="clear" w:color="auto" w:fill="1A3A5C"/>
          </w:tcPr>
          <w:p w14:paraId="0744C507" w14:textId="77777777" w:rsidR="0013342D" w:rsidRDefault="00000000">
            <w:r>
              <w:rPr>
                <w:rFonts w:ascii="Arial" w:hAnsi="Arial"/>
                <w:b/>
                <w:color w:val="FFFFFF"/>
                <w:sz w:val="18"/>
              </w:rPr>
              <w:t>Core Lecture Concept</w:t>
            </w:r>
          </w:p>
        </w:tc>
      </w:tr>
      <w:tr w:rsidR="0013342D" w14:paraId="52987B4B" w14:textId="77777777">
        <w:tc>
          <w:tcPr>
            <w:tcW w:w="3120" w:type="dxa"/>
            <w:shd w:val="clear" w:color="auto" w:fill="EAF4FB"/>
          </w:tcPr>
          <w:p w14:paraId="6F2FBC28" w14:textId="77777777" w:rsidR="0013342D" w:rsidRDefault="00000000">
            <w:r>
              <w:rPr>
                <w:rFonts w:ascii="Arial" w:hAnsi="Arial"/>
                <w:color w:val="444444"/>
                <w:sz w:val="18"/>
              </w:rPr>
              <w:t>Data preprocessing</w:t>
            </w:r>
          </w:p>
        </w:tc>
        <w:tc>
          <w:tcPr>
            <w:tcW w:w="3120" w:type="dxa"/>
            <w:shd w:val="clear" w:color="auto" w:fill="EAF4FB"/>
          </w:tcPr>
          <w:p w14:paraId="15524CD6" w14:textId="77777777" w:rsidR="0013342D" w:rsidRDefault="00000000">
            <w:r>
              <w:rPr>
                <w:rFonts w:ascii="Arial" w:hAnsi="Arial"/>
                <w:color w:val="444444"/>
                <w:sz w:val="18"/>
              </w:rPr>
              <w:t>Return transformation, log_volume</w:t>
            </w:r>
          </w:p>
        </w:tc>
        <w:tc>
          <w:tcPr>
            <w:tcW w:w="3120" w:type="dxa"/>
            <w:shd w:val="clear" w:color="auto" w:fill="EAF4FB"/>
          </w:tcPr>
          <w:p w14:paraId="115A5C6D" w14:textId="77777777" w:rsidR="0013342D" w:rsidRDefault="00000000">
            <w:r>
              <w:rPr>
                <w:rFonts w:ascii="Arial" w:hAnsi="Arial"/>
                <w:color w:val="444444"/>
                <w:sz w:val="18"/>
              </w:rPr>
              <w:t>Stationarity; feature normalisation</w:t>
            </w:r>
          </w:p>
        </w:tc>
      </w:tr>
      <w:tr w:rsidR="0013342D" w14:paraId="7FEC5BD5" w14:textId="77777777">
        <w:tc>
          <w:tcPr>
            <w:tcW w:w="3120" w:type="dxa"/>
            <w:shd w:val="clear" w:color="auto" w:fill="FFFFFF"/>
          </w:tcPr>
          <w:p w14:paraId="3EBEC0D7" w14:textId="77777777" w:rsidR="0013342D" w:rsidRDefault="00000000">
            <w:r>
              <w:rPr>
                <w:rFonts w:ascii="Arial" w:hAnsi="Arial"/>
                <w:color w:val="444444"/>
                <w:sz w:val="18"/>
              </w:rPr>
              <w:t>Train/val/test split</w:t>
            </w:r>
          </w:p>
        </w:tc>
        <w:tc>
          <w:tcPr>
            <w:tcW w:w="3120" w:type="dxa"/>
            <w:shd w:val="clear" w:color="auto" w:fill="FFFFFF"/>
          </w:tcPr>
          <w:p w14:paraId="36F8D4B8" w14:textId="77777777" w:rsidR="0013342D" w:rsidRDefault="00000000">
            <w:r>
              <w:rPr>
                <w:rFonts w:ascii="Arial" w:hAnsi="Arial"/>
                <w:color w:val="444444"/>
                <w:sz w:val="18"/>
              </w:rPr>
              <w:t>Chronological 70/15/15 split</w:t>
            </w:r>
          </w:p>
        </w:tc>
        <w:tc>
          <w:tcPr>
            <w:tcW w:w="3120" w:type="dxa"/>
            <w:shd w:val="clear" w:color="auto" w:fill="FFFFFF"/>
          </w:tcPr>
          <w:p w14:paraId="03055DCE" w14:textId="77777777" w:rsidR="0013342D" w:rsidRDefault="00000000">
            <w:r>
              <w:rPr>
                <w:rFonts w:ascii="Arial" w:hAnsi="Arial"/>
                <w:color w:val="444444"/>
                <w:sz w:val="18"/>
              </w:rPr>
              <w:t>Data leakage; temporal ordering</w:t>
            </w:r>
          </w:p>
        </w:tc>
      </w:tr>
      <w:tr w:rsidR="0013342D" w14:paraId="27DEEB07" w14:textId="77777777">
        <w:tc>
          <w:tcPr>
            <w:tcW w:w="3120" w:type="dxa"/>
            <w:shd w:val="clear" w:color="auto" w:fill="EAF4FB"/>
          </w:tcPr>
          <w:p w14:paraId="298BFCD5" w14:textId="77777777" w:rsidR="0013342D" w:rsidRDefault="00000000">
            <w:r>
              <w:rPr>
                <w:rFonts w:ascii="Arial" w:hAnsi="Arial"/>
                <w:color w:val="444444"/>
                <w:sz w:val="18"/>
              </w:rPr>
              <w:t>Baseline models</w:t>
            </w:r>
          </w:p>
        </w:tc>
        <w:tc>
          <w:tcPr>
            <w:tcW w:w="3120" w:type="dxa"/>
            <w:shd w:val="clear" w:color="auto" w:fill="EAF4FB"/>
          </w:tcPr>
          <w:p w14:paraId="7A6F4AEC" w14:textId="77777777" w:rsidR="0013342D" w:rsidRDefault="00000000">
            <w:r>
              <w:rPr>
                <w:rFonts w:ascii="Arial" w:hAnsi="Arial"/>
                <w:color w:val="444444"/>
                <w:sz w:val="18"/>
              </w:rPr>
              <w:t>Last value, 7-day MA</w:t>
            </w:r>
          </w:p>
        </w:tc>
        <w:tc>
          <w:tcPr>
            <w:tcW w:w="3120" w:type="dxa"/>
            <w:shd w:val="clear" w:color="auto" w:fill="EAF4FB"/>
          </w:tcPr>
          <w:p w14:paraId="1A9A2DE2" w14:textId="77777777" w:rsidR="0013342D" w:rsidRDefault="00000000">
            <w:r>
              <w:rPr>
                <w:rFonts w:ascii="Arial" w:hAnsi="Arial"/>
                <w:color w:val="444444"/>
                <w:sz w:val="18"/>
              </w:rPr>
              <w:t>Setting performance floors; EMH</w:t>
            </w:r>
          </w:p>
        </w:tc>
      </w:tr>
      <w:tr w:rsidR="0013342D" w14:paraId="01F869BE" w14:textId="77777777">
        <w:tc>
          <w:tcPr>
            <w:tcW w:w="3120" w:type="dxa"/>
            <w:shd w:val="clear" w:color="auto" w:fill="FFFFFF"/>
          </w:tcPr>
          <w:p w14:paraId="2DEB40AA" w14:textId="77777777" w:rsidR="0013342D" w:rsidRDefault="00000000">
            <w:r>
              <w:rPr>
                <w:rFonts w:ascii="Arial" w:hAnsi="Arial"/>
                <w:color w:val="444444"/>
                <w:sz w:val="18"/>
              </w:rPr>
              <w:t>Ridge Regression</w:t>
            </w:r>
          </w:p>
        </w:tc>
        <w:tc>
          <w:tcPr>
            <w:tcW w:w="3120" w:type="dxa"/>
            <w:shd w:val="clear" w:color="auto" w:fill="FFFFFF"/>
          </w:tcPr>
          <w:p w14:paraId="351C7A6C" w14:textId="77777777" w:rsidR="0013342D" w:rsidRDefault="00000000">
            <w:r>
              <w:rPr>
                <w:rFonts w:ascii="Arial" w:hAnsi="Arial"/>
                <w:color w:val="444444"/>
                <w:sz w:val="18"/>
              </w:rPr>
              <w:t>L2-regularised linear model</w:t>
            </w:r>
          </w:p>
        </w:tc>
        <w:tc>
          <w:tcPr>
            <w:tcW w:w="3120" w:type="dxa"/>
            <w:shd w:val="clear" w:color="auto" w:fill="FFFFFF"/>
          </w:tcPr>
          <w:p w14:paraId="209151B6" w14:textId="77777777" w:rsidR="0013342D" w:rsidRDefault="00000000">
            <w:r>
              <w:rPr>
                <w:rFonts w:ascii="Arial" w:hAnsi="Arial"/>
                <w:color w:val="444444"/>
                <w:sz w:val="18"/>
              </w:rPr>
              <w:t>Bias-variance tradeoff; regularisation</w:t>
            </w:r>
          </w:p>
        </w:tc>
      </w:tr>
      <w:tr w:rsidR="0013342D" w14:paraId="263D0697" w14:textId="77777777">
        <w:tc>
          <w:tcPr>
            <w:tcW w:w="3120" w:type="dxa"/>
            <w:shd w:val="clear" w:color="auto" w:fill="EAF4FB"/>
          </w:tcPr>
          <w:p w14:paraId="31FD6176" w14:textId="77777777" w:rsidR="0013342D" w:rsidRDefault="00000000">
            <w:r>
              <w:rPr>
                <w:rFonts w:ascii="Arial" w:hAnsi="Arial"/>
                <w:color w:val="444444"/>
                <w:sz w:val="18"/>
              </w:rPr>
              <w:t>Feature scaling</w:t>
            </w:r>
          </w:p>
        </w:tc>
        <w:tc>
          <w:tcPr>
            <w:tcW w:w="3120" w:type="dxa"/>
            <w:shd w:val="clear" w:color="auto" w:fill="EAF4FB"/>
          </w:tcPr>
          <w:p w14:paraId="6090B1A0" w14:textId="77777777" w:rsidR="0013342D" w:rsidRDefault="00000000">
            <w:r>
              <w:rPr>
                <w:rFonts w:ascii="Arial" w:hAnsi="Arial"/>
                <w:color w:val="444444"/>
                <w:sz w:val="18"/>
              </w:rPr>
              <w:t>StandardScaler (fit on train only)</w:t>
            </w:r>
          </w:p>
        </w:tc>
        <w:tc>
          <w:tcPr>
            <w:tcW w:w="3120" w:type="dxa"/>
            <w:shd w:val="clear" w:color="auto" w:fill="EAF4FB"/>
          </w:tcPr>
          <w:p w14:paraId="29FB3C17" w14:textId="77777777" w:rsidR="0013342D" w:rsidRDefault="00000000">
            <w:r>
              <w:rPr>
                <w:rFonts w:ascii="Arial" w:hAnsi="Arial"/>
                <w:color w:val="444444"/>
                <w:sz w:val="18"/>
              </w:rPr>
              <w:t>Scale-invariance; leakage prevention</w:t>
            </w:r>
          </w:p>
        </w:tc>
      </w:tr>
      <w:tr w:rsidR="0013342D" w14:paraId="268B79CE" w14:textId="77777777">
        <w:tc>
          <w:tcPr>
            <w:tcW w:w="3120" w:type="dxa"/>
            <w:shd w:val="clear" w:color="auto" w:fill="FFFFFF"/>
          </w:tcPr>
          <w:p w14:paraId="0E32863B" w14:textId="77777777" w:rsidR="0013342D" w:rsidRDefault="00000000">
            <w:r>
              <w:rPr>
                <w:rFonts w:ascii="Arial" w:hAnsi="Arial"/>
                <w:color w:val="444444"/>
                <w:sz w:val="18"/>
              </w:rPr>
              <w:t>Hyperparameter tuning</w:t>
            </w:r>
          </w:p>
        </w:tc>
        <w:tc>
          <w:tcPr>
            <w:tcW w:w="3120" w:type="dxa"/>
            <w:shd w:val="clear" w:color="auto" w:fill="FFFFFF"/>
          </w:tcPr>
          <w:p w14:paraId="435441D3" w14:textId="77777777" w:rsidR="0013342D" w:rsidRDefault="00000000">
            <w:r>
              <w:rPr>
                <w:rFonts w:ascii="Arial" w:hAnsi="Arial"/>
                <w:color w:val="444444"/>
                <w:sz w:val="18"/>
              </w:rPr>
              <w:t>Optuna Bayesian optimisation</w:t>
            </w:r>
          </w:p>
        </w:tc>
        <w:tc>
          <w:tcPr>
            <w:tcW w:w="3120" w:type="dxa"/>
            <w:shd w:val="clear" w:color="auto" w:fill="FFFFFF"/>
          </w:tcPr>
          <w:p w14:paraId="126E24EE" w14:textId="77777777" w:rsidR="0013342D" w:rsidRDefault="00000000">
            <w:r>
              <w:rPr>
                <w:rFonts w:ascii="Arial" w:hAnsi="Arial"/>
                <w:color w:val="444444"/>
                <w:sz w:val="18"/>
              </w:rPr>
              <w:t>Model selection; efficient search</w:t>
            </w:r>
          </w:p>
        </w:tc>
      </w:tr>
      <w:tr w:rsidR="0013342D" w14:paraId="20FC3975" w14:textId="77777777">
        <w:tc>
          <w:tcPr>
            <w:tcW w:w="3120" w:type="dxa"/>
            <w:shd w:val="clear" w:color="auto" w:fill="EAF4FB"/>
          </w:tcPr>
          <w:p w14:paraId="4FCCA848" w14:textId="77777777" w:rsidR="0013342D" w:rsidRDefault="00000000">
            <w:r>
              <w:rPr>
                <w:rFonts w:ascii="Arial" w:hAnsi="Arial"/>
                <w:color w:val="444444"/>
                <w:sz w:val="18"/>
              </w:rPr>
              <w:t>LSTM architecture</w:t>
            </w:r>
          </w:p>
        </w:tc>
        <w:tc>
          <w:tcPr>
            <w:tcW w:w="3120" w:type="dxa"/>
            <w:shd w:val="clear" w:color="auto" w:fill="EAF4FB"/>
          </w:tcPr>
          <w:p w14:paraId="7960A0D4" w14:textId="77777777" w:rsidR="0013342D" w:rsidRDefault="00000000">
            <w:r>
              <w:rPr>
                <w:rFonts w:ascii="Arial" w:hAnsi="Arial"/>
                <w:color w:val="444444"/>
                <w:sz w:val="18"/>
              </w:rPr>
              <w:t>64→32 units, Dropout, early stopping</w:t>
            </w:r>
          </w:p>
        </w:tc>
        <w:tc>
          <w:tcPr>
            <w:tcW w:w="3120" w:type="dxa"/>
            <w:shd w:val="clear" w:color="auto" w:fill="EAF4FB"/>
          </w:tcPr>
          <w:p w14:paraId="0B06DA95" w14:textId="77777777" w:rsidR="0013342D" w:rsidRDefault="00000000">
            <w:r>
              <w:rPr>
                <w:rFonts w:ascii="Arial" w:hAnsi="Arial"/>
                <w:color w:val="444444"/>
                <w:sz w:val="18"/>
              </w:rPr>
              <w:t>Ch. 10: RNNs; vanishing gradient; overfitting</w:t>
            </w:r>
          </w:p>
        </w:tc>
      </w:tr>
      <w:tr w:rsidR="0013342D" w14:paraId="050B0482" w14:textId="77777777">
        <w:tc>
          <w:tcPr>
            <w:tcW w:w="3120" w:type="dxa"/>
            <w:shd w:val="clear" w:color="auto" w:fill="FFFFFF"/>
          </w:tcPr>
          <w:p w14:paraId="0735013E" w14:textId="77777777" w:rsidR="0013342D" w:rsidRDefault="00000000">
            <w:r>
              <w:rPr>
                <w:rFonts w:ascii="Arial" w:hAnsi="Arial"/>
                <w:color w:val="444444"/>
                <w:sz w:val="18"/>
              </w:rPr>
              <w:t>Ablation study</w:t>
            </w:r>
          </w:p>
        </w:tc>
        <w:tc>
          <w:tcPr>
            <w:tcW w:w="3120" w:type="dxa"/>
            <w:shd w:val="clear" w:color="auto" w:fill="FFFFFF"/>
          </w:tcPr>
          <w:p w14:paraId="177D62CB" w14:textId="77777777" w:rsidR="0013342D" w:rsidRDefault="00000000">
            <w:r>
              <w:rPr>
                <w:rFonts w:ascii="Arial" w:hAnsi="Arial"/>
                <w:color w:val="444444"/>
                <w:sz w:val="18"/>
              </w:rPr>
              <w:t>4 feature set configurations</w:t>
            </w:r>
          </w:p>
        </w:tc>
        <w:tc>
          <w:tcPr>
            <w:tcW w:w="3120" w:type="dxa"/>
            <w:shd w:val="clear" w:color="auto" w:fill="FFFFFF"/>
          </w:tcPr>
          <w:p w14:paraId="4043D339" w14:textId="77777777" w:rsidR="0013342D" w:rsidRDefault="00000000">
            <w:r>
              <w:rPr>
                <w:rFonts w:ascii="Arial" w:hAnsi="Arial"/>
                <w:color w:val="444444"/>
                <w:sz w:val="18"/>
              </w:rPr>
              <w:t>Component contribution analysis</w:t>
            </w:r>
          </w:p>
        </w:tc>
      </w:tr>
      <w:tr w:rsidR="0013342D" w14:paraId="186EFB50" w14:textId="77777777">
        <w:tc>
          <w:tcPr>
            <w:tcW w:w="3120" w:type="dxa"/>
            <w:shd w:val="clear" w:color="auto" w:fill="EAF4FB"/>
          </w:tcPr>
          <w:p w14:paraId="12B897B1" w14:textId="77777777" w:rsidR="0013342D" w:rsidRDefault="00000000">
            <w:r>
              <w:rPr>
                <w:rFonts w:ascii="Arial" w:hAnsi="Arial"/>
                <w:color w:val="444444"/>
                <w:sz w:val="18"/>
              </w:rPr>
              <w:t>Permutation importance</w:t>
            </w:r>
          </w:p>
        </w:tc>
        <w:tc>
          <w:tcPr>
            <w:tcW w:w="3120" w:type="dxa"/>
            <w:shd w:val="clear" w:color="auto" w:fill="EAF4FB"/>
          </w:tcPr>
          <w:p w14:paraId="4EA01813" w14:textId="77777777" w:rsidR="0013342D" w:rsidRDefault="00000000">
            <w:r>
              <w:rPr>
                <w:rFonts w:ascii="Arial" w:hAnsi="Arial"/>
                <w:color w:val="444444"/>
                <w:sz w:val="18"/>
              </w:rPr>
              <w:t>Shuffle-and-measure feature relevance</w:t>
            </w:r>
          </w:p>
        </w:tc>
        <w:tc>
          <w:tcPr>
            <w:tcW w:w="3120" w:type="dxa"/>
            <w:shd w:val="clear" w:color="auto" w:fill="EAF4FB"/>
          </w:tcPr>
          <w:p w14:paraId="6EC86246" w14:textId="77777777" w:rsidR="0013342D" w:rsidRDefault="00000000">
            <w:r>
              <w:rPr>
                <w:rFonts w:ascii="Arial" w:hAnsi="Arial"/>
                <w:color w:val="444444"/>
                <w:sz w:val="18"/>
              </w:rPr>
              <w:t>Model-agnostic interpretability</w:t>
            </w:r>
          </w:p>
        </w:tc>
      </w:tr>
      <w:tr w:rsidR="0013342D" w14:paraId="749716AD" w14:textId="77777777">
        <w:tc>
          <w:tcPr>
            <w:tcW w:w="3120" w:type="dxa"/>
            <w:shd w:val="clear" w:color="auto" w:fill="FFFFFF"/>
          </w:tcPr>
          <w:p w14:paraId="74ABE47B" w14:textId="77777777" w:rsidR="0013342D" w:rsidRDefault="00000000">
            <w:r>
              <w:rPr>
                <w:rFonts w:ascii="Arial" w:hAnsi="Arial"/>
                <w:color w:val="444444"/>
                <w:sz w:val="18"/>
              </w:rPr>
              <w:t>PDP / ICE plots</w:t>
            </w:r>
          </w:p>
        </w:tc>
        <w:tc>
          <w:tcPr>
            <w:tcW w:w="3120" w:type="dxa"/>
            <w:shd w:val="clear" w:color="auto" w:fill="FFFFFF"/>
          </w:tcPr>
          <w:p w14:paraId="01693A46" w14:textId="77777777" w:rsidR="0013342D" w:rsidRDefault="00000000">
            <w:r>
              <w:rPr>
                <w:rFonts w:ascii="Arial" w:hAnsi="Arial"/>
                <w:color w:val="444444"/>
                <w:sz w:val="18"/>
              </w:rPr>
              <w:t>Marginal feature effects</w:t>
            </w:r>
          </w:p>
        </w:tc>
        <w:tc>
          <w:tcPr>
            <w:tcW w:w="3120" w:type="dxa"/>
            <w:shd w:val="clear" w:color="auto" w:fill="FFFFFF"/>
          </w:tcPr>
          <w:p w14:paraId="3CED3F02" w14:textId="77777777" w:rsidR="0013342D" w:rsidRDefault="00000000">
            <w:r>
              <w:rPr>
                <w:rFonts w:ascii="Arial" w:hAnsi="Arial"/>
                <w:color w:val="444444"/>
                <w:sz w:val="18"/>
              </w:rPr>
              <w:t>Interpretability; linearity of Ridge</w:t>
            </w:r>
          </w:p>
        </w:tc>
      </w:tr>
      <w:tr w:rsidR="0013342D" w14:paraId="27AB9DAD" w14:textId="77777777">
        <w:tc>
          <w:tcPr>
            <w:tcW w:w="3120" w:type="dxa"/>
            <w:shd w:val="clear" w:color="auto" w:fill="EAF4FB"/>
          </w:tcPr>
          <w:p w14:paraId="634DE62E" w14:textId="77777777" w:rsidR="0013342D" w:rsidRDefault="00000000">
            <w:r>
              <w:rPr>
                <w:rFonts w:ascii="Arial" w:hAnsi="Arial"/>
                <w:color w:val="444444"/>
                <w:sz w:val="18"/>
              </w:rPr>
              <w:t>Expanding-window eval</w:t>
            </w:r>
          </w:p>
        </w:tc>
        <w:tc>
          <w:tcPr>
            <w:tcW w:w="3120" w:type="dxa"/>
            <w:shd w:val="clear" w:color="auto" w:fill="EAF4FB"/>
          </w:tcPr>
          <w:p w14:paraId="3E844BCD" w14:textId="77777777" w:rsidR="0013342D" w:rsidRDefault="00000000">
            <w:r>
              <w:rPr>
                <w:rFonts w:ascii="Arial" w:hAnsi="Arial"/>
                <w:color w:val="444444"/>
                <w:sz w:val="18"/>
              </w:rPr>
              <w:t>Walk-forward retraining, mean ± std</w:t>
            </w:r>
          </w:p>
        </w:tc>
        <w:tc>
          <w:tcPr>
            <w:tcW w:w="3120" w:type="dxa"/>
            <w:shd w:val="clear" w:color="auto" w:fill="EAF4FB"/>
          </w:tcPr>
          <w:p w14:paraId="745CD02F" w14:textId="77777777" w:rsidR="0013342D" w:rsidRDefault="00000000">
            <w:r>
              <w:rPr>
                <w:rFonts w:ascii="Arial" w:hAnsi="Arial"/>
                <w:color w:val="444444"/>
                <w:sz w:val="18"/>
              </w:rPr>
              <w:t>Time series cross-validation</w:t>
            </w:r>
          </w:p>
        </w:tc>
      </w:tr>
    </w:tbl>
    <w:p w14:paraId="7DCCC066" w14:textId="77777777" w:rsidR="0013342D" w:rsidRDefault="0013342D"/>
    <w:p w14:paraId="32FDFEFE" w14:textId="77777777" w:rsidR="0013342D" w:rsidRDefault="00000000">
      <w:pPr>
        <w:jc w:val="center"/>
      </w:pPr>
      <w:r>
        <w:rPr>
          <w:rFonts w:ascii="Arial" w:hAnsi="Arial"/>
          <w:color w:val="AAAAAA"/>
          <w:sz w:val="16"/>
        </w:rPr>
        <w:t>Generated from ETH Price Prediction Project.docx and ECPS 211 course material — ECPS 211 Winter 2026</w:t>
      </w:r>
    </w:p>
    <w:sectPr w:rsidR="001334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006424">
    <w:abstractNumId w:val="8"/>
  </w:num>
  <w:num w:numId="2" w16cid:durableId="1086880567">
    <w:abstractNumId w:val="6"/>
  </w:num>
  <w:num w:numId="3" w16cid:durableId="1141654752">
    <w:abstractNumId w:val="5"/>
  </w:num>
  <w:num w:numId="4" w16cid:durableId="268201219">
    <w:abstractNumId w:val="4"/>
  </w:num>
  <w:num w:numId="5" w16cid:durableId="1697266143">
    <w:abstractNumId w:val="7"/>
  </w:num>
  <w:num w:numId="6" w16cid:durableId="1991598255">
    <w:abstractNumId w:val="3"/>
  </w:num>
  <w:num w:numId="7" w16cid:durableId="499007040">
    <w:abstractNumId w:val="2"/>
  </w:num>
  <w:num w:numId="8" w16cid:durableId="994141121">
    <w:abstractNumId w:val="1"/>
  </w:num>
  <w:num w:numId="9" w16cid:durableId="78389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42D"/>
    <w:rsid w:val="0015074B"/>
    <w:rsid w:val="0029639D"/>
    <w:rsid w:val="00326F90"/>
    <w:rsid w:val="00A63B2C"/>
    <w:rsid w:val="00AA1D8D"/>
    <w:rsid w:val="00B47730"/>
    <w:rsid w:val="00CB0664"/>
    <w:rsid w:val="00E95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02A07"/>
  <w14:defaultImageDpi w14:val="300"/>
  <w15:docId w15:val="{7EAD24D9-FB92-D949-9A7E-90E86AC8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3741</Words>
  <Characters>21327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Tae Moon</cp:lastModifiedBy>
  <cp:revision>2</cp:revision>
  <dcterms:created xsi:type="dcterms:W3CDTF">2026-03-04T23:22:00Z</dcterms:created>
  <dcterms:modified xsi:type="dcterms:W3CDTF">2026-03-04T23:22:00Z</dcterms:modified>
  <cp:category/>
</cp:coreProperties>
</file>