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4CC66" w14:textId="77777777" w:rsidR="00013296" w:rsidRDefault="00013296">
      <w:pPr>
        <w:pStyle w:val="Ttulo1"/>
        <w:jc w:val="center"/>
        <w:rPr>
          <w:b/>
          <w:sz w:val="32"/>
        </w:rPr>
      </w:pPr>
      <w:r>
        <w:rPr>
          <w:b/>
          <w:sz w:val="32"/>
        </w:rPr>
        <w:t>Priorización de casos de uso</w:t>
      </w:r>
    </w:p>
    <w:p w14:paraId="0B72493D" w14:textId="77777777" w:rsidR="00013296" w:rsidRDefault="00013296">
      <w:pPr>
        <w:jc w:val="both"/>
        <w:rPr>
          <w:rFonts w:ascii="Arial" w:hAnsi="Arial"/>
          <w:sz w:val="24"/>
          <w:lang w:val="es-MX"/>
        </w:rPr>
      </w:pPr>
    </w:p>
    <w:p w14:paraId="3A705718" w14:textId="77777777" w:rsidR="00013296" w:rsidRDefault="00013296">
      <w:pPr>
        <w:jc w:val="both"/>
        <w:rPr>
          <w:rFonts w:ascii="Arial" w:hAnsi="Arial"/>
          <w:sz w:val="24"/>
          <w:lang w:val="es-MX"/>
        </w:rPr>
      </w:pPr>
      <w:r>
        <w:rPr>
          <w:rFonts w:ascii="Arial" w:hAnsi="Arial"/>
          <w:noProof/>
          <w:sz w:val="24"/>
        </w:rPr>
        <w:pict w14:anchorId="44962F65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8.55pt;margin-top:.65pt;width:396pt;height:201.6pt;z-index:1" o:allowincell="f">
            <v:textbox>
              <w:txbxContent>
                <w:p w14:paraId="5D4D287D" w14:textId="77777777" w:rsidR="00013296" w:rsidRDefault="00013296">
                  <w:pPr>
                    <w:jc w:val="both"/>
                    <w:rPr>
                      <w:rFonts w:ascii="Arial" w:hAnsi="Arial"/>
                      <w:lang w:val="es-MX"/>
                    </w:rPr>
                  </w:pPr>
                  <w:r>
                    <w:rPr>
                      <w:rFonts w:ascii="Arial" w:hAnsi="Arial"/>
                      <w:lang w:val="es-MX"/>
                    </w:rPr>
                    <w:tab/>
                    <w:t>Para la siguiente priorización se ha evaluado cada caso de uso contra cada uno de los siguientes criterios asignándoles valor entre 0 y 3 (0 = no aplica, 1 = poco relevante, 2 = medianamente relevante y 3 = muy relevante). Para cada caso de uso se ha sumado el valor obtenido en cada criterio. La tabla se ordena de mayor a menor prioridad.</w:t>
                  </w:r>
                </w:p>
                <w:p w14:paraId="741731A0" w14:textId="77777777" w:rsidR="00013296" w:rsidRDefault="00013296">
                  <w:pPr>
                    <w:jc w:val="both"/>
                    <w:rPr>
                      <w:rFonts w:ascii="Arial" w:hAnsi="Arial"/>
                      <w:lang w:val="es-MX"/>
                    </w:rPr>
                  </w:pPr>
                </w:p>
                <w:p w14:paraId="38D7CEBF" w14:textId="77777777" w:rsidR="00013296" w:rsidRDefault="00013296">
                  <w:pPr>
                    <w:numPr>
                      <w:ilvl w:val="0"/>
                      <w:numId w:val="1"/>
                    </w:numPr>
                    <w:jc w:val="both"/>
                    <w:rPr>
                      <w:rFonts w:ascii="Arial" w:hAnsi="Arial"/>
                      <w:lang w:val="es-MX"/>
                    </w:rPr>
                  </w:pPr>
                  <w:r>
                    <w:rPr>
                      <w:rFonts w:ascii="Arial" w:hAnsi="Arial"/>
                      <w:lang w:val="es-MX"/>
                    </w:rPr>
                    <w:t>El caso de uso tiene impacto importante en el diseño del sistema, puede ser porque agrega muchas clases a la capa intermedia o porque requiere muchos servicios de persistencia (capa de base de datos).</w:t>
                  </w:r>
                </w:p>
                <w:p w14:paraId="4A234689" w14:textId="77777777" w:rsidR="00013296" w:rsidRDefault="00013296">
                  <w:pPr>
                    <w:numPr>
                      <w:ilvl w:val="0"/>
                      <w:numId w:val="1"/>
                    </w:numPr>
                    <w:jc w:val="both"/>
                    <w:rPr>
                      <w:rFonts w:ascii="Arial" w:hAnsi="Arial"/>
                      <w:lang w:val="es-MX"/>
                    </w:rPr>
                  </w:pPr>
                  <w:r>
                    <w:rPr>
                      <w:rFonts w:ascii="Arial" w:hAnsi="Arial"/>
                      <w:lang w:val="es-MX"/>
                    </w:rPr>
                    <w:t>El análisis del caso de uso facilitará profundizar en el diseño del sistema a un costo de tiempo relativamente bajo.</w:t>
                  </w:r>
                </w:p>
                <w:p w14:paraId="4655C4BE" w14:textId="77777777" w:rsidR="00013296" w:rsidRDefault="00013296">
                  <w:pPr>
                    <w:numPr>
                      <w:ilvl w:val="0"/>
                      <w:numId w:val="1"/>
                    </w:numPr>
                    <w:jc w:val="both"/>
                    <w:rPr>
                      <w:rFonts w:ascii="Arial" w:hAnsi="Arial"/>
                      <w:lang w:val="es-MX"/>
                    </w:rPr>
                  </w:pPr>
                  <w:r>
                    <w:rPr>
                      <w:rFonts w:ascii="Arial" w:hAnsi="Arial"/>
                      <w:lang w:val="es-MX"/>
                    </w:rPr>
                    <w:t>El caso de uso involucra riesgos importantes asociados con tiempos de entrega, funciones complejas, tecnología poco conocida, personal con experiencia cuya presencia en el proyecto es inestable u otros.</w:t>
                  </w:r>
                </w:p>
                <w:p w14:paraId="63699818" w14:textId="77777777" w:rsidR="00013296" w:rsidRDefault="00013296">
                  <w:pPr>
                    <w:numPr>
                      <w:ilvl w:val="0"/>
                      <w:numId w:val="1"/>
                    </w:numPr>
                    <w:jc w:val="both"/>
                    <w:rPr>
                      <w:rFonts w:ascii="Arial" w:hAnsi="Arial"/>
                      <w:lang w:val="es-MX"/>
                    </w:rPr>
                  </w:pPr>
                  <w:r>
                    <w:rPr>
                      <w:rFonts w:ascii="Arial" w:hAnsi="Arial"/>
                      <w:lang w:val="es-MX"/>
                    </w:rPr>
                    <w:t>El caso de uso representa un proceso muy importante del negocio.</w:t>
                  </w:r>
                </w:p>
                <w:p w14:paraId="64FCC036" w14:textId="77777777" w:rsidR="00013296" w:rsidRDefault="00013296">
                  <w:pPr>
                    <w:numPr>
                      <w:ilvl w:val="0"/>
                      <w:numId w:val="1"/>
                    </w:numPr>
                    <w:jc w:val="both"/>
                    <w:rPr>
                      <w:rFonts w:ascii="Arial" w:hAnsi="Arial"/>
                      <w:lang w:val="es-MX"/>
                    </w:rPr>
                  </w:pPr>
                  <w:r>
                    <w:rPr>
                      <w:rFonts w:ascii="Arial" w:hAnsi="Arial"/>
                      <w:lang w:val="es-MX"/>
                    </w:rPr>
                    <w:t>El desarrollo del caso de uso representará ahorro en costos o ganancias significativas para la organización usuaria.</w:t>
                  </w:r>
                </w:p>
                <w:p w14:paraId="4F66BC3F" w14:textId="77777777" w:rsidR="00013296" w:rsidRDefault="00013296"/>
              </w:txbxContent>
            </v:textbox>
          </v:shape>
        </w:pict>
      </w:r>
    </w:p>
    <w:p w14:paraId="02C9F476" w14:textId="77777777" w:rsidR="00013296" w:rsidRDefault="00013296">
      <w:pPr>
        <w:jc w:val="both"/>
        <w:rPr>
          <w:rFonts w:ascii="Arial" w:hAnsi="Arial"/>
          <w:sz w:val="24"/>
          <w:lang w:val="es-MX"/>
        </w:rPr>
      </w:pPr>
    </w:p>
    <w:p w14:paraId="18B403F3" w14:textId="77777777" w:rsidR="00013296" w:rsidRDefault="00013296">
      <w:pPr>
        <w:jc w:val="both"/>
        <w:rPr>
          <w:rFonts w:ascii="Arial" w:hAnsi="Arial"/>
          <w:sz w:val="24"/>
          <w:lang w:val="es-MX"/>
        </w:rPr>
      </w:pPr>
    </w:p>
    <w:p w14:paraId="4D0833C8" w14:textId="77777777" w:rsidR="00013296" w:rsidRDefault="00013296">
      <w:pPr>
        <w:jc w:val="both"/>
        <w:rPr>
          <w:rFonts w:ascii="Arial" w:hAnsi="Arial"/>
          <w:sz w:val="24"/>
          <w:lang w:val="es-MX"/>
        </w:rPr>
      </w:pPr>
    </w:p>
    <w:p w14:paraId="4EB75A78" w14:textId="77777777" w:rsidR="00013296" w:rsidRDefault="00013296">
      <w:pPr>
        <w:jc w:val="both"/>
        <w:rPr>
          <w:rFonts w:ascii="Arial" w:hAnsi="Arial"/>
          <w:sz w:val="24"/>
          <w:lang w:val="es-MX"/>
        </w:rPr>
      </w:pPr>
    </w:p>
    <w:p w14:paraId="6B168D20" w14:textId="77777777" w:rsidR="00013296" w:rsidRDefault="00013296">
      <w:pPr>
        <w:jc w:val="both"/>
        <w:rPr>
          <w:rFonts w:ascii="Arial" w:hAnsi="Arial"/>
          <w:sz w:val="24"/>
          <w:lang w:val="es-MX"/>
        </w:rPr>
      </w:pPr>
    </w:p>
    <w:p w14:paraId="5B30F52A" w14:textId="77777777" w:rsidR="00013296" w:rsidRDefault="00013296">
      <w:pPr>
        <w:jc w:val="both"/>
        <w:rPr>
          <w:rFonts w:ascii="Arial" w:hAnsi="Arial"/>
          <w:sz w:val="24"/>
          <w:lang w:val="es-MX"/>
        </w:rPr>
      </w:pPr>
    </w:p>
    <w:p w14:paraId="003A45DF" w14:textId="77777777" w:rsidR="00013296" w:rsidRDefault="00013296">
      <w:pPr>
        <w:jc w:val="both"/>
        <w:rPr>
          <w:rFonts w:ascii="Arial" w:hAnsi="Arial"/>
          <w:sz w:val="24"/>
          <w:lang w:val="es-MX"/>
        </w:rPr>
      </w:pPr>
    </w:p>
    <w:p w14:paraId="569727EB" w14:textId="77777777" w:rsidR="00013296" w:rsidRDefault="00013296">
      <w:pPr>
        <w:jc w:val="both"/>
        <w:rPr>
          <w:rFonts w:ascii="Arial" w:hAnsi="Arial"/>
          <w:sz w:val="24"/>
          <w:lang w:val="es-MX"/>
        </w:rPr>
      </w:pPr>
    </w:p>
    <w:p w14:paraId="7FE34D24" w14:textId="77777777" w:rsidR="00013296" w:rsidRDefault="00013296">
      <w:pPr>
        <w:jc w:val="both"/>
        <w:rPr>
          <w:rFonts w:ascii="Arial" w:hAnsi="Arial"/>
          <w:sz w:val="24"/>
          <w:lang w:val="es-MX"/>
        </w:rPr>
      </w:pPr>
    </w:p>
    <w:p w14:paraId="4E136672" w14:textId="77777777" w:rsidR="00013296" w:rsidRDefault="00013296">
      <w:pPr>
        <w:jc w:val="both"/>
        <w:rPr>
          <w:rFonts w:ascii="Arial" w:hAnsi="Arial"/>
          <w:sz w:val="24"/>
          <w:lang w:val="es-MX"/>
        </w:rPr>
      </w:pPr>
    </w:p>
    <w:p w14:paraId="594E13BB" w14:textId="77777777" w:rsidR="00013296" w:rsidRDefault="00013296">
      <w:pPr>
        <w:jc w:val="both"/>
        <w:rPr>
          <w:rFonts w:ascii="Arial" w:hAnsi="Arial"/>
          <w:sz w:val="24"/>
          <w:lang w:val="es-MX"/>
        </w:rPr>
      </w:pPr>
    </w:p>
    <w:p w14:paraId="2357D17D" w14:textId="77777777" w:rsidR="00013296" w:rsidRDefault="00013296">
      <w:pPr>
        <w:jc w:val="both"/>
        <w:rPr>
          <w:rFonts w:ascii="Arial" w:hAnsi="Arial"/>
          <w:sz w:val="24"/>
          <w:lang w:val="es-MX"/>
        </w:rPr>
      </w:pPr>
    </w:p>
    <w:p w14:paraId="7B0C791B" w14:textId="77777777" w:rsidR="00013296" w:rsidRDefault="00013296">
      <w:pPr>
        <w:jc w:val="both"/>
        <w:rPr>
          <w:rFonts w:ascii="Arial" w:hAnsi="Arial"/>
          <w:sz w:val="24"/>
          <w:lang w:val="es-MX"/>
        </w:rPr>
      </w:pPr>
    </w:p>
    <w:p w14:paraId="288EF2B4" w14:textId="77777777" w:rsidR="00013296" w:rsidRDefault="00013296">
      <w:pPr>
        <w:jc w:val="both"/>
        <w:rPr>
          <w:rFonts w:ascii="Arial" w:hAnsi="Arial"/>
          <w:sz w:val="24"/>
          <w:lang w:val="es-MX"/>
        </w:rPr>
      </w:pPr>
    </w:p>
    <w:p w14:paraId="0F019A77" w14:textId="77777777" w:rsidR="00013296" w:rsidRDefault="00013296">
      <w:pPr>
        <w:jc w:val="both"/>
        <w:rPr>
          <w:rFonts w:ascii="Arial" w:hAnsi="Arial"/>
          <w:sz w:val="24"/>
          <w:lang w:val="es-MX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3827"/>
        <w:gridCol w:w="3470"/>
      </w:tblGrid>
      <w:tr w:rsidR="00013296" w14:paraId="5D3C2DA6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4B8F8E1D" w14:textId="77777777" w:rsidR="00013296" w:rsidRDefault="00013296">
            <w:pPr>
              <w:jc w:val="center"/>
              <w:rPr>
                <w:rFonts w:ascii="Arial" w:hAnsi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4"/>
                <w:lang w:val="es-MX"/>
              </w:rPr>
              <w:t xml:space="preserve">Prioridad </w:t>
            </w:r>
          </w:p>
        </w:tc>
        <w:tc>
          <w:tcPr>
            <w:tcW w:w="3827" w:type="dxa"/>
          </w:tcPr>
          <w:p w14:paraId="5D4BC1EE" w14:textId="77777777" w:rsidR="00013296" w:rsidRDefault="00013296">
            <w:pPr>
              <w:jc w:val="center"/>
              <w:rPr>
                <w:rFonts w:ascii="Arial" w:hAnsi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4"/>
                <w:lang w:val="es-MX"/>
              </w:rPr>
              <w:t>Nombre del caso de uso</w:t>
            </w:r>
          </w:p>
        </w:tc>
        <w:tc>
          <w:tcPr>
            <w:tcW w:w="3470" w:type="dxa"/>
          </w:tcPr>
          <w:p w14:paraId="3E5BA7AB" w14:textId="77777777" w:rsidR="00013296" w:rsidRDefault="00013296">
            <w:pPr>
              <w:jc w:val="center"/>
              <w:rPr>
                <w:rFonts w:ascii="Arial" w:hAnsi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4"/>
                <w:lang w:val="es-MX"/>
              </w:rPr>
              <w:t>Justificación</w:t>
            </w:r>
          </w:p>
        </w:tc>
      </w:tr>
      <w:tr w:rsidR="00013296" w14:paraId="1BEF0C57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68B03409" w14:textId="552C80A0" w:rsidR="00013296" w:rsidRDefault="00013296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t>A</w:t>
            </w:r>
          </w:p>
        </w:tc>
        <w:tc>
          <w:tcPr>
            <w:tcW w:w="3827" w:type="dxa"/>
          </w:tcPr>
          <w:p w14:paraId="4AC92B57" w14:textId="04C2E90F" w:rsidR="00013296" w:rsidRDefault="00201A5A" w:rsidP="00201A5A">
            <w:pPr>
              <w:rPr>
                <w:rFonts w:ascii="Arial" w:hAnsi="Arial"/>
                <w:sz w:val="24"/>
                <w:lang w:val="es-MX"/>
              </w:rPr>
            </w:pPr>
            <w:r w:rsidRPr="00201A5A">
              <w:rPr>
                <w:rFonts w:ascii="Arial" w:hAnsi="Arial"/>
                <w:sz w:val="24"/>
              </w:rPr>
              <w:t>CU-VNF-001: Registrar Ventas</w:t>
            </w:r>
          </w:p>
        </w:tc>
        <w:tc>
          <w:tcPr>
            <w:tcW w:w="3470" w:type="dxa"/>
          </w:tcPr>
          <w:p w14:paraId="22907BEE" w14:textId="073FF61E" w:rsidR="00013296" w:rsidRDefault="00201A5A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 w:rsidRPr="00201A5A">
              <w:rPr>
                <w:rFonts w:ascii="Arial" w:hAnsi="Arial"/>
                <w:sz w:val="24"/>
              </w:rPr>
              <w:t>Es el proceso central y más frecuente del negocio. Su implementación impacta directamente en ingresos, inventario, pagos y contabilidad.</w:t>
            </w:r>
          </w:p>
        </w:tc>
      </w:tr>
      <w:tr w:rsidR="00013296" w14:paraId="7DABB3AE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3CB925E5" w14:textId="10EF5E1D" w:rsidR="00013296" w:rsidRDefault="00201A5A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t>A</w:t>
            </w:r>
          </w:p>
        </w:tc>
        <w:tc>
          <w:tcPr>
            <w:tcW w:w="3827" w:type="dxa"/>
          </w:tcPr>
          <w:p w14:paraId="25EF9630" w14:textId="56888C50" w:rsidR="00013296" w:rsidRDefault="00201A5A" w:rsidP="00201A5A">
            <w:pPr>
              <w:rPr>
                <w:rFonts w:ascii="Arial" w:hAnsi="Arial"/>
                <w:sz w:val="24"/>
                <w:lang w:val="es-MX"/>
              </w:rPr>
            </w:pPr>
            <w:r w:rsidRPr="00201A5A">
              <w:rPr>
                <w:rFonts w:ascii="Arial" w:hAnsi="Arial"/>
                <w:sz w:val="24"/>
              </w:rPr>
              <w:t>CU-FIN-002: Realizar Cierre de Caja Diario</w:t>
            </w:r>
          </w:p>
        </w:tc>
        <w:tc>
          <w:tcPr>
            <w:tcW w:w="3470" w:type="dxa"/>
          </w:tcPr>
          <w:p w14:paraId="73617AAA" w14:textId="1E290D9C" w:rsidR="00013296" w:rsidRDefault="00201A5A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 w:rsidRPr="00201A5A">
              <w:rPr>
                <w:rFonts w:ascii="Arial" w:hAnsi="Arial"/>
                <w:sz w:val="24"/>
              </w:rPr>
              <w:t>Crítico para la salud financiera y la auditoría. Involucra la consolidación de todos los movimientos del día, incluyendo ventas, ingresos y egresos, lo que lo hace complejo y de alto impacto.</w:t>
            </w:r>
          </w:p>
        </w:tc>
      </w:tr>
      <w:tr w:rsidR="00013296" w14:paraId="7067F312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3F191804" w14:textId="49FA31F0" w:rsidR="00013296" w:rsidRDefault="00201A5A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t>A</w:t>
            </w:r>
          </w:p>
        </w:tc>
        <w:tc>
          <w:tcPr>
            <w:tcW w:w="3827" w:type="dxa"/>
          </w:tcPr>
          <w:p w14:paraId="40BB2A65" w14:textId="7B091381" w:rsidR="00013296" w:rsidRDefault="00201A5A" w:rsidP="00201A5A">
            <w:pPr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t>C</w:t>
            </w:r>
            <w:r w:rsidRPr="00201A5A">
              <w:rPr>
                <w:rFonts w:ascii="Arial" w:hAnsi="Arial"/>
                <w:sz w:val="24"/>
              </w:rPr>
              <w:t>U-MP-003: Gestión de Inventario en Tiempo Real y Alertas</w:t>
            </w:r>
          </w:p>
        </w:tc>
        <w:tc>
          <w:tcPr>
            <w:tcW w:w="3470" w:type="dxa"/>
          </w:tcPr>
          <w:p w14:paraId="67562F78" w14:textId="450988F1" w:rsidR="00013296" w:rsidRDefault="00201A5A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 w:rsidRPr="00201A5A">
              <w:rPr>
                <w:rFonts w:ascii="Arial" w:hAnsi="Arial"/>
                <w:sz w:val="24"/>
              </w:rPr>
              <w:t>Es una funcionalidad automática vital para evitar pérdidas y garantizar la disponibilidad de productos. Su diseño e implementación tienen un alto riesgo técnico.</w:t>
            </w:r>
          </w:p>
        </w:tc>
      </w:tr>
      <w:tr w:rsidR="00013296" w14:paraId="0E4530B8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5EE4E9A1" w14:textId="1E5A8EE5" w:rsidR="00013296" w:rsidRDefault="00201A5A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t>A</w:t>
            </w:r>
          </w:p>
        </w:tc>
        <w:tc>
          <w:tcPr>
            <w:tcW w:w="3827" w:type="dxa"/>
          </w:tcPr>
          <w:p w14:paraId="0EE3BB81" w14:textId="5DC5D406" w:rsidR="00013296" w:rsidRDefault="00201A5A" w:rsidP="00201A5A">
            <w:pPr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</w:rPr>
              <w:t>C</w:t>
            </w:r>
            <w:r w:rsidRPr="00201A5A">
              <w:rPr>
                <w:rFonts w:ascii="Arial" w:hAnsi="Arial"/>
                <w:sz w:val="24"/>
              </w:rPr>
              <w:t>U-PROV-001:</w:t>
            </w:r>
            <w:r>
              <w:rPr>
                <w:rFonts w:ascii="Arial" w:hAnsi="Arial"/>
                <w:sz w:val="24"/>
              </w:rPr>
              <w:t xml:space="preserve"> </w:t>
            </w:r>
            <w:r w:rsidRPr="00201A5A">
              <w:rPr>
                <w:rFonts w:ascii="Arial" w:hAnsi="Arial"/>
                <w:sz w:val="24"/>
              </w:rPr>
              <w:t>Registrar</w:t>
            </w:r>
            <w:r>
              <w:rPr>
                <w:rFonts w:ascii="Arial" w:hAnsi="Arial"/>
                <w:sz w:val="24"/>
              </w:rPr>
              <w:t xml:space="preserve"> </w:t>
            </w:r>
            <w:r w:rsidRPr="00201A5A">
              <w:rPr>
                <w:rFonts w:ascii="Arial" w:hAnsi="Arial"/>
                <w:sz w:val="24"/>
              </w:rPr>
              <w:t>Proveedores y Productos Asociados</w:t>
            </w:r>
          </w:p>
        </w:tc>
        <w:tc>
          <w:tcPr>
            <w:tcW w:w="3470" w:type="dxa"/>
          </w:tcPr>
          <w:p w14:paraId="519CFA8F" w14:textId="5FB978DB" w:rsidR="00013296" w:rsidRDefault="00F322F0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 w:rsidRPr="00F322F0">
              <w:rPr>
                <w:rFonts w:ascii="Arial" w:hAnsi="Arial"/>
                <w:sz w:val="24"/>
              </w:rPr>
              <w:t>Este caso de uso es la base para la gestión de la cadena de suministro, lo que genera grandes beneficios en eficiencia y costos. Su correcta implementación es obligatoria.</w:t>
            </w:r>
          </w:p>
        </w:tc>
      </w:tr>
      <w:tr w:rsidR="00013296" w14:paraId="0EA01187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0F6AC47C" w14:textId="13289E57" w:rsidR="00013296" w:rsidRDefault="00201A5A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t>A</w:t>
            </w:r>
          </w:p>
        </w:tc>
        <w:tc>
          <w:tcPr>
            <w:tcW w:w="3827" w:type="dxa"/>
          </w:tcPr>
          <w:p w14:paraId="0E008106" w14:textId="4636596B" w:rsidR="00013296" w:rsidRDefault="00F322F0" w:rsidP="00201A5A">
            <w:pPr>
              <w:rPr>
                <w:rFonts w:ascii="Arial" w:hAnsi="Arial"/>
                <w:sz w:val="24"/>
                <w:lang w:val="es-MX"/>
              </w:rPr>
            </w:pPr>
            <w:r w:rsidRPr="00F322F0">
              <w:rPr>
                <w:rFonts w:ascii="Arial" w:hAnsi="Arial"/>
                <w:sz w:val="24"/>
              </w:rPr>
              <w:t>CU-CON-001: Gestionar Contratos de Servicios de Comida</w:t>
            </w:r>
          </w:p>
        </w:tc>
        <w:tc>
          <w:tcPr>
            <w:tcW w:w="3470" w:type="dxa"/>
          </w:tcPr>
          <w:p w14:paraId="44626A98" w14:textId="56B75DFE" w:rsidR="00013296" w:rsidRDefault="00F322F0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 w:rsidRPr="00F322F0">
              <w:rPr>
                <w:rFonts w:ascii="Arial" w:hAnsi="Arial"/>
                <w:sz w:val="24"/>
              </w:rPr>
              <w:t>Proceso clave para una línea de negocio importante. Impacta la planificación de recursos y las finanzas. La validación de capacidad lo hace un caso complejo.</w:t>
            </w:r>
          </w:p>
        </w:tc>
      </w:tr>
      <w:tr w:rsidR="00013296" w14:paraId="41871A99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2DCD2662" w14:textId="5D704CE7" w:rsidR="00013296" w:rsidRDefault="00445039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lastRenderedPageBreak/>
              <w:t>M</w:t>
            </w:r>
          </w:p>
        </w:tc>
        <w:tc>
          <w:tcPr>
            <w:tcW w:w="3827" w:type="dxa"/>
          </w:tcPr>
          <w:p w14:paraId="32465C3D" w14:textId="14710E76" w:rsidR="00013296" w:rsidRDefault="00445039" w:rsidP="00201A5A">
            <w:pPr>
              <w:rPr>
                <w:rFonts w:ascii="Arial" w:hAnsi="Arial"/>
                <w:sz w:val="24"/>
                <w:lang w:val="es-MX"/>
              </w:rPr>
            </w:pPr>
            <w:r w:rsidRPr="00445039">
              <w:rPr>
                <w:rFonts w:ascii="Arial" w:hAnsi="Arial"/>
                <w:sz w:val="24"/>
              </w:rPr>
              <w:t>CU-MP-001: Productos e Insumos</w:t>
            </w:r>
          </w:p>
        </w:tc>
        <w:tc>
          <w:tcPr>
            <w:tcW w:w="3470" w:type="dxa"/>
          </w:tcPr>
          <w:p w14:paraId="504D5372" w14:textId="19E2A152" w:rsidR="00013296" w:rsidRDefault="00445039" w:rsidP="00445039">
            <w:pPr>
              <w:rPr>
                <w:rFonts w:ascii="Arial" w:hAnsi="Arial"/>
                <w:sz w:val="24"/>
                <w:lang w:val="es-MX"/>
              </w:rPr>
            </w:pPr>
            <w:r w:rsidRPr="00445039">
              <w:rPr>
                <w:rFonts w:ascii="Arial" w:hAnsi="Arial"/>
                <w:sz w:val="24"/>
              </w:rPr>
              <w:t>Es fundamental para la operación diaria, pues permite la gestión básica del inventario y la configuración de productos. Su implementación es necesaria para muchos otros casos de uso.</w:t>
            </w:r>
          </w:p>
        </w:tc>
      </w:tr>
      <w:tr w:rsidR="00013296" w14:paraId="7AA54C09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771445C8" w14:textId="38432F1B" w:rsidR="00013296" w:rsidRDefault="00445039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t>M</w:t>
            </w:r>
          </w:p>
        </w:tc>
        <w:tc>
          <w:tcPr>
            <w:tcW w:w="3827" w:type="dxa"/>
          </w:tcPr>
          <w:p w14:paraId="5FC60091" w14:textId="23957F6A" w:rsidR="00013296" w:rsidRDefault="008F6224" w:rsidP="008F6224">
            <w:pPr>
              <w:rPr>
                <w:rFonts w:ascii="Arial" w:hAnsi="Arial"/>
                <w:sz w:val="24"/>
                <w:lang w:val="es-MX"/>
              </w:rPr>
            </w:pPr>
            <w:r w:rsidRPr="008F6224">
              <w:rPr>
                <w:rFonts w:ascii="Arial" w:hAnsi="Arial"/>
                <w:sz w:val="24"/>
              </w:rPr>
              <w:t>CU-FIN-001: Registrar Ingresos o Egresos</w:t>
            </w:r>
          </w:p>
        </w:tc>
        <w:tc>
          <w:tcPr>
            <w:tcW w:w="3470" w:type="dxa"/>
          </w:tcPr>
          <w:p w14:paraId="4A109EB4" w14:textId="0B647C99" w:rsidR="00013296" w:rsidRDefault="008F6224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 w:rsidRPr="008F6224">
              <w:rPr>
                <w:rFonts w:ascii="Arial" w:hAnsi="Arial"/>
                <w:sz w:val="24"/>
              </w:rPr>
              <w:t>Directamente relacionado con la contabilidad. Es un proceso de negocio relevante y de uso frecuente, aunque con menor complejidad que el registro de ventas.</w:t>
            </w:r>
          </w:p>
        </w:tc>
      </w:tr>
      <w:tr w:rsidR="00013296" w14:paraId="7618585F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3262DDA5" w14:textId="0472FBF3" w:rsidR="00013296" w:rsidRDefault="00445039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t>M</w:t>
            </w:r>
          </w:p>
        </w:tc>
        <w:tc>
          <w:tcPr>
            <w:tcW w:w="3827" w:type="dxa"/>
          </w:tcPr>
          <w:p w14:paraId="15DDDDD5" w14:textId="0900C956" w:rsidR="00013296" w:rsidRDefault="008F6224" w:rsidP="00201A5A">
            <w:pPr>
              <w:rPr>
                <w:rFonts w:ascii="Arial" w:hAnsi="Arial"/>
                <w:sz w:val="24"/>
                <w:lang w:val="es-MX"/>
              </w:rPr>
            </w:pPr>
            <w:r w:rsidRPr="008F6224">
              <w:rPr>
                <w:rFonts w:ascii="Arial" w:hAnsi="Arial"/>
                <w:sz w:val="24"/>
              </w:rPr>
              <w:t>CU-PER-002: Registrar Asistencia y Horas Trabajadas</w:t>
            </w:r>
          </w:p>
        </w:tc>
        <w:tc>
          <w:tcPr>
            <w:tcW w:w="3470" w:type="dxa"/>
          </w:tcPr>
          <w:p w14:paraId="7B93F484" w14:textId="03EC1E72" w:rsidR="00013296" w:rsidRDefault="008F6224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 w:rsidRPr="008F6224">
              <w:rPr>
                <w:rFonts w:ascii="Arial" w:hAnsi="Arial"/>
                <w:sz w:val="24"/>
              </w:rPr>
              <w:t>Este proceso es crítico para la gestión de personal y el cálculo de salarios. Su impacto en el negocio es medio-alto, ya que facilita un proceso administrativo esencial.</w:t>
            </w:r>
          </w:p>
        </w:tc>
      </w:tr>
      <w:tr w:rsidR="00013296" w14:paraId="527D5408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1F032E6C" w14:textId="4A384449" w:rsidR="00013296" w:rsidRDefault="00445039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t>M</w:t>
            </w:r>
          </w:p>
        </w:tc>
        <w:tc>
          <w:tcPr>
            <w:tcW w:w="3827" w:type="dxa"/>
          </w:tcPr>
          <w:p w14:paraId="5818AD17" w14:textId="32AA8DFF" w:rsidR="00013296" w:rsidRDefault="0063323C" w:rsidP="00201A5A">
            <w:pPr>
              <w:rPr>
                <w:rFonts w:ascii="Arial" w:hAnsi="Arial"/>
                <w:sz w:val="24"/>
                <w:lang w:val="es-MX"/>
              </w:rPr>
            </w:pPr>
            <w:r w:rsidRPr="0063323C">
              <w:rPr>
                <w:rFonts w:ascii="Arial" w:hAnsi="Arial"/>
                <w:sz w:val="24"/>
              </w:rPr>
              <w:t>CU-PER-003: Calcular Salario</w:t>
            </w:r>
          </w:p>
        </w:tc>
        <w:tc>
          <w:tcPr>
            <w:tcW w:w="3470" w:type="dxa"/>
          </w:tcPr>
          <w:p w14:paraId="45B52C9D" w14:textId="7FE8E9D3" w:rsidR="00013296" w:rsidRDefault="0063323C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 w:rsidRPr="0063323C">
              <w:rPr>
                <w:rFonts w:ascii="Arial" w:hAnsi="Arial"/>
                <w:sz w:val="24"/>
              </w:rPr>
              <w:t>Directamente relacionado con las finanzas y los recursos humanos. Es una función compleja que depende de la correcta implementación del registro de asistencia.</w:t>
            </w:r>
          </w:p>
        </w:tc>
      </w:tr>
      <w:tr w:rsidR="00013296" w14:paraId="66E7FC2E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2D0D9E4F" w14:textId="6BA08866" w:rsidR="00013296" w:rsidRDefault="00445039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t>M</w:t>
            </w:r>
          </w:p>
        </w:tc>
        <w:tc>
          <w:tcPr>
            <w:tcW w:w="3827" w:type="dxa"/>
          </w:tcPr>
          <w:p w14:paraId="7E7F09A6" w14:textId="257CFC3B" w:rsidR="00013296" w:rsidRDefault="00C04A28" w:rsidP="00201A5A">
            <w:pPr>
              <w:rPr>
                <w:rFonts w:ascii="Arial" w:hAnsi="Arial"/>
                <w:sz w:val="24"/>
                <w:lang w:val="es-MX"/>
              </w:rPr>
            </w:pPr>
            <w:r w:rsidRPr="00C04A28">
              <w:rPr>
                <w:rFonts w:ascii="Arial" w:hAnsi="Arial"/>
                <w:sz w:val="24"/>
              </w:rPr>
              <w:t>CU-FIN-003: Generar Reportes Financieros</w:t>
            </w:r>
          </w:p>
        </w:tc>
        <w:tc>
          <w:tcPr>
            <w:tcW w:w="3470" w:type="dxa"/>
          </w:tcPr>
          <w:p w14:paraId="6AA2140C" w14:textId="71A21BBD" w:rsidR="00013296" w:rsidRDefault="00C04A28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t>E</w:t>
            </w:r>
            <w:proofErr w:type="spellStart"/>
            <w:r w:rsidRPr="00C04A28">
              <w:rPr>
                <w:rFonts w:ascii="Arial" w:hAnsi="Arial"/>
                <w:sz w:val="24"/>
              </w:rPr>
              <w:t>ste</w:t>
            </w:r>
            <w:proofErr w:type="spellEnd"/>
            <w:r w:rsidRPr="00C04A28">
              <w:rPr>
                <w:rFonts w:ascii="Arial" w:hAnsi="Arial"/>
                <w:sz w:val="24"/>
              </w:rPr>
              <w:t xml:space="preserve"> caso de uso tiene un alto impacto en la toma de decisiones. Aunque no es una operación diaria, su correcta implementación es vital para analizar la rentabilidad.</w:t>
            </w:r>
          </w:p>
        </w:tc>
      </w:tr>
      <w:tr w:rsidR="00013296" w14:paraId="5191CFD7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6CC25929" w14:textId="3620A92F" w:rsidR="00013296" w:rsidRDefault="00C04A28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t>M</w:t>
            </w:r>
          </w:p>
        </w:tc>
        <w:tc>
          <w:tcPr>
            <w:tcW w:w="3827" w:type="dxa"/>
          </w:tcPr>
          <w:p w14:paraId="76E35BAC" w14:textId="3D5B8D5B" w:rsidR="00013296" w:rsidRDefault="00230703" w:rsidP="00201A5A">
            <w:pPr>
              <w:rPr>
                <w:rFonts w:ascii="Arial" w:hAnsi="Arial"/>
                <w:sz w:val="24"/>
                <w:lang w:val="es-MX"/>
              </w:rPr>
            </w:pPr>
            <w:r w:rsidRPr="00230703">
              <w:rPr>
                <w:rFonts w:ascii="Arial" w:hAnsi="Arial"/>
                <w:sz w:val="24"/>
              </w:rPr>
              <w:t>CU-VNF-002: Procesar Pagos</w:t>
            </w:r>
          </w:p>
        </w:tc>
        <w:tc>
          <w:tcPr>
            <w:tcW w:w="3470" w:type="dxa"/>
          </w:tcPr>
          <w:p w14:paraId="0B40D757" w14:textId="6CE1B246" w:rsidR="00013296" w:rsidRDefault="00E132CC" w:rsidP="00E132CC">
            <w:pPr>
              <w:tabs>
                <w:tab w:val="left" w:pos="2316"/>
              </w:tabs>
              <w:jc w:val="both"/>
              <w:rPr>
                <w:rFonts w:ascii="Arial" w:hAnsi="Arial"/>
                <w:sz w:val="24"/>
                <w:lang w:val="es-MX"/>
              </w:rPr>
            </w:pPr>
            <w:r w:rsidRPr="00E132CC">
              <w:rPr>
                <w:rFonts w:ascii="Arial" w:hAnsi="Arial"/>
                <w:sz w:val="24"/>
              </w:rPr>
              <w:t>Es un componente del caso de uso Registrar Ventas, por lo que su prioridad es alta, pero su alcance es limitado al proceso de pago en sí mismo.</w:t>
            </w:r>
          </w:p>
        </w:tc>
      </w:tr>
      <w:tr w:rsidR="00013296" w14:paraId="1259A042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61DF3D86" w14:textId="1E074771" w:rsidR="00013296" w:rsidRDefault="00C04A28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t>M</w:t>
            </w:r>
          </w:p>
        </w:tc>
        <w:tc>
          <w:tcPr>
            <w:tcW w:w="3827" w:type="dxa"/>
          </w:tcPr>
          <w:p w14:paraId="4C483664" w14:textId="7F26BCF2" w:rsidR="00013296" w:rsidRDefault="00E132CC" w:rsidP="00201A5A">
            <w:pPr>
              <w:rPr>
                <w:rFonts w:ascii="Arial" w:hAnsi="Arial"/>
                <w:sz w:val="24"/>
                <w:lang w:val="es-MX"/>
              </w:rPr>
            </w:pPr>
            <w:r w:rsidRPr="00E132CC">
              <w:rPr>
                <w:rFonts w:ascii="Arial" w:hAnsi="Arial"/>
                <w:sz w:val="24"/>
              </w:rPr>
              <w:t>CU-VNF-003: Emitir Recibo Físico</w:t>
            </w:r>
          </w:p>
        </w:tc>
        <w:tc>
          <w:tcPr>
            <w:tcW w:w="3470" w:type="dxa"/>
          </w:tcPr>
          <w:p w14:paraId="095B65B6" w14:textId="6AC708AF" w:rsidR="00013296" w:rsidRDefault="00E132CC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 w:rsidRPr="00E132CC">
              <w:rPr>
                <w:rFonts w:ascii="Arial" w:hAnsi="Arial"/>
                <w:sz w:val="24"/>
              </w:rPr>
              <w:t>Al igual que Procesar Pagos, es un subproceso de Registrar Ventas. Es un requisito obligatorio, pero su impacto en el diseño es moderado.</w:t>
            </w:r>
          </w:p>
        </w:tc>
      </w:tr>
      <w:tr w:rsidR="00013296" w14:paraId="7B77A3DE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1365ACBE" w14:textId="184C8BF3" w:rsidR="00013296" w:rsidRDefault="00C04A28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t>M</w:t>
            </w:r>
          </w:p>
        </w:tc>
        <w:tc>
          <w:tcPr>
            <w:tcW w:w="3827" w:type="dxa"/>
          </w:tcPr>
          <w:p w14:paraId="3EA0A14E" w14:textId="4F835E7E" w:rsidR="00013296" w:rsidRDefault="001250AC" w:rsidP="00201A5A">
            <w:pPr>
              <w:rPr>
                <w:rFonts w:ascii="Arial" w:hAnsi="Arial"/>
                <w:sz w:val="24"/>
                <w:lang w:val="es-MX"/>
              </w:rPr>
            </w:pPr>
            <w:r w:rsidRPr="001250AC">
              <w:rPr>
                <w:rFonts w:ascii="Arial" w:hAnsi="Arial"/>
                <w:sz w:val="24"/>
              </w:rPr>
              <w:t>CU-PROV-002: Consultar Historial de Compras a Proveedores</w:t>
            </w:r>
          </w:p>
        </w:tc>
        <w:tc>
          <w:tcPr>
            <w:tcW w:w="3470" w:type="dxa"/>
          </w:tcPr>
          <w:p w14:paraId="33591497" w14:textId="564F4D93" w:rsidR="00013296" w:rsidRDefault="001250AC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 w:rsidRPr="001250AC">
              <w:rPr>
                <w:rFonts w:ascii="Arial" w:hAnsi="Arial"/>
                <w:sz w:val="24"/>
              </w:rPr>
              <w:t>Útil para la auditoría y toma de decisiones, pero no es crítico para las operaciones diarias. Su implementación es relativamente sencilla.</w:t>
            </w:r>
          </w:p>
        </w:tc>
      </w:tr>
      <w:tr w:rsidR="00013296" w14:paraId="35236DEB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37D672A3" w14:textId="4BA1B135" w:rsidR="00013296" w:rsidRDefault="00C04A28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t>M</w:t>
            </w:r>
          </w:p>
        </w:tc>
        <w:tc>
          <w:tcPr>
            <w:tcW w:w="3827" w:type="dxa"/>
          </w:tcPr>
          <w:p w14:paraId="38F89BC6" w14:textId="38DB32F0" w:rsidR="00013296" w:rsidRDefault="00314E5E" w:rsidP="00201A5A">
            <w:pPr>
              <w:rPr>
                <w:rFonts w:ascii="Arial" w:hAnsi="Arial"/>
                <w:sz w:val="24"/>
                <w:lang w:val="es-MX"/>
              </w:rPr>
            </w:pPr>
            <w:r w:rsidRPr="00314E5E">
              <w:rPr>
                <w:rFonts w:ascii="Arial" w:hAnsi="Arial"/>
                <w:sz w:val="24"/>
              </w:rPr>
              <w:t>CU-CON-002: Controlar la Capacidad de Servicios de Comida</w:t>
            </w:r>
          </w:p>
        </w:tc>
        <w:tc>
          <w:tcPr>
            <w:tcW w:w="3470" w:type="dxa"/>
          </w:tcPr>
          <w:p w14:paraId="347CDC7D" w14:textId="1B910D98" w:rsidR="00013296" w:rsidRDefault="00314E5E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 w:rsidRPr="00314E5E">
              <w:rPr>
                <w:rFonts w:ascii="Arial" w:hAnsi="Arial"/>
                <w:sz w:val="24"/>
              </w:rPr>
              <w:t xml:space="preserve">Funciona como un subproceso del caso de uso Gestionar Contratos. Su prioridad se evalúa con base en la </w:t>
            </w:r>
            <w:r w:rsidRPr="00314E5E">
              <w:rPr>
                <w:rFonts w:ascii="Arial" w:hAnsi="Arial"/>
                <w:sz w:val="24"/>
              </w:rPr>
              <w:lastRenderedPageBreak/>
              <w:t>relevancia del caso de uso principal.</w:t>
            </w:r>
          </w:p>
        </w:tc>
      </w:tr>
      <w:tr w:rsidR="00C04A28" w14:paraId="42C9003F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077C9B01" w14:textId="341B409D" w:rsidR="00C04A28" w:rsidRDefault="00C04A28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lastRenderedPageBreak/>
              <w:t>B</w:t>
            </w:r>
          </w:p>
        </w:tc>
        <w:tc>
          <w:tcPr>
            <w:tcW w:w="3827" w:type="dxa"/>
          </w:tcPr>
          <w:p w14:paraId="52532923" w14:textId="1DECD2F6" w:rsidR="00C04A28" w:rsidRDefault="00932920" w:rsidP="00201A5A">
            <w:pPr>
              <w:rPr>
                <w:rFonts w:ascii="Arial" w:hAnsi="Arial"/>
                <w:sz w:val="24"/>
                <w:lang w:val="es-MX"/>
              </w:rPr>
            </w:pPr>
            <w:r w:rsidRPr="00932920">
              <w:rPr>
                <w:rFonts w:ascii="Arial" w:hAnsi="Arial"/>
                <w:sz w:val="24"/>
              </w:rPr>
              <w:t>CU-MP-002: Modificar Productos Existentes</w:t>
            </w:r>
          </w:p>
        </w:tc>
        <w:tc>
          <w:tcPr>
            <w:tcW w:w="3470" w:type="dxa"/>
          </w:tcPr>
          <w:p w14:paraId="5B5E1142" w14:textId="1484864B" w:rsidR="00C04A28" w:rsidRDefault="00932920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 w:rsidRPr="00932920">
              <w:rPr>
                <w:rFonts w:ascii="Arial" w:hAnsi="Arial"/>
                <w:sz w:val="24"/>
              </w:rPr>
              <w:t>Es una funcionalidad de mantenimiento necesaria, pero no es de uso frecuente ni afecta directamente el flujo de ventas o finanzas.</w:t>
            </w:r>
          </w:p>
        </w:tc>
      </w:tr>
      <w:tr w:rsidR="00BE555B" w14:paraId="11130933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11A76974" w14:textId="6F966A94" w:rsidR="00BE555B" w:rsidRDefault="00BE555B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t>B</w:t>
            </w:r>
          </w:p>
        </w:tc>
        <w:tc>
          <w:tcPr>
            <w:tcW w:w="3827" w:type="dxa"/>
          </w:tcPr>
          <w:p w14:paraId="5E854149" w14:textId="7BA10755" w:rsidR="00BE555B" w:rsidRPr="00932920" w:rsidRDefault="002F14AD" w:rsidP="00201A5A">
            <w:pPr>
              <w:rPr>
                <w:rFonts w:ascii="Arial" w:hAnsi="Arial"/>
                <w:sz w:val="24"/>
              </w:rPr>
            </w:pPr>
            <w:r w:rsidRPr="002F14AD">
              <w:rPr>
                <w:rFonts w:ascii="Arial" w:hAnsi="Arial"/>
                <w:sz w:val="24"/>
              </w:rPr>
              <w:t>CU-DASH-001: Ver Resumen Diario</w:t>
            </w:r>
          </w:p>
        </w:tc>
        <w:tc>
          <w:tcPr>
            <w:tcW w:w="3470" w:type="dxa"/>
          </w:tcPr>
          <w:p w14:paraId="39266590" w14:textId="271855DF" w:rsidR="00BE555B" w:rsidRPr="00932920" w:rsidRDefault="002F14AD" w:rsidP="00201A5A">
            <w:pPr>
              <w:jc w:val="both"/>
              <w:rPr>
                <w:rFonts w:ascii="Arial" w:hAnsi="Arial"/>
                <w:sz w:val="24"/>
              </w:rPr>
            </w:pPr>
            <w:r w:rsidRPr="002F14AD">
              <w:rPr>
                <w:rFonts w:ascii="Arial" w:hAnsi="Arial"/>
                <w:sz w:val="24"/>
              </w:rPr>
              <w:t>Aunque es una vista importante para el administrador, su complejidad es baja ya que solo muestra datos ya procesados.</w:t>
            </w:r>
          </w:p>
        </w:tc>
      </w:tr>
      <w:tr w:rsidR="00BE555B" w14:paraId="4541B6D0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7BE3309D" w14:textId="7883A5C6" w:rsidR="00BE555B" w:rsidRDefault="00BE555B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t>B</w:t>
            </w:r>
          </w:p>
        </w:tc>
        <w:tc>
          <w:tcPr>
            <w:tcW w:w="3827" w:type="dxa"/>
          </w:tcPr>
          <w:p w14:paraId="55CCFF41" w14:textId="6DCF7A5F" w:rsidR="00BE555B" w:rsidRPr="00932920" w:rsidRDefault="000407F8" w:rsidP="00201A5A">
            <w:pPr>
              <w:rPr>
                <w:rFonts w:ascii="Arial" w:hAnsi="Arial"/>
                <w:sz w:val="24"/>
              </w:rPr>
            </w:pPr>
            <w:r w:rsidRPr="000407F8">
              <w:rPr>
                <w:rFonts w:ascii="Arial" w:hAnsi="Arial"/>
                <w:sz w:val="24"/>
              </w:rPr>
              <w:t>CU-PER-001: Gestionar Información del Personal</w:t>
            </w:r>
          </w:p>
        </w:tc>
        <w:tc>
          <w:tcPr>
            <w:tcW w:w="3470" w:type="dxa"/>
          </w:tcPr>
          <w:p w14:paraId="34694325" w14:textId="4C94E3F0" w:rsidR="00BE555B" w:rsidRPr="00932920" w:rsidRDefault="000407F8" w:rsidP="00201A5A">
            <w:pPr>
              <w:jc w:val="both"/>
              <w:rPr>
                <w:rFonts w:ascii="Arial" w:hAnsi="Arial"/>
                <w:sz w:val="24"/>
              </w:rPr>
            </w:pPr>
            <w:r w:rsidRPr="000407F8">
              <w:rPr>
                <w:rFonts w:ascii="Arial" w:hAnsi="Arial"/>
                <w:sz w:val="24"/>
              </w:rPr>
              <w:t>Es una función de administración de datos que se utiliza con poca frecuencia y tiene un bajo impacto en la operación diaria.</w:t>
            </w:r>
          </w:p>
        </w:tc>
      </w:tr>
      <w:tr w:rsidR="00BE555B" w14:paraId="15F687EE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26E2938B" w14:textId="6D7BA06D" w:rsidR="00BE555B" w:rsidRDefault="00BE555B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t>B</w:t>
            </w:r>
          </w:p>
        </w:tc>
        <w:tc>
          <w:tcPr>
            <w:tcW w:w="3827" w:type="dxa"/>
          </w:tcPr>
          <w:p w14:paraId="5D430F7D" w14:textId="7258C0DA" w:rsidR="00BE555B" w:rsidRPr="00932920" w:rsidRDefault="00D670B7" w:rsidP="00201A5A">
            <w:pPr>
              <w:rPr>
                <w:rFonts w:ascii="Arial" w:hAnsi="Arial"/>
                <w:sz w:val="24"/>
              </w:rPr>
            </w:pPr>
            <w:r w:rsidRPr="00D670B7">
              <w:rPr>
                <w:rFonts w:ascii="Arial" w:hAnsi="Arial"/>
                <w:sz w:val="24"/>
              </w:rPr>
              <w:t>CU-REP-002: Analizar Productos Más Vendidos</w:t>
            </w:r>
          </w:p>
        </w:tc>
        <w:tc>
          <w:tcPr>
            <w:tcW w:w="3470" w:type="dxa"/>
          </w:tcPr>
          <w:p w14:paraId="70B62000" w14:textId="5CBC9442" w:rsidR="00BE555B" w:rsidRPr="00932920" w:rsidRDefault="004F6DCA" w:rsidP="00201A5A">
            <w:pPr>
              <w:jc w:val="both"/>
              <w:rPr>
                <w:rFonts w:ascii="Arial" w:hAnsi="Arial"/>
                <w:sz w:val="24"/>
              </w:rPr>
            </w:pPr>
            <w:r w:rsidRPr="004F6DCA">
              <w:rPr>
                <w:rFonts w:ascii="Arial" w:hAnsi="Arial"/>
                <w:sz w:val="24"/>
              </w:rPr>
              <w:t>Es un reporte analítico para fines estratégicos. Su desarrollo puede ser pospuesto si es necesario, ya que no afecta los procesos transaccionales del día a día.</w:t>
            </w:r>
          </w:p>
        </w:tc>
      </w:tr>
      <w:tr w:rsidR="00BE555B" w14:paraId="2BD942BE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695DC1CC" w14:textId="3AC66D69" w:rsidR="00BE555B" w:rsidRDefault="00BE555B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t>B</w:t>
            </w:r>
          </w:p>
        </w:tc>
        <w:tc>
          <w:tcPr>
            <w:tcW w:w="3827" w:type="dxa"/>
          </w:tcPr>
          <w:p w14:paraId="4CE09ED4" w14:textId="54EAD894" w:rsidR="00BE555B" w:rsidRPr="00932920" w:rsidRDefault="00EE628E" w:rsidP="00201A5A">
            <w:pPr>
              <w:rPr>
                <w:rFonts w:ascii="Arial" w:hAnsi="Arial"/>
                <w:sz w:val="24"/>
              </w:rPr>
            </w:pPr>
            <w:r w:rsidRPr="00EE628E">
              <w:rPr>
                <w:rFonts w:ascii="Arial" w:hAnsi="Arial"/>
                <w:sz w:val="24"/>
              </w:rPr>
              <w:t>CU-REP-003: Reporte de Caducidad de Insumos</w:t>
            </w:r>
          </w:p>
        </w:tc>
        <w:tc>
          <w:tcPr>
            <w:tcW w:w="3470" w:type="dxa"/>
          </w:tcPr>
          <w:p w14:paraId="6039FE2F" w14:textId="1EA145D8" w:rsidR="00BE555B" w:rsidRPr="00932920" w:rsidRDefault="007B078B" w:rsidP="00201A5A">
            <w:pPr>
              <w:jc w:val="both"/>
              <w:rPr>
                <w:rFonts w:ascii="Arial" w:hAnsi="Arial"/>
                <w:sz w:val="24"/>
              </w:rPr>
            </w:pPr>
            <w:r w:rsidRPr="007B078B">
              <w:rPr>
                <w:rFonts w:ascii="Arial" w:hAnsi="Arial"/>
                <w:sz w:val="24"/>
              </w:rPr>
              <w:t>La función de alertas automáticas (CU-MP-003) reduce la prioridad de este reporte manual, lo que lo hace menos crítico.</w:t>
            </w:r>
          </w:p>
        </w:tc>
      </w:tr>
      <w:tr w:rsidR="00BE555B" w14:paraId="2377B63A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4AF00514" w14:textId="696019B4" w:rsidR="00BE555B" w:rsidRDefault="00BE555B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t>B</w:t>
            </w:r>
          </w:p>
        </w:tc>
        <w:tc>
          <w:tcPr>
            <w:tcW w:w="3827" w:type="dxa"/>
          </w:tcPr>
          <w:p w14:paraId="74FFA3E2" w14:textId="0DF89F51" w:rsidR="00BE555B" w:rsidRPr="00932920" w:rsidRDefault="007B078B" w:rsidP="00201A5A">
            <w:pPr>
              <w:rPr>
                <w:rFonts w:ascii="Arial" w:hAnsi="Arial"/>
                <w:sz w:val="24"/>
              </w:rPr>
            </w:pPr>
            <w:r w:rsidRPr="007B078B">
              <w:rPr>
                <w:rFonts w:ascii="Arial" w:hAnsi="Arial"/>
                <w:sz w:val="24"/>
              </w:rPr>
              <w:t>CU-REP-001: Generar Reportes Financieros</w:t>
            </w:r>
          </w:p>
        </w:tc>
        <w:tc>
          <w:tcPr>
            <w:tcW w:w="3470" w:type="dxa"/>
          </w:tcPr>
          <w:p w14:paraId="0E3F0A38" w14:textId="5E3A1081" w:rsidR="00BE555B" w:rsidRPr="00932920" w:rsidRDefault="007B078B" w:rsidP="00201A5A">
            <w:pPr>
              <w:jc w:val="both"/>
              <w:rPr>
                <w:rFonts w:ascii="Arial" w:hAnsi="Arial"/>
                <w:sz w:val="24"/>
              </w:rPr>
            </w:pPr>
            <w:r w:rsidRPr="007B078B">
              <w:rPr>
                <w:rFonts w:ascii="Arial" w:hAnsi="Arial"/>
                <w:sz w:val="24"/>
              </w:rPr>
              <w:t>Similar al reporte de productos más vendidos, este caso de uso es de análisis y no de operación diaria. Es esencial, pero su desarrollo puede ser gradual.</w:t>
            </w:r>
          </w:p>
        </w:tc>
      </w:tr>
      <w:tr w:rsidR="00BE555B" w14:paraId="1B703737" w14:textId="77777777">
        <w:tblPrEx>
          <w:tblCellMar>
            <w:top w:w="0" w:type="dxa"/>
            <w:bottom w:w="0" w:type="dxa"/>
          </w:tblCellMar>
        </w:tblPrEx>
        <w:tc>
          <w:tcPr>
            <w:tcW w:w="1346" w:type="dxa"/>
          </w:tcPr>
          <w:p w14:paraId="55EE1F6E" w14:textId="26C6EFF3" w:rsidR="00BE555B" w:rsidRDefault="00BE555B" w:rsidP="00201A5A">
            <w:pPr>
              <w:jc w:val="both"/>
              <w:rPr>
                <w:rFonts w:ascii="Arial" w:hAnsi="Arial"/>
                <w:sz w:val="24"/>
                <w:lang w:val="es-MX"/>
              </w:rPr>
            </w:pPr>
            <w:r>
              <w:rPr>
                <w:rFonts w:ascii="Arial" w:hAnsi="Arial"/>
                <w:sz w:val="24"/>
                <w:lang w:val="es-MX"/>
              </w:rPr>
              <w:t>B</w:t>
            </w:r>
          </w:p>
        </w:tc>
        <w:tc>
          <w:tcPr>
            <w:tcW w:w="3827" w:type="dxa"/>
          </w:tcPr>
          <w:p w14:paraId="2B38A8FC" w14:textId="04F64BB5" w:rsidR="00BE555B" w:rsidRPr="00932920" w:rsidRDefault="007B078B" w:rsidP="00201A5A">
            <w:pPr>
              <w:rPr>
                <w:rFonts w:ascii="Arial" w:hAnsi="Arial"/>
                <w:sz w:val="24"/>
              </w:rPr>
            </w:pPr>
            <w:r w:rsidRPr="007B078B">
              <w:rPr>
                <w:rFonts w:ascii="Arial" w:hAnsi="Arial"/>
                <w:sz w:val="24"/>
              </w:rPr>
              <w:t>CU-SEG-001: Registrar Acciones Críticas</w:t>
            </w:r>
          </w:p>
        </w:tc>
        <w:tc>
          <w:tcPr>
            <w:tcW w:w="3470" w:type="dxa"/>
          </w:tcPr>
          <w:p w14:paraId="37B7A636" w14:textId="49C07875" w:rsidR="00BE555B" w:rsidRPr="00932920" w:rsidRDefault="002B55D8" w:rsidP="00201A5A">
            <w:pPr>
              <w:jc w:val="both"/>
              <w:rPr>
                <w:rFonts w:ascii="Arial" w:hAnsi="Arial"/>
                <w:sz w:val="24"/>
              </w:rPr>
            </w:pPr>
            <w:r w:rsidRPr="002B55D8">
              <w:rPr>
                <w:rFonts w:ascii="Arial" w:hAnsi="Arial"/>
                <w:sz w:val="24"/>
              </w:rPr>
              <w:t>Es una función de seguridad vital, pero su implementación es automática y no visible para el usuario, lo que reduce los riesgos de desarrollo.</w:t>
            </w:r>
          </w:p>
        </w:tc>
      </w:tr>
    </w:tbl>
    <w:p w14:paraId="2B3CA74A" w14:textId="77777777" w:rsidR="00013296" w:rsidRDefault="00013296">
      <w:pPr>
        <w:jc w:val="both"/>
        <w:rPr>
          <w:rFonts w:ascii="Arial" w:hAnsi="Arial"/>
          <w:sz w:val="24"/>
          <w:lang w:val="es-MX"/>
        </w:rPr>
      </w:pPr>
    </w:p>
    <w:p w14:paraId="50EA9055" w14:textId="77777777" w:rsidR="00013296" w:rsidRDefault="00013296">
      <w:pPr>
        <w:jc w:val="both"/>
        <w:rPr>
          <w:rFonts w:ascii="Arial" w:hAnsi="Arial"/>
          <w:sz w:val="24"/>
          <w:lang w:val="es-MX"/>
        </w:rPr>
      </w:pPr>
    </w:p>
    <w:p w14:paraId="51AFED89" w14:textId="77777777" w:rsidR="00013296" w:rsidRDefault="00013296">
      <w:pPr>
        <w:jc w:val="both"/>
        <w:rPr>
          <w:rFonts w:ascii="Arial" w:hAnsi="Arial"/>
          <w:sz w:val="24"/>
          <w:lang w:val="es-MX"/>
        </w:rPr>
      </w:pPr>
    </w:p>
    <w:p w14:paraId="653886BF" w14:textId="77777777" w:rsidR="00013296" w:rsidRDefault="00013296">
      <w:pPr>
        <w:jc w:val="both"/>
        <w:rPr>
          <w:rFonts w:ascii="Arial" w:hAnsi="Arial"/>
          <w:sz w:val="24"/>
          <w:lang w:val="es-MX"/>
        </w:rPr>
      </w:pPr>
    </w:p>
    <w:sectPr w:rsidR="000132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180C2" w14:textId="77777777" w:rsidR="00BB299F" w:rsidRDefault="00BB299F">
      <w:r>
        <w:separator/>
      </w:r>
    </w:p>
  </w:endnote>
  <w:endnote w:type="continuationSeparator" w:id="0">
    <w:p w14:paraId="406D1421" w14:textId="77777777" w:rsidR="00BB299F" w:rsidRDefault="00BB2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EF14" w14:textId="77777777" w:rsidR="00B41664" w:rsidRDefault="00B4166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AC208" w14:textId="77777777" w:rsidR="00B41664" w:rsidRDefault="00B4166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07F7E" w14:textId="77777777" w:rsidR="00B41664" w:rsidRDefault="00B416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876EA" w14:textId="77777777" w:rsidR="00BB299F" w:rsidRDefault="00BB299F">
      <w:r>
        <w:separator/>
      </w:r>
    </w:p>
  </w:footnote>
  <w:footnote w:type="continuationSeparator" w:id="0">
    <w:p w14:paraId="5682F0F1" w14:textId="77777777" w:rsidR="00BB299F" w:rsidRDefault="00BB29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80110" w14:textId="77777777" w:rsidR="00B41664" w:rsidRDefault="00B4166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F0C52" w14:textId="38F3346A" w:rsidR="00013296" w:rsidRDefault="00013296">
    <w:pPr>
      <w:pStyle w:val="Encabezado"/>
      <w:rPr>
        <w:lang w:val="es-MX"/>
      </w:rPr>
    </w:pPr>
    <w:r>
      <w:rPr>
        <w:lang w:val="es-MX"/>
      </w:rPr>
      <w:t>Sistema:</w:t>
    </w:r>
    <w:r w:rsidR="00B41664">
      <w:rPr>
        <w:lang w:val="es-MX"/>
      </w:rPr>
      <w:t xml:space="preserve"> Sistema de Gestión Interna el Bambú</w:t>
    </w:r>
    <w:r>
      <w:rPr>
        <w:lang w:val="es-MX"/>
      </w:rPr>
      <w:tab/>
    </w:r>
    <w:r>
      <w:rPr>
        <w:lang w:val="es-MX"/>
      </w:rPr>
      <w:tab/>
    </w:r>
    <w:r w:rsidR="00E26246">
      <w:rPr>
        <w:lang w:val="es-MX"/>
      </w:rPr>
      <w:fldChar w:fldCharType="begin"/>
    </w:r>
    <w:r w:rsidR="00E26246">
      <w:rPr>
        <w:lang w:val="es-MX"/>
      </w:rPr>
      <w:instrText xml:space="preserve"> DATE \@ "dd/MM/yyyy" </w:instrText>
    </w:r>
    <w:r w:rsidR="00E26246">
      <w:rPr>
        <w:lang w:val="es-MX"/>
      </w:rPr>
      <w:fldChar w:fldCharType="separate"/>
    </w:r>
    <w:r w:rsidR="00201A5A">
      <w:rPr>
        <w:noProof/>
        <w:lang w:val="es-MX"/>
      </w:rPr>
      <w:t>09/09/2025</w:t>
    </w:r>
    <w:r w:rsidR="00E26246">
      <w:rPr>
        <w:lang w:val="es-MX"/>
      </w:rPr>
      <w:fldChar w:fldCharType="end"/>
    </w:r>
  </w:p>
  <w:p w14:paraId="2B9852D3" w14:textId="33D97716" w:rsidR="00013296" w:rsidRDefault="00013296">
    <w:pPr>
      <w:pStyle w:val="Encabezado"/>
      <w:rPr>
        <w:lang w:val="es-MX"/>
      </w:rPr>
    </w:pPr>
    <w:r>
      <w:rPr>
        <w:lang w:val="es-MX"/>
      </w:rPr>
      <w:t>Elaborado por:</w:t>
    </w:r>
    <w:r w:rsidR="004F60C4">
      <w:rPr>
        <w:lang w:val="es-MX"/>
      </w:rPr>
      <w:t xml:space="preserve"> </w:t>
    </w:r>
    <w:r w:rsidR="004F60C4">
      <w:t>Isaac Herrera, Melanie Oviedo, Natalia Ortiz, Jeremy Romero, Andrea Morera</w:t>
    </w:r>
    <w:r>
      <w:rPr>
        <w:lang w:val="es-MX"/>
      </w:rPr>
      <w:tab/>
    </w:r>
    <w:r>
      <w:rPr>
        <w:lang w:val="es-MX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E26246">
      <w:rPr>
        <w:rStyle w:val="Nmerodepgina"/>
        <w:noProof/>
      </w:rPr>
      <w:t>1</w:t>
    </w:r>
    <w:r>
      <w:rPr>
        <w:rStyle w:val="Nmerodepgina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AEE61" w14:textId="77777777" w:rsidR="00B41664" w:rsidRDefault="00B416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90383"/>
    <w:multiLevelType w:val="singleLevel"/>
    <w:tmpl w:val="B58688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576481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6A2A"/>
    <w:rsid w:val="00013296"/>
    <w:rsid w:val="000407F8"/>
    <w:rsid w:val="001250AC"/>
    <w:rsid w:val="00201A5A"/>
    <w:rsid w:val="00230703"/>
    <w:rsid w:val="002B55D8"/>
    <w:rsid w:val="002F14AD"/>
    <w:rsid w:val="00314E5E"/>
    <w:rsid w:val="00445039"/>
    <w:rsid w:val="004F60C4"/>
    <w:rsid w:val="004F6DCA"/>
    <w:rsid w:val="0063323C"/>
    <w:rsid w:val="007B078B"/>
    <w:rsid w:val="008F6224"/>
    <w:rsid w:val="00932920"/>
    <w:rsid w:val="00B41664"/>
    <w:rsid w:val="00BA6A2A"/>
    <w:rsid w:val="00BB299F"/>
    <w:rsid w:val="00BE555B"/>
    <w:rsid w:val="00C04A28"/>
    <w:rsid w:val="00D13C17"/>
    <w:rsid w:val="00D670B7"/>
    <w:rsid w:val="00E132CC"/>
    <w:rsid w:val="00E26246"/>
    <w:rsid w:val="00EE628E"/>
    <w:rsid w:val="00F3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067E82EB"/>
  <w15:chartTrackingRefBased/>
  <w15:docId w15:val="{594E4F6A-FEED-4937-84F9-519D75FE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sz w:val="24"/>
      <w:lang w:val="es-MX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notapie">
    <w:name w:val="footnote text"/>
    <w:basedOn w:val="Normal"/>
    <w:semiHidden/>
  </w:style>
  <w:style w:type="character" w:styleId="Refdenotaalpie">
    <w:name w:val="footnote reference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652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Priorización de casos de uso</vt:lpstr>
    </vt:vector>
  </TitlesOfParts>
  <Company>Universidad de Costa Rica</Company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Priorización de casos de uso</dc:title>
  <dc:subject/>
  <dc:creator>Alan Calderón</dc:creator>
  <cp:keywords/>
  <cp:lastModifiedBy>Isaac Herrera</cp:lastModifiedBy>
  <cp:revision>23</cp:revision>
  <dcterms:created xsi:type="dcterms:W3CDTF">2025-09-09T08:24:00Z</dcterms:created>
  <dcterms:modified xsi:type="dcterms:W3CDTF">2025-09-09T08:31:00Z</dcterms:modified>
</cp:coreProperties>
</file>