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1119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793748" cy="670296"/>
                  <wp:effectExtent l="0" t="0" r="0" b="0"/>
                  <wp:docPr id="1073741825" name="officeArt object" descr="918f40366e9899bcc95f11923f09d8ac72728cd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918f40366e9899bcc95f11923f09d8ac72728cdd.png" descr="918f40366e9899bcc95f11923f09d8ac72728cdd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748" cy="67029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30"/>
                <w:szCs w:val="30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ГАРАНТІЙНИЙ ТАЛОН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 w:hint="default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 xml:space="preserve">№ </w:t>
            </w:r>
            <w:r>
              <w:rPr>
                <w:rFonts w:ascii="Arial" w:hAnsi="Arial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:lang w:val="en-US"/>
                <w14:textFill>
                  <w14:solidFill>
                    <w14:srgbClr w14:val="888888"/>
                  </w14:solidFill>
                </w14:textFill>
              </w:rPr>
              <w:t xml:space="preserve">_______   </w:t>
            </w:r>
            <w:r>
              <w:rPr>
                <w:rFonts w:ascii="Arial" w:hAnsi="Arial" w:hint="default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 xml:space="preserve">від  </w:t>
            </w:r>
            <w:r>
              <w:rPr>
                <w:rFonts w:ascii="Arial" w:hAnsi="Arial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:lang w:val="en-US"/>
                <w14:textFill>
                  <w14:solidFill>
                    <w14:srgbClr w14:val="888888"/>
                  </w14:solidFill>
                </w14:textFill>
              </w:rPr>
              <w:t xml:space="preserve">___ . ___ . _______ </w:t>
            </w:r>
            <w:r>
              <w:rPr>
                <w:rFonts w:ascii="Arial" w:hAnsi="Arial" w:hint="default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>р</w:t>
            </w:r>
            <w:r>
              <w:rPr>
                <w:rFonts w:ascii="Arial" w:hAnsi="Arial"/>
                <w:outline w:val="0"/>
                <w:color w:val="888888"/>
                <w:sz w:val="18"/>
                <w:szCs w:val="18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>.</w:t>
            </w:r>
          </w:p>
        </w:tc>
      </w:tr>
    </w:tbl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 w:hint="default"/>
          <w:b w:val="1"/>
          <w:bCs w:val="1"/>
          <w:outline w:val="0"/>
          <w:color w:val="002864"/>
          <w:sz w:val="20"/>
          <w:szCs w:val="20"/>
          <w:u w:color="002864"/>
          <w:rtl w:val="0"/>
          <w14:textFill>
            <w14:solidFill>
              <w14:srgbClr w14:val="002864"/>
            </w14:solidFill>
          </w14:textFill>
        </w:rPr>
        <w:t>Інформація про замовника</w:t>
      </w:r>
      <w:r>
        <w:rPr>
          <w:rFonts w:ascii="Arial" w:hAnsi="Arial"/>
          <w:b w:val="1"/>
          <w:bCs w:val="1"/>
          <w:outline w:val="0"/>
          <w:color w:val="002864"/>
          <w:sz w:val="20"/>
          <w:szCs w:val="20"/>
          <w:u w:color="002864"/>
          <w:rtl w:val="0"/>
          <w14:textFill>
            <w14:solidFill>
              <w14:srgbClr w14:val="002864"/>
            </w14:solidFill>
          </w14:textFill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7160"/>
      </w:tblGrid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22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:lang w:val="ru-RU"/>
                <w14:textFill>
                  <w14:solidFill>
                    <w14:srgbClr w14:val="002864"/>
                  </w14:solidFill>
                </w14:textFill>
              </w:rPr>
              <w:t>Замовник</w:t>
            </w: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:</w:t>
            </w:r>
          </w:p>
        </w:tc>
        <w:tc>
          <w:tcPr>
            <w:tcW w:type="dxa" w:w="7160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000000" w:sz="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200"/>
            <w:tcBorders>
              <w:top w:val="single" w:color="ffffff" w:sz="4" w:space="0" w:shadow="0" w:frame="0"/>
              <w:left w:val="single" w:color="ffffff" w:sz="8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Адреса об</w:t>
            </w: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'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єкту</w:t>
            </w: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: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ffffff" w:sz="4" w:space="0" w:shadow="0" w:frame="0"/>
              <w:bottom w:val="single" w:color="000000" w:sz="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200"/>
            <w:tcBorders>
              <w:top w:val="single" w:color="ffffff" w:sz="4" w:space="0" w:shadow="0" w:frame="0"/>
              <w:left w:val="single" w:color="ffffff" w:sz="8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Телефон</w:t>
            </w: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: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ffffff" w:sz="4" w:space="0" w:shadow="0" w:frame="0"/>
              <w:bottom w:val="single" w:color="000000" w:sz="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2200"/>
            <w:tcBorders>
              <w:top w:val="single" w:color="ffffff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Дата монтажу</w:t>
            </w: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:</w:t>
            </w:r>
          </w:p>
        </w:tc>
        <w:tc>
          <w:tcPr>
            <w:tcW w:type="dxa" w:w="7160"/>
            <w:tcBorders>
              <w:top w:val="single" w:color="000000" w:sz="4" w:space="0" w:shadow="0" w:frame="0"/>
              <w:left w:val="single" w:color="ffffff" w:sz="4" w:space="0" w:shadow="0" w:frame="0"/>
              <w:bottom w:val="single" w:color="000000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 w:hint="default"/>
          <w:b w:val="1"/>
          <w:bCs w:val="1"/>
          <w:outline w:val="0"/>
          <w:color w:val="002864"/>
          <w:sz w:val="20"/>
          <w:szCs w:val="20"/>
          <w:u w:color="002864"/>
          <w:rtl w:val="0"/>
          <w14:textFill>
            <w14:solidFill>
              <w14:srgbClr w14:val="002864"/>
            </w14:solidFill>
          </w14:textFill>
        </w:rPr>
        <w:t>Перелік обладнання з гарантійними термінами</w:t>
      </w:r>
      <w:r>
        <w:rPr>
          <w:rFonts w:ascii="Arial" w:hAnsi="Arial"/>
          <w:b w:val="1"/>
          <w:bCs w:val="1"/>
          <w:outline w:val="0"/>
          <w:color w:val="002864"/>
          <w:sz w:val="20"/>
          <w:szCs w:val="20"/>
          <w:u w:color="002864"/>
          <w:rtl w:val="0"/>
          <w14:textFill>
            <w14:solidFill>
              <w14:srgbClr w14:val="002864"/>
            </w14:solidFill>
          </w14:textFill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81"/>
        <w:gridCol w:w="2219"/>
        <w:gridCol w:w="2387"/>
        <w:gridCol w:w="974"/>
        <w:gridCol w:w="1199"/>
      </w:tblGrid>
      <w:tr>
        <w:tblPrEx>
          <w:shd w:val="clear" w:color="auto" w:fill="4f81bd"/>
        </w:tblPrEx>
        <w:trPr>
          <w:trHeight w:val="443" w:hRule="atLeast"/>
          <w:tblHeader/>
        </w:trPr>
        <w:tc>
          <w:tcPr>
            <w:tcW w:type="dxa" w:w="2581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002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Обладнання</w:t>
            </w:r>
          </w:p>
        </w:tc>
        <w:tc>
          <w:tcPr>
            <w:tcW w:type="dxa" w:w="221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002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Модель</w:t>
            </w:r>
          </w:p>
        </w:tc>
        <w:tc>
          <w:tcPr>
            <w:tcW w:type="dxa" w:w="2387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002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Серійний №</w:t>
            </w:r>
          </w:p>
        </w:tc>
        <w:tc>
          <w:tcPr>
            <w:tcW w:type="dxa" w:w="974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002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Кількість</w:t>
            </w:r>
          </w:p>
        </w:tc>
        <w:tc>
          <w:tcPr>
            <w:tcW w:type="dxa" w:w="119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002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Термін гарантії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581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11111"/>
                <w:sz w:val="18"/>
                <w:szCs w:val="18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>Сонячна панель</w:t>
            </w:r>
          </w:p>
        </w:tc>
        <w:tc>
          <w:tcPr>
            <w:tcW w:type="dxa" w:w="221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>JA Solar 540W</w:t>
            </w:r>
          </w:p>
        </w:tc>
        <w:tc>
          <w:tcPr>
            <w:tcW w:type="dxa" w:w="2387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_______________</w:t>
            </w:r>
          </w:p>
        </w:tc>
        <w:tc>
          <w:tcPr>
            <w:tcW w:type="dxa" w:w="974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 xml:space="preserve">10 </w:t>
            </w:r>
            <w:r>
              <w:rPr>
                <w:rFonts w:ascii="Arial" w:hAnsi="Arial" w:hint="default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шт</w:t>
            </w:r>
          </w:p>
        </w:tc>
        <w:tc>
          <w:tcPr>
            <w:tcW w:type="dxa" w:w="119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8"/>
                <w:szCs w:val="18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 xml:space="preserve">10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8"/>
                <w:szCs w:val="18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років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581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11111"/>
                <w:sz w:val="18"/>
                <w:szCs w:val="18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>Інвертор</w:t>
            </w:r>
          </w:p>
        </w:tc>
        <w:tc>
          <w:tcPr>
            <w:tcW w:type="dxa" w:w="221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de-DE"/>
                <w14:textFill>
                  <w14:solidFill>
                    <w14:srgbClr w14:val="111111"/>
                  </w14:solidFill>
                </w14:textFill>
              </w:rPr>
              <w:t>Huawei SUN2000-10KTL</w:t>
            </w:r>
          </w:p>
        </w:tc>
        <w:tc>
          <w:tcPr>
            <w:tcW w:type="dxa" w:w="2387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_______________</w:t>
            </w:r>
          </w:p>
        </w:tc>
        <w:tc>
          <w:tcPr>
            <w:tcW w:type="dxa" w:w="974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 xml:space="preserve">1 </w:t>
            </w:r>
            <w:r>
              <w:rPr>
                <w:rFonts w:ascii="Arial" w:hAnsi="Arial" w:hint="default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шт</w:t>
            </w:r>
          </w:p>
        </w:tc>
        <w:tc>
          <w:tcPr>
            <w:tcW w:type="dxa" w:w="119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8"/>
                <w:szCs w:val="18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 xml:space="preserve">5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8"/>
                <w:szCs w:val="18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років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581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11111"/>
                <w:sz w:val="18"/>
                <w:szCs w:val="18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>Акумуляторна батарея</w:t>
            </w:r>
          </w:p>
        </w:tc>
        <w:tc>
          <w:tcPr>
            <w:tcW w:type="dxa" w:w="221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de-DE"/>
                <w14:textFill>
                  <w14:solidFill>
                    <w14:srgbClr w14:val="111111"/>
                  </w14:solidFill>
                </w14:textFill>
              </w:rPr>
              <w:t>LiFePO4 100Ah 48V</w:t>
            </w:r>
          </w:p>
        </w:tc>
        <w:tc>
          <w:tcPr>
            <w:tcW w:type="dxa" w:w="2387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_______________</w:t>
            </w:r>
          </w:p>
        </w:tc>
        <w:tc>
          <w:tcPr>
            <w:tcW w:type="dxa" w:w="974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 xml:space="preserve">4 </w:t>
            </w:r>
            <w:r>
              <w:rPr>
                <w:rFonts w:ascii="Arial" w:hAnsi="Arial" w:hint="default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шт</w:t>
            </w:r>
          </w:p>
        </w:tc>
        <w:tc>
          <w:tcPr>
            <w:tcW w:type="dxa" w:w="119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8"/>
                <w:szCs w:val="18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 xml:space="preserve">3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8"/>
                <w:szCs w:val="18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роки</w:t>
            </w:r>
          </w:p>
        </w:tc>
      </w:tr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581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11111"/>
                <w:sz w:val="18"/>
                <w:szCs w:val="18"/>
                <w:u w:color="111111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Монтажний комплект</w:t>
            </w:r>
          </w:p>
        </w:tc>
        <w:tc>
          <w:tcPr>
            <w:tcW w:type="dxa" w:w="221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 xml:space="preserve">Профіль </w:t>
            </w: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 xml:space="preserve">+ </w:t>
            </w:r>
            <w:r>
              <w:rPr>
                <w:rFonts w:ascii="Arial" w:hAnsi="Arial" w:hint="default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>кріплення</w:t>
            </w:r>
          </w:p>
        </w:tc>
        <w:tc>
          <w:tcPr>
            <w:tcW w:type="dxa" w:w="2387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—</w:t>
            </w:r>
          </w:p>
        </w:tc>
        <w:tc>
          <w:tcPr>
            <w:tcW w:type="dxa" w:w="974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 xml:space="preserve">1 </w:t>
            </w:r>
            <w:r>
              <w:rPr>
                <w:rFonts w:ascii="Arial" w:hAnsi="Arial" w:hint="default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>к</w:t>
            </w:r>
            <w:r>
              <w:rPr>
                <w:rFonts w:ascii="Arial" w:hAnsi="Arial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Fonts w:ascii="Arial" w:hAnsi="Arial" w:hint="default"/>
                <w:outline w:val="0"/>
                <w:color w:val="111111"/>
                <w:sz w:val="17"/>
                <w:szCs w:val="17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>т</w:t>
            </w:r>
          </w:p>
        </w:tc>
        <w:tc>
          <w:tcPr>
            <w:tcW w:type="dxa" w:w="1198"/>
            <w:tcBorders>
              <w:top w:val="single" w:color="dddddd" w:sz="4" w:space="0" w:shadow="0" w:frame="0"/>
              <w:left w:val="single" w:color="dddddd" w:sz="4" w:space="0" w:shadow="0" w:frame="0"/>
              <w:bottom w:val="single" w:color="dddddd" w:sz="4" w:space="0" w:shadow="0" w:frame="0"/>
              <w:right w:val="single" w:color="dddddd" w:sz="4" w:space="0" w:shadow="0" w:frame="0"/>
            </w:tcBorders>
            <w:shd w:val="clear" w:color="auto" w:fill="fff4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8"/>
                <w:szCs w:val="18"/>
                <w:u w:color="002864"/>
                <w:shd w:val="nil" w:color="auto" w:fill="auto"/>
                <w:rtl w:val="0"/>
                <w:lang w:val="ru-RU"/>
                <w14:textFill>
                  <w14:solidFill>
                    <w14:srgbClr w14:val="002864"/>
                  </w14:solidFill>
                </w14:textFill>
              </w:rPr>
              <w:t xml:space="preserve">1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8"/>
                <w:szCs w:val="18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рік</w:t>
            </w:r>
          </w:p>
        </w:tc>
      </w:tr>
    </w:tbl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 w:hint="default"/>
          <w:b w:val="1"/>
          <w:bCs w:val="1"/>
          <w:outline w:val="0"/>
          <w:color w:val="002864"/>
          <w:sz w:val="20"/>
          <w:szCs w:val="20"/>
          <w:u w:color="002864"/>
          <w:rtl w:val="0"/>
          <w14:textFill>
            <w14:solidFill>
              <w14:srgbClr w14:val="002864"/>
            </w14:solidFill>
          </w14:textFill>
        </w:rPr>
        <w:t>Гарантійні умови</w:t>
      </w:r>
      <w:r>
        <w:rPr>
          <w:rFonts w:ascii="Arial" w:hAnsi="Arial"/>
          <w:b w:val="1"/>
          <w:bCs w:val="1"/>
          <w:outline w:val="0"/>
          <w:color w:val="002864"/>
          <w:sz w:val="20"/>
          <w:szCs w:val="20"/>
          <w:u w:color="002864"/>
          <w:rtl w:val="0"/>
          <w14:textFill>
            <w14:solidFill>
              <w14:srgbClr w14:val="002864"/>
            </w14:solidFill>
          </w14:textFill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40"/>
        <w:gridCol w:w="4720"/>
      </w:tblGrid>
      <w:tr>
        <w:tblPrEx>
          <w:shd w:val="clear" w:color="auto" w:fill="ced7e7"/>
        </w:tblPrEx>
        <w:trPr>
          <w:trHeight w:val="2547" w:hRule="atLeast"/>
        </w:trPr>
        <w:tc>
          <w:tcPr>
            <w:tcW w:type="dxa" w:w="46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b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e7d32"/>
                <w:sz w:val="19"/>
                <w:szCs w:val="19"/>
                <w:u w:color="2e7d32"/>
                <w:shd w:val="nil" w:color="auto" w:fill="auto"/>
                <w:rtl w:val="0"/>
                <w14:textFill>
                  <w14:solidFill>
                    <w14:srgbClr w14:val="2E7D32"/>
                  </w14:solidFill>
                </w14:textFill>
              </w:rPr>
              <w:t>✓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2e7d32"/>
                <w:sz w:val="19"/>
                <w:szCs w:val="19"/>
                <w:u w:color="2e7d32"/>
                <w:shd w:val="nil" w:color="auto" w:fill="auto"/>
                <w:rtl w:val="0"/>
                <w14:textFill>
                  <w14:solidFill>
                    <w14:srgbClr w14:val="2E7D32"/>
                  </w14:solidFill>
                </w14:textFill>
              </w:rPr>
              <w:t xml:space="preserve">  Гарантія покриває</w:t>
            </w:r>
            <w:r>
              <w:rPr>
                <w:rFonts w:ascii="Arial" w:hAnsi="Arial"/>
                <w:b w:val="1"/>
                <w:bCs w:val="1"/>
                <w:outline w:val="0"/>
                <w:color w:val="2e7d32"/>
                <w:sz w:val="19"/>
                <w:szCs w:val="19"/>
                <w:u w:color="2e7d32"/>
                <w:shd w:val="nil" w:color="auto" w:fill="auto"/>
                <w:rtl w:val="0"/>
                <w14:textFill>
                  <w14:solidFill>
                    <w14:srgbClr w14:val="2E7D32"/>
                  </w14:solidFill>
                </w14:textFill>
              </w:rPr>
              <w:t>: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2e7d32"/>
                <w:sz w:val="18"/>
                <w:szCs w:val="18"/>
                <w:u w:color="2e7d32"/>
                <w:shd w:val="nil" w:color="auto" w:fill="auto"/>
                <w:rtl w:val="0"/>
                <w14:textFill>
                  <w14:solidFill>
                    <w14:srgbClr w14:val="2E7D32"/>
                  </w14:solidFill>
                </w14:textFill>
              </w:rPr>
              <w:t xml:space="preserve">• 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Заводський брак матеріалів та комплектуючих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2e7d32"/>
                <w:sz w:val="18"/>
                <w:szCs w:val="18"/>
                <w:u w:color="2e7d32"/>
                <w:shd w:val="nil" w:color="auto" w:fill="auto"/>
                <w:rtl w:val="0"/>
                <w14:textFill>
                  <w14:solidFill>
                    <w14:srgbClr w14:val="2E7D32"/>
                  </w14:solidFill>
                </w14:textFill>
              </w:rPr>
              <w:t xml:space="preserve">• 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Несправності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що виникли при нормальній експлуатації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2e7d32"/>
                <w:sz w:val="18"/>
                <w:szCs w:val="18"/>
                <w:u w:color="2e7d32"/>
                <w:shd w:val="nil" w:color="auto" w:fill="auto"/>
                <w:rtl w:val="0"/>
                <w14:textFill>
                  <w14:solidFill>
                    <w14:srgbClr w14:val="2E7D32"/>
                  </w14:solidFill>
                </w14:textFill>
              </w:rPr>
              <w:t xml:space="preserve">• 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Відмова електронних компонентів без механічних пошкоджень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 w:hint="default"/>
                <w:b w:val="1"/>
                <w:bCs w:val="1"/>
                <w:outline w:val="0"/>
                <w:color w:val="2e7d32"/>
                <w:sz w:val="18"/>
                <w:szCs w:val="18"/>
                <w:u w:color="2e7d32"/>
                <w:shd w:val="nil" w:color="auto" w:fill="auto"/>
                <w:rtl w:val="0"/>
                <w14:textFill>
                  <w14:solidFill>
                    <w14:srgbClr w14:val="2E7D32"/>
                  </w14:solidFill>
                </w14:textFill>
              </w:rPr>
              <w:t xml:space="preserve">• 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Деградація потужності панелей понад норму виробника</w:t>
            </w:r>
          </w:p>
        </w:tc>
        <w:tc>
          <w:tcPr>
            <w:tcW w:type="dxa" w:w="4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c62828"/>
                <w:sz w:val="19"/>
                <w:szCs w:val="19"/>
                <w:u w:color="c62828"/>
                <w:shd w:val="nil" w:color="auto" w:fill="auto"/>
                <w:rtl w:val="0"/>
                <w14:textFill>
                  <w14:solidFill>
                    <w14:srgbClr w14:val="C62828"/>
                  </w14:solidFill>
                </w14:textFill>
              </w:rPr>
              <w:t>✗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c62828"/>
                <w:sz w:val="19"/>
                <w:szCs w:val="19"/>
                <w:u w:color="c62828"/>
                <w:shd w:val="nil" w:color="auto" w:fill="auto"/>
                <w:rtl w:val="0"/>
                <w14:textFill>
                  <w14:solidFill>
                    <w14:srgbClr w14:val="C62828"/>
                  </w14:solidFill>
                </w14:textFill>
              </w:rPr>
              <w:t xml:space="preserve">  Гарантія не покриває</w:t>
            </w:r>
            <w:r>
              <w:rPr>
                <w:rFonts w:ascii="Arial" w:hAnsi="Arial"/>
                <w:b w:val="1"/>
                <w:bCs w:val="1"/>
                <w:outline w:val="0"/>
                <w:color w:val="c62828"/>
                <w:sz w:val="19"/>
                <w:szCs w:val="19"/>
                <w:u w:color="c62828"/>
                <w:shd w:val="nil" w:color="auto" w:fill="auto"/>
                <w:rtl w:val="0"/>
                <w14:textFill>
                  <w14:solidFill>
                    <w14:srgbClr w14:val="C62828"/>
                  </w14:solidFill>
                </w14:textFill>
              </w:rPr>
              <w:t>: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c62828"/>
                <w:sz w:val="18"/>
                <w:szCs w:val="18"/>
                <w:u w:color="c62828"/>
                <w:shd w:val="nil" w:color="auto" w:fill="auto"/>
                <w:rtl w:val="0"/>
                <w14:textFill>
                  <w14:solidFill>
                    <w14:srgbClr w14:val="C62828"/>
                  </w14:solidFill>
                </w14:textFill>
              </w:rPr>
              <w:t xml:space="preserve">• 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Механічні пошкодження 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(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удари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падіння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вандалізм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)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c62828"/>
                <w:sz w:val="18"/>
                <w:szCs w:val="18"/>
                <w:u w:color="c62828"/>
                <w:shd w:val="nil" w:color="auto" w:fill="auto"/>
                <w:rtl w:val="0"/>
                <w14:textFill>
                  <w14:solidFill>
                    <w14:srgbClr w14:val="C62828"/>
                  </w14:solidFill>
                </w14:textFill>
              </w:rPr>
              <w:t xml:space="preserve">• 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Пошкодження внаслідок стихійних лих 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(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блискавка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град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повінь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)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c62828"/>
                <w:sz w:val="18"/>
                <w:szCs w:val="18"/>
                <w:u w:color="c62828"/>
                <w:shd w:val="nil" w:color="auto" w:fill="auto"/>
                <w:rtl w:val="0"/>
                <w14:textFill>
                  <w14:solidFill>
                    <w14:srgbClr w14:val="C62828"/>
                  </w14:solidFill>
                </w14:textFill>
              </w:rPr>
              <w:t xml:space="preserve">• 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Порушення правил монтажу або експлуатації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c62828"/>
                <w:sz w:val="18"/>
                <w:szCs w:val="18"/>
                <w:u w:color="c62828"/>
                <w:shd w:val="nil" w:color="auto" w:fill="auto"/>
                <w:rtl w:val="0"/>
                <w14:textFill>
                  <w14:solidFill>
                    <w14:srgbClr w14:val="C62828"/>
                  </w14:solidFill>
                </w14:textFill>
              </w:rPr>
              <w:t xml:space="preserve">• 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Самостійне втручання у конструкцію обладнання</w:t>
            </w:r>
          </w:p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 w:hint="default"/>
                <w:b w:val="1"/>
                <w:bCs w:val="1"/>
                <w:outline w:val="0"/>
                <w:color w:val="c62828"/>
                <w:sz w:val="18"/>
                <w:szCs w:val="18"/>
                <w:u w:color="c62828"/>
                <w:shd w:val="nil" w:color="auto" w:fill="auto"/>
                <w:rtl w:val="0"/>
                <w14:textFill>
                  <w14:solidFill>
                    <w14:srgbClr w14:val="C62828"/>
                  </w14:solidFill>
                </w14:textFill>
              </w:rPr>
              <w:t xml:space="preserve">• 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Природне зношення 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(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акб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роз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'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єми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кабелі</w:t>
            </w:r>
            <w:r>
              <w:rPr>
                <w:rFonts w:ascii="Arial" w:hAnsi="Arial"/>
                <w:outline w:val="0"/>
                <w:color w:val="222222"/>
                <w:sz w:val="18"/>
                <w:szCs w:val="18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)</w:t>
            </w:r>
          </w:p>
        </w:tc>
      </w:tr>
    </w:tbl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 w:hint="default"/>
          <w:b w:val="1"/>
          <w:bCs w:val="1"/>
          <w:outline w:val="0"/>
          <w:color w:val="002864"/>
          <w:sz w:val="20"/>
          <w:szCs w:val="20"/>
          <w:u w:color="002864"/>
          <w:rtl w:val="0"/>
          <w14:textFill>
            <w14:solidFill>
              <w14:srgbClr w14:val="002864"/>
            </w14:solidFill>
          </w14:textFill>
        </w:rPr>
        <w:t>Умови гарантійного обслуговування</w:t>
      </w:r>
      <w:r>
        <w:rPr>
          <w:rFonts w:ascii="Arial" w:hAnsi="Arial"/>
          <w:b w:val="1"/>
          <w:bCs w:val="1"/>
          <w:outline w:val="0"/>
          <w:color w:val="002864"/>
          <w:sz w:val="20"/>
          <w:szCs w:val="20"/>
          <w:u w:color="002864"/>
          <w:rtl w:val="0"/>
          <w14:textFill>
            <w14:solidFill>
              <w14:srgbClr w14:val="002864"/>
            </w14:solidFill>
          </w14:textFill>
        </w:rPr>
        <w:t>:</w:t>
      </w: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/>
          <w:b w:val="1"/>
          <w:bCs w:val="1"/>
          <w:outline w:val="0"/>
          <w:color w:val="ff8c46"/>
          <w:sz w:val="18"/>
          <w:szCs w:val="18"/>
          <w:u w:color="ff8c46"/>
          <w:rtl w:val="0"/>
          <w14:textFill>
            <w14:solidFill>
              <w14:srgbClr w14:val="FF8C46"/>
            </w14:solidFill>
          </w14:textFill>
        </w:rPr>
        <w:t xml:space="preserve">1. 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Гарантійне обслуговування здійснюється за умови пред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'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явлення цього талону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.</w:t>
      </w: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/>
          <w:b w:val="1"/>
          <w:bCs w:val="1"/>
          <w:outline w:val="0"/>
          <w:color w:val="ff8c46"/>
          <w:sz w:val="18"/>
          <w:szCs w:val="18"/>
          <w:u w:color="ff8c46"/>
          <w:rtl w:val="0"/>
          <w14:textFill>
            <w14:solidFill>
              <w14:srgbClr w14:val="FF8C46"/>
            </w14:solidFill>
          </w14:textFill>
        </w:rPr>
        <w:t xml:space="preserve">2. 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Гарантія починається з дати монтажу обладнання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 xml:space="preserve"> або продажу</w:t>
      </w: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/>
          <w:b w:val="1"/>
          <w:bCs w:val="1"/>
          <w:outline w:val="0"/>
          <w:color w:val="ff8c46"/>
          <w:sz w:val="18"/>
          <w:szCs w:val="18"/>
          <w:u w:color="ff8c46"/>
          <w:rtl w:val="0"/>
          <w14:textFill>
            <w14:solidFill>
              <w14:srgbClr w14:val="FF8C46"/>
            </w14:solidFill>
          </w14:textFill>
        </w:rPr>
        <w:t xml:space="preserve">3. 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 xml:space="preserve">У разі гарантійного випадку звертайтесь до 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Solar Service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:lang w:val="ru-RU"/>
          <w14:textFill>
            <w14:solidFill>
              <w14:srgbClr w14:val="222222"/>
            </w14:solidFill>
          </w14:textFill>
        </w:rPr>
        <w:t xml:space="preserve">протягом 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 xml:space="preserve">30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днів після виявлення несправності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.</w:t>
      </w: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/>
          <w:b w:val="1"/>
          <w:bCs w:val="1"/>
          <w:outline w:val="0"/>
          <w:color w:val="ff8c46"/>
          <w:sz w:val="18"/>
          <w:szCs w:val="18"/>
          <w:u w:color="ff8c46"/>
          <w:rtl w:val="0"/>
          <w14:textFill>
            <w14:solidFill>
              <w14:srgbClr w14:val="FF8C46"/>
            </w14:solidFill>
          </w14:textFill>
        </w:rPr>
        <w:t xml:space="preserve">4. 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 xml:space="preserve">Виїзд майстра для діагностики здійснюється протягом 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 xml:space="preserve">3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робочих днів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.</w:t>
      </w: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/>
          <w:b w:val="1"/>
          <w:bCs w:val="1"/>
          <w:outline w:val="0"/>
          <w:color w:val="ff8c46"/>
          <w:sz w:val="18"/>
          <w:szCs w:val="18"/>
          <w:u w:color="ff8c46"/>
          <w:rtl w:val="0"/>
          <w14:textFill>
            <w14:solidFill>
              <w14:srgbClr w14:val="FF8C46"/>
            </w14:solidFill>
          </w14:textFill>
        </w:rPr>
        <w:t xml:space="preserve">5. 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Обладнання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що підлягає заміні за гарантією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обмінюється на аналогічне або рівноцінне</w:t>
      </w:r>
      <w:r>
        <w:rPr>
          <w:rFonts w:ascii="Arial" w:hAnsi="Arial"/>
          <w:outline w:val="0"/>
          <w:color w:val="222222"/>
          <w:sz w:val="18"/>
          <w:szCs w:val="18"/>
          <w:u w:color="222222"/>
          <w:rtl w:val="0"/>
          <w14:textFill>
            <w14:solidFill>
              <w14:srgbClr w14:val="222222"/>
            </w14:solidFill>
          </w14:textFill>
        </w:rPr>
        <w:t>.</w:t>
      </w: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2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Контакти для гарантійних звернень</w:t>
            </w: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 xml:space="preserve">:  </w:t>
            </w:r>
            <w:r>
              <w:rPr>
                <w:rFonts w:ascii="Arial" w:hAnsi="Arial" w:hint="default"/>
                <w:outline w:val="0"/>
                <w:color w:val="111111"/>
                <w:sz w:val="18"/>
                <w:szCs w:val="18"/>
                <w:u w:color="111111"/>
                <w:rtl w:val="0"/>
                <w14:textFill>
                  <w14:solidFill>
                    <w14:srgbClr w14:val="111111"/>
                  </w14:solidFill>
                </w14:textFill>
              </w:rPr>
              <w:t>Тел</w:t>
            </w:r>
            <w:r>
              <w:rPr>
                <w:rFonts w:ascii="Arial" w:hAnsi="Arial"/>
                <w:outline w:val="0"/>
                <w:color w:val="111111"/>
                <w:sz w:val="18"/>
                <w:szCs w:val="18"/>
                <w:u w:color="111111"/>
                <w:rtl w:val="0"/>
                <w14:textFill>
                  <w14:solidFill>
                    <w14:srgbClr w14:val="111111"/>
                  </w14:solidFill>
                </w14:textFill>
              </w:rPr>
              <w:t xml:space="preserve">.: </w:t>
            </w:r>
            <w:r>
              <w:rPr>
                <w:rFonts w:ascii="Times New Roman" w:hAnsi="Times New Roman"/>
                <w:sz w:val="20"/>
                <w:szCs w:val="20"/>
                <w:rtl w:val="0"/>
              </w:rPr>
              <w:t>+38 (093) 288-63-33</w:t>
            </w:r>
            <w:r>
              <w:rPr>
                <w:rFonts w:ascii="Arial" w:hAnsi="Arial"/>
                <w:outline w:val="0"/>
                <w:color w:val="111111"/>
                <w:sz w:val="18"/>
                <w:szCs w:val="18"/>
                <w:u w:color="111111"/>
                <w:rtl w:val="0"/>
                <w:lang w:val="de-DE"/>
                <w14:textFill>
                  <w14:solidFill>
                    <w14:srgbClr w14:val="111111"/>
                  </w14:solidFill>
                </w14:textFill>
              </w:rPr>
              <w:t xml:space="preserve">  |  </w:t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0"/>
                <w:szCs w:val="20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0"/>
                <w:szCs w:val="20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instrText xml:space="preserve"> HYPERLINK "http://www.solarservice.pro"</w:instrText>
            </w:r>
            <w:r>
              <w:rPr>
                <w:rStyle w:val="Hyperlink.0"/>
                <w:rFonts w:ascii="Times New Roman" w:cs="Times New Roman" w:hAnsi="Times New Roman" w:eastAsia="Times New Roman"/>
                <w:outline w:val="0"/>
                <w:color w:val="0563c1"/>
                <w:sz w:val="20"/>
                <w:szCs w:val="20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Times New Roman" w:hAnsi="Times New Roman"/>
                <w:outline w:val="0"/>
                <w:color w:val="0563c1"/>
                <w:sz w:val="20"/>
                <w:szCs w:val="20"/>
                <w:u w:val="single" w:color="0563c1"/>
                <w:rtl w:val="0"/>
                <w14:textFill>
                  <w14:solidFill>
                    <w14:srgbClr w14:val="0563C1"/>
                  </w14:solidFill>
                </w14:textFill>
              </w:rPr>
              <w:t>www.solar</w:t>
            </w:r>
            <w:r>
              <w:rPr>
                <w:rStyle w:val="Hyperlink.0"/>
                <w:rFonts w:ascii="Times New Roman" w:hAnsi="Times New Roman"/>
                <w:outline w:val="0"/>
                <w:color w:val="0563c1"/>
                <w:sz w:val="20"/>
                <w:szCs w:val="20"/>
                <w:u w:val="single" w:color="0563c1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service.pro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  <w:fldChar w:fldCharType="end" w:fldLock="0"/>
            </w:r>
          </w:p>
        </w:tc>
      </w:tr>
    </w:tbl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0"/>
        <w:gridCol w:w="3303"/>
        <w:gridCol w:w="400"/>
        <w:gridCol w:w="1300"/>
        <w:gridCol w:w="3057"/>
      </w:tblGrid>
      <w:tr>
        <w:tblPrEx>
          <w:shd w:val="clear" w:color="auto" w:fill="ced7e7"/>
        </w:tblPrEx>
        <w:trPr>
          <w:trHeight w:val="288" w:hRule="atLeast"/>
        </w:trPr>
        <w:tc>
          <w:tcPr>
            <w:tcW w:type="dxa" w:w="13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Менеджер</w:t>
            </w: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:</w:t>
            </w:r>
          </w:p>
        </w:tc>
        <w:tc>
          <w:tcPr>
            <w:tcW w:type="dxa" w:w="3303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  <w:tc>
          <w:tcPr>
            <w:tcW w:type="dxa" w:w="400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00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:lang w:val="ru-RU"/>
                <w14:textFill>
                  <w14:solidFill>
                    <w14:srgbClr w14:val="002864"/>
                  </w14:solidFill>
                </w14:textFill>
              </w:rPr>
              <w:t>Замовник</w:t>
            </w:r>
            <w:r>
              <w:rPr>
                <w:rFonts w:ascii="Arial" w:hAnsi="Arial"/>
                <w:b w:val="1"/>
                <w:bCs w:val="1"/>
                <w:outline w:val="0"/>
                <w:color w:val="002864"/>
                <w:sz w:val="19"/>
                <w:szCs w:val="19"/>
                <w:u w:color="002864"/>
                <w:shd w:val="nil" w:color="auto" w:fill="auto"/>
                <w:rtl w:val="0"/>
                <w14:textFill>
                  <w14:solidFill>
                    <w14:srgbClr w14:val="002864"/>
                  </w14:solidFill>
                </w14:textFill>
              </w:rPr>
              <w:t>:</w:t>
            </w:r>
          </w:p>
        </w:tc>
        <w:tc>
          <w:tcPr>
            <w:tcW w:type="dxa" w:w="3057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88" w:hRule="atLeast"/>
        </w:trPr>
        <w:tc>
          <w:tcPr>
            <w:tcW w:type="dxa" w:w="1300"/>
            <w:tcBorders>
              <w:top w:val="single" w:color="ffffff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0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8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 xml:space="preserve">підпис </w:t>
            </w:r>
            <w:r>
              <w:rPr>
                <w:rFonts w:ascii="Arial" w:hAnsi="Arial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 xml:space="preserve">/ </w:t>
            </w:r>
            <w:r>
              <w:rPr>
                <w:rFonts w:ascii="Arial" w:hAnsi="Arial" w:hint="default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П</w:t>
            </w:r>
            <w:r>
              <w:rPr>
                <w:rFonts w:ascii="Arial" w:hAnsi="Arial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.</w:t>
            </w:r>
            <w:r>
              <w:rPr>
                <w:rFonts w:ascii="Arial" w:hAnsi="Arial" w:hint="default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І</w:t>
            </w:r>
            <w:r>
              <w:rPr>
                <w:rFonts w:ascii="Arial" w:hAnsi="Arial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.</w:t>
            </w:r>
            <w:r>
              <w:rPr>
                <w:rFonts w:ascii="Arial" w:hAnsi="Arial" w:hint="default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Б</w:t>
            </w:r>
            <w:r>
              <w:rPr>
                <w:rFonts w:ascii="Arial" w:hAnsi="Arial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.</w:t>
            </w:r>
          </w:p>
        </w:tc>
        <w:tc>
          <w:tcPr>
            <w:tcW w:type="dxa" w:w="40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8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0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8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57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андартний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 xml:space="preserve">підпис </w:t>
            </w:r>
            <w:r>
              <w:rPr>
                <w:rFonts w:ascii="Arial" w:hAnsi="Arial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 xml:space="preserve">/ </w:t>
            </w:r>
            <w:r>
              <w:rPr>
                <w:rFonts w:ascii="Arial" w:hAnsi="Arial" w:hint="default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П</w:t>
            </w:r>
            <w:r>
              <w:rPr>
                <w:rFonts w:ascii="Arial" w:hAnsi="Arial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.</w:t>
            </w:r>
            <w:r>
              <w:rPr>
                <w:rFonts w:ascii="Arial" w:hAnsi="Arial" w:hint="default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І</w:t>
            </w:r>
            <w:r>
              <w:rPr>
                <w:rFonts w:ascii="Arial" w:hAnsi="Arial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.</w:t>
            </w:r>
            <w:r>
              <w:rPr>
                <w:rFonts w:ascii="Arial" w:hAnsi="Arial" w:hint="default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Б</w:t>
            </w:r>
            <w:r>
              <w:rPr>
                <w:rFonts w:ascii="Arial" w:hAnsi="Arial"/>
                <w:outline w:val="0"/>
                <w:color w:val="999999"/>
                <w:sz w:val="14"/>
                <w:szCs w:val="14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.</w:t>
            </w:r>
          </w:p>
        </w:tc>
      </w:tr>
    </w:tbl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Основни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/>
    </w:p>
    <w:sectPr>
      <w:headerReference w:type="default" r:id="rId5"/>
      <w:footerReference w:type="default" r:id="rId6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и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и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українська" w:val="‘“(〔[{〈《「『【⦅〘〖«〝︵︷︹︻︽︿﹁﹃﹇﹙﹛﹝｢"/>
  <w:noLineBreaksBefore w:lang="українська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и">
    <w:name w:val="Колонтитули"/>
    <w:next w:val="Колонтитули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ий текст">
    <w:name w:val="Основний текст"/>
    <w:next w:val="Основни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андартний">
    <w:name w:val="Стандартний"/>
    <w:next w:val="Стандартни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Посилання">
    <w:name w:val="Посилання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Посилання"/>
    <w:next w:val="Hyperlink.0"/>
    <w:rPr>
      <w:b w:val="1"/>
      <w:bCs w:val="1"/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