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病假与事假管理规定</w:t>
      </w:r>
    </w:p>
    <w:p>
      <w:pPr>
        <w:pStyle w:val="Heading1"/>
      </w:pPr>
      <w:r>
        <w:t>一、目的与适用范围</w:t>
      </w:r>
    </w:p>
    <w:p>
      <w:r>
        <w:t>为规范员工病假、事假的申请与管理，保障员工在患病或处理私人事务时的合法权益，同时维护正常的经营秩序，特制定本规定。本规定适用于公司全体员工。</w:t>
      </w:r>
    </w:p>
    <w:p>
      <w:pPr>
        <w:pStyle w:val="Heading1"/>
      </w:pPr>
      <w:r>
        <w:t>二、病假管理</w:t>
      </w:r>
    </w:p>
    <w:p>
      <w:pPr>
        <w:pStyle w:val="Heading2"/>
      </w:pPr>
      <w:r>
        <w:t>2.1 病假申请</w:t>
      </w:r>
    </w:p>
    <w:p>
      <w:pPr>
        <w:pStyle w:val="ListNumber"/>
      </w:pPr>
      <w:r>
        <w:t>员工因病无法正常出勤的，应尽早通过电话或即时通讯工具告知直属主管，并于返岗后 1 个工作日内在系统补交病假申请。</w:t>
      </w:r>
    </w:p>
    <w:p>
      <w:pPr>
        <w:pStyle w:val="ListNumber"/>
      </w:pPr>
      <w:r>
        <w:t>病假 1 天以内的，凭本人说明即可；病假超过 1 天的，须提供二级及以上医院的病假证明或就诊记录。</w:t>
      </w:r>
    </w:p>
    <w:p>
      <w:pPr>
        <w:pStyle w:val="ListNumber"/>
      </w:pPr>
      <w:r>
        <w:t>长期病假（连续超过 5 个工作日）须提供诊断书，并经人力资源部核实。</w:t>
      </w:r>
    </w:p>
    <w:p>
      <w:pPr>
        <w:pStyle w:val="Heading2"/>
      </w:pPr>
      <w:r>
        <w:t>2.2 病假待遇</w:t>
      </w:r>
    </w:p>
    <w:p>
      <w:pPr>
        <w:pStyle w:val="ListBullet"/>
      </w:pPr>
      <w:r>
        <w:t>病假期间工资按当地医疗期工资标准与公司规定发放，不低于当地最低工资标准的 80%。</w:t>
      </w:r>
    </w:p>
    <w:p>
      <w:pPr>
        <w:pStyle w:val="ListBullet"/>
      </w:pPr>
      <w:r>
        <w:t>医疗期长短根据员工累计工作年限与本单位工作年限确定，具体依照国家规定执行。</w:t>
      </w:r>
    </w:p>
    <w:p>
      <w:pPr>
        <w:pStyle w:val="Heading1"/>
      </w:pPr>
      <w:r>
        <w:t>三、事假管理</w:t>
      </w:r>
    </w:p>
    <w:p>
      <w:pPr>
        <w:pStyle w:val="Heading2"/>
      </w:pPr>
      <w:r>
        <w:t>3.1 事假申请</w:t>
      </w:r>
    </w:p>
    <w:p>
      <w:pPr>
        <w:pStyle w:val="ListNumber"/>
      </w:pPr>
      <w:r>
        <w:t>事假须提前申请，原则上提前 1 个工作日提交；突发情况可事后补办，但需提供合理说明。</w:t>
      </w:r>
    </w:p>
    <w:p>
      <w:pPr>
        <w:pStyle w:val="ListNumber"/>
      </w:pPr>
      <w:r>
        <w:t>事假按小时计，最小单位为 0.5 天。</w:t>
      </w:r>
    </w:p>
    <w:p>
      <w:pPr>
        <w:pStyle w:val="ListNumber"/>
      </w:pPr>
      <w:r>
        <w:t>单次事假超过 3 天的，须部门负责人审批；超过 7 天的，须分管领导审批。</w:t>
      </w:r>
    </w:p>
    <w:p>
      <w:pPr>
        <w:pStyle w:val="Heading2"/>
      </w:pPr>
      <w:r>
        <w:t>3.2 事假待遇</w:t>
      </w:r>
    </w:p>
    <w:p>
      <w:pPr>
        <w:pStyle w:val="ListBullet"/>
      </w:pPr>
      <w:r>
        <w:t>事假期间不计发工资，按日工资标准扣减当日薪酬。</w:t>
      </w:r>
    </w:p>
    <w:p>
      <w:pPr>
        <w:pStyle w:val="ListBullet"/>
      </w:pPr>
      <w:r>
        <w:t>事假累计影响全勤奖、绩效考核，具体按薪酬绩效制度执行。</w:t>
      </w:r>
    </w:p>
    <w:p>
      <w:pPr>
        <w:pStyle w:val="Heading1"/>
      </w:pPr>
      <w:r>
        <w:t>四、审批权限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假期类型</w:t>
            </w:r>
          </w:p>
        </w:tc>
        <w:tc>
          <w:tcPr>
            <w:tcW w:type="dxa" w:w="2880"/>
          </w:tcPr>
          <w:p>
            <w:r>
              <w:t>时长</w:t>
            </w:r>
          </w:p>
        </w:tc>
        <w:tc>
          <w:tcPr>
            <w:tcW w:type="dxa" w:w="2880"/>
          </w:tcPr>
          <w:p>
            <w:r>
              <w:t>审批人</w:t>
            </w:r>
          </w:p>
        </w:tc>
      </w:tr>
      <w:tr>
        <w:tc>
          <w:tcPr>
            <w:tcW w:type="dxa" w:w="2880"/>
          </w:tcPr>
          <w:p>
            <w:r>
              <w:t>病假</w:t>
            </w:r>
          </w:p>
        </w:tc>
        <w:tc>
          <w:tcPr>
            <w:tcW w:type="dxa" w:w="2880"/>
          </w:tcPr>
          <w:p>
            <w:r>
              <w:t>3 天以内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</w:tr>
      <w:tr>
        <w:tc>
          <w:tcPr>
            <w:tcW w:type="dxa" w:w="2880"/>
          </w:tcPr>
          <w:p>
            <w:r>
              <w:t>病假</w:t>
            </w:r>
          </w:p>
        </w:tc>
        <w:tc>
          <w:tcPr>
            <w:tcW w:type="dxa" w:w="2880"/>
          </w:tcPr>
          <w:p>
            <w:r>
              <w:t>3 天以上</w:t>
            </w:r>
          </w:p>
        </w:tc>
        <w:tc>
          <w:tcPr>
            <w:tcW w:type="dxa" w:w="2880"/>
          </w:tcPr>
          <w:p>
            <w:r>
              <w:t>部门负责人 + 人力资源部</w:t>
            </w:r>
          </w:p>
        </w:tc>
      </w:tr>
      <w:tr>
        <w:tc>
          <w:tcPr>
            <w:tcW w:type="dxa" w:w="2880"/>
          </w:tcPr>
          <w:p>
            <w:r>
              <w:t>事假</w:t>
            </w:r>
          </w:p>
        </w:tc>
        <w:tc>
          <w:tcPr>
            <w:tcW w:type="dxa" w:w="2880"/>
          </w:tcPr>
          <w:p>
            <w:r>
              <w:t>1 天以内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</w:tr>
      <w:tr>
        <w:tc>
          <w:tcPr>
            <w:tcW w:type="dxa" w:w="2880"/>
          </w:tcPr>
          <w:p>
            <w:r>
              <w:t>事假</w:t>
            </w:r>
          </w:p>
        </w:tc>
        <w:tc>
          <w:tcPr>
            <w:tcW w:type="dxa" w:w="2880"/>
          </w:tcPr>
          <w:p>
            <w:r>
              <w:t>1—3 天</w:t>
            </w:r>
          </w:p>
        </w:tc>
        <w:tc>
          <w:tcPr>
            <w:tcW w:type="dxa" w:w="2880"/>
          </w:tcPr>
          <w:p>
            <w:r>
              <w:t>直属主管 + 部门负责人</w:t>
            </w:r>
          </w:p>
        </w:tc>
      </w:tr>
      <w:tr>
        <w:tc>
          <w:tcPr>
            <w:tcW w:type="dxa" w:w="2880"/>
          </w:tcPr>
          <w:p>
            <w:r>
              <w:t>事假</w:t>
            </w:r>
          </w:p>
        </w:tc>
        <w:tc>
          <w:tcPr>
            <w:tcW w:type="dxa" w:w="2880"/>
          </w:tcPr>
          <w:p>
            <w:r>
              <w:t>3 天以上</w:t>
            </w:r>
          </w:p>
        </w:tc>
        <w:tc>
          <w:tcPr>
            <w:tcW w:type="dxa" w:w="2880"/>
          </w:tcPr>
          <w:p>
            <w:r>
              <w:t>部门负责人 + 分管领导</w:t>
            </w:r>
          </w:p>
        </w:tc>
      </w:tr>
    </w:tbl>
    <w:p>
      <w:pPr>
        <w:pStyle w:val="Heading1"/>
      </w:pPr>
      <w:r>
        <w:t>五、纪律要求</w:t>
      </w:r>
    </w:p>
    <w:p>
      <w:pPr>
        <w:pStyle w:val="ListBullet"/>
      </w:pPr>
      <w:r>
        <w:t>严禁虚开病假证明、伪造就诊记录，一经查实按严重违纪处理。</w:t>
      </w:r>
    </w:p>
    <w:p>
      <w:pPr>
        <w:pStyle w:val="ListBullet"/>
      </w:pPr>
      <w:r>
        <w:t>请假未获批准擅自离岗的，按旷工处理。</w:t>
      </w:r>
    </w:p>
    <w:p>
      <w:pPr>
        <w:pStyle w:val="ListBullet"/>
      </w:pPr>
      <w:r>
        <w:t>请假期间应保持通讯畅通，遇紧急工作需配合处理交接。</w:t>
      </w:r>
    </w:p>
    <w:p>
      <w:pPr>
        <w:pStyle w:val="Heading1"/>
      </w:pPr>
      <w:r>
        <w:t>六、附则</w:t>
      </w:r>
    </w:p>
    <w:p>
      <w:r>
        <w:t>本规定由人力资源部负责解释，自发布之日起施行。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