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知识库管理操作手册</w:t>
      </w:r>
    </w:p>
    <w:p>
      <w:pPr>
        <w:pStyle w:val="Heading1"/>
      </w:pPr>
      <w:r>
        <w:t>一、概述</w:t>
      </w:r>
    </w:p>
    <w:p>
      <w:r>
        <w:t>本手册面向知识库管理员，介绍知识库的创建、配置、成员授权、文档管理与索引维护等操作，帮助管理员高效维护高质量的知识资产。</w:t>
      </w:r>
    </w:p>
    <w:p>
      <w:pPr>
        <w:pStyle w:val="Heading1"/>
      </w:pPr>
      <w:r>
        <w:t>二、知识库生命周期</w:t>
      </w:r>
    </w:p>
    <w:p>
      <w:pPr>
        <w:pStyle w:val="Heading2"/>
      </w:pPr>
      <w:r>
        <w:t>2.1 创建知识库</w:t>
      </w:r>
    </w:p>
    <w:p>
      <w:pPr>
        <w:pStyle w:val="ListNumber"/>
      </w:pPr>
      <w:r>
        <w:t>进入"知识库"页面，点击右上角"新建知识库"。</w:t>
      </w:r>
    </w:p>
    <w:p>
      <w:pPr>
        <w:pStyle w:val="ListNumber"/>
      </w:pPr>
      <w:r>
        <w:t>填写基本信息：名称、描述、可见性。</w:t>
      </w:r>
    </w:p>
    <w:p>
      <w:pPr>
        <w:pStyle w:val="ListNumber"/>
      </w:pPr>
      <w:r>
        <w:t>名称应简洁明确、便于检索；描述应概括知识库主题与适用范围。</w:t>
      </w:r>
    </w:p>
    <w:p>
      <w:pPr>
        <w:pStyle w:val="Heading2"/>
      </w:pPr>
      <w:r>
        <w:t>2.2 配置可见性</w:t>
      </w:r>
    </w:p>
    <w:p>
      <w:pPr>
        <w:pStyle w:val="ListBullet"/>
      </w:pPr>
      <w:r>
        <w:t>公开（public）：全体员工可读。</w:t>
      </w:r>
    </w:p>
    <w:p>
      <w:pPr>
        <w:pStyle w:val="ListBullet"/>
      </w:pPr>
      <w:r>
        <w:t>部门（department）：仅所属部门成员可读。</w:t>
      </w:r>
    </w:p>
    <w:p>
      <w:pPr>
        <w:pStyle w:val="ListBullet"/>
      </w:pPr>
      <w:r>
        <w:t>私有（private）：仅归属人与被授权成员可访问。</w:t>
      </w:r>
    </w:p>
    <w:p>
      <w:pPr>
        <w:pStyle w:val="Heading2"/>
      </w:pPr>
      <w:r>
        <w:t>2.3 成员授权</w:t>
      </w:r>
    </w:p>
    <w:p>
      <w:r>
        <w:t>针对私有库，可在"成员管理"中添加成员并设置访问级别：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访问级别</w:t>
            </w:r>
          </w:p>
        </w:tc>
        <w:tc>
          <w:tcPr>
            <w:tcW w:type="dxa" w:w="4320"/>
          </w:tcPr>
          <w:p>
            <w:r>
              <w:t>权限说明</w:t>
            </w:r>
          </w:p>
        </w:tc>
      </w:tr>
      <w:tr>
        <w:tc>
          <w:tcPr>
            <w:tcW w:type="dxa" w:w="4320"/>
          </w:tcPr>
          <w:p>
            <w:r>
              <w:t>只读（read）</w:t>
            </w:r>
          </w:p>
        </w:tc>
        <w:tc>
          <w:tcPr>
            <w:tcW w:type="dxa" w:w="4320"/>
          </w:tcPr>
          <w:p>
            <w:r>
              <w:t>可检索、问答、查看文档</w:t>
            </w:r>
          </w:p>
        </w:tc>
      </w:tr>
      <w:tr>
        <w:tc>
          <w:tcPr>
            <w:tcW w:type="dxa" w:w="4320"/>
          </w:tcPr>
          <w:p>
            <w:r>
              <w:t>可写（write）</w:t>
            </w:r>
          </w:p>
        </w:tc>
        <w:tc>
          <w:tcPr>
            <w:tcW w:type="dxa" w:w="4320"/>
          </w:tcPr>
          <w:p>
            <w:r>
              <w:t>在只读基础上可上传、编辑、删除文档</w:t>
            </w:r>
          </w:p>
        </w:tc>
      </w:tr>
    </w:tbl>
    <w:p>
      <w:pPr>
        <w:pStyle w:val="Heading1"/>
      </w:pPr>
      <w:r>
        <w:t>三、文档管理</w:t>
      </w:r>
    </w:p>
    <w:p>
      <w:pPr>
        <w:pStyle w:val="Heading2"/>
      </w:pPr>
      <w:r>
        <w:t>3.1 上传与解析</w:t>
      </w:r>
    </w:p>
    <w:p>
      <w:pPr>
        <w:pStyle w:val="ListNumber"/>
      </w:pPr>
      <w:r>
        <w:t>选择目标知识库，进入"文档管理"。</w:t>
      </w:r>
    </w:p>
    <w:p>
      <w:pPr>
        <w:pStyle w:val="ListNumber"/>
      </w:pPr>
      <w:r>
        <w:t>点击"上传文档"，支持批量选择 PDF / Word / Markdown / TXT。</w:t>
      </w:r>
    </w:p>
    <w:p>
      <w:pPr>
        <w:pStyle w:val="ListNumber"/>
      </w:pPr>
      <w:r>
        <w:t>上传后自动进入解析队列，系统完成文本抽取、切分与向量化。</w:t>
      </w:r>
    </w:p>
    <w:p>
      <w:pPr>
        <w:pStyle w:val="Heading2"/>
      </w:pPr>
      <w:r>
        <w:t>3.2 文档状态</w:t>
      </w:r>
    </w:p>
    <w:p>
      <w:pPr>
        <w:pStyle w:val="ListBullet"/>
      </w:pPr>
      <w:r>
        <w:t>待解析：文件已上传，等待处理。</w:t>
      </w:r>
    </w:p>
    <w:p>
      <w:pPr>
        <w:pStyle w:val="ListBullet"/>
      </w:pPr>
      <w:r>
        <w:t>解析中：正在抽取与切分。</w:t>
      </w:r>
    </w:p>
    <w:p>
      <w:pPr>
        <w:pStyle w:val="ListBullet"/>
      </w:pPr>
      <w:r>
        <w:t>已索引：解析完成，可被问答检索。</w:t>
      </w:r>
    </w:p>
    <w:p>
      <w:pPr>
        <w:pStyle w:val="ListBullet"/>
      </w:pPr>
      <w:r>
        <w:t>失败：解析异常，可查看原因并重试。</w:t>
      </w:r>
    </w:p>
    <w:p>
      <w:pPr>
        <w:pStyle w:val="Heading2"/>
      </w:pPr>
      <w:r>
        <w:t>3.3 重建索引</w:t>
      </w:r>
    </w:p>
    <w:p>
      <w:r>
        <w:t>当切分参数调整或原文更新时，可对文档执行"重建索引"，系统会重新解析并覆盖旧的分块数据。</w:t>
      </w:r>
    </w:p>
    <w:p>
      <w:pPr>
        <w:pStyle w:val="Heading1"/>
      </w:pPr>
      <w:r>
        <w:t>四、质量维护建议</w:t>
      </w:r>
    </w:p>
    <w:p>
      <w:pPr>
        <w:pStyle w:val="ListBullet"/>
      </w:pPr>
      <w:r>
        <w:t>上传前确保文档内容准确、版本最新，避免过期信息误导问答。</w:t>
      </w:r>
    </w:p>
    <w:p>
      <w:pPr>
        <w:pStyle w:val="ListBullet"/>
      </w:pPr>
      <w:r>
        <w:t>优先使用结构清晰、标题分明的文档，有利于切分与召回。</w:t>
      </w:r>
    </w:p>
    <w:p>
      <w:pPr>
        <w:pStyle w:val="ListBullet"/>
      </w:pPr>
      <w:r>
        <w:t>定期结合"评测中心"结果，补充高频问题相关内容。</w:t>
      </w:r>
    </w:p>
    <w:p>
      <w:pPr>
        <w:pStyle w:val="ListBullet"/>
      </w:pPr>
      <w:r>
        <w:t>对失效或作废的文档及时下线或删除，保持知识库整洁。</w:t>
      </w:r>
    </w:p>
    <w:p>
      <w:pPr>
        <w:pStyle w:val="Heading1"/>
      </w:pPr>
      <w:r>
        <w:t>五、常见问题</w:t>
      </w:r>
    </w:p>
    <w:p>
      <w:r>
        <w:t>问：为什么文档上传后问答检索不到？ 答：请确认文档状态是否为"已索引"；若仍失败，检查文件是否为扫描件（无可提取文本）或格式是否受支持。</w:t>
      </w:r>
    </w:p>
    <w:p>
      <w:r>
        <w:t>问：删除文档会影响历史会话吗？ 答：历史会话内容保留，但其中引用的原文片段在删除后将无法跳转查看。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