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数据库设计规范（MySQL）</w:t>
      </w:r>
    </w:p>
    <w:p>
      <w:pPr>
        <w:pStyle w:val="Heading1"/>
      </w:pPr>
      <w:r>
        <w:t>一、总体原则</w:t>
      </w:r>
    </w:p>
    <w:p>
      <w:r>
        <w:t>数据库设计以数据一致性、可扩展性与查询性能为核心目标。规范适用于所有使用 MySQL 的业务系统，统一字符集为 utf8mb4，确保完整支持 Unicode 字符（含 Emoji）。</w:t>
      </w:r>
    </w:p>
    <w:p>
      <w:pPr>
        <w:pStyle w:val="Heading1"/>
      </w:pPr>
      <w:r>
        <w:t>二、命名规范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规范</w:t>
            </w:r>
          </w:p>
        </w:tc>
        <w:tc>
          <w:tcPr>
            <w:tcW w:type="dxa" w:w="2880"/>
          </w:tcPr>
          <w:p>
            <w:r>
              <w:t>示例</w:t>
            </w:r>
          </w:p>
        </w:tc>
      </w:tr>
      <w:tr>
        <w:tc>
          <w:tcPr>
            <w:tcW w:type="dxa" w:w="2880"/>
          </w:tcPr>
          <w:p>
            <w:r>
              <w:t>库名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rag_kb</w:t>
            </w:r>
          </w:p>
        </w:tc>
      </w:tr>
      <w:tr>
        <w:tc>
          <w:tcPr>
            <w:tcW w:type="dxa" w:w="2880"/>
          </w:tcPr>
          <w:p>
            <w:r>
              <w:t>表名</w:t>
            </w:r>
          </w:p>
        </w:tc>
        <w:tc>
          <w:tcPr>
            <w:tcW w:type="dxa" w:w="2880"/>
          </w:tcPr>
          <w:p>
            <w:r>
              <w:t>小写下划线，单数名词</w:t>
            </w:r>
          </w:p>
        </w:tc>
        <w:tc>
          <w:tcPr>
            <w:tcW w:type="dxa" w:w="2880"/>
          </w:tcPr>
          <w:p>
            <w:r>
              <w:t>knowledge_base</w:t>
            </w:r>
          </w:p>
        </w:tc>
      </w:tr>
      <w:tr>
        <w:tc>
          <w:tcPr>
            <w:tcW w:type="dxa" w:w="2880"/>
          </w:tcPr>
          <w:p>
            <w:r>
              <w:t>字段名</w:t>
            </w:r>
          </w:p>
        </w:tc>
        <w:tc>
          <w:tcPr>
            <w:tcW w:type="dxa" w:w="2880"/>
          </w:tcPr>
          <w:p>
            <w:r>
              <w:t>小写下划线</w:t>
            </w:r>
          </w:p>
        </w:tc>
        <w:tc>
          <w:tcPr>
            <w:tcW w:type="dxa" w:w="2880"/>
          </w:tcPr>
          <w:p>
            <w:r>
              <w:t>owner_id</w:t>
            </w:r>
          </w:p>
        </w:tc>
      </w:tr>
      <w:tr>
        <w:tc>
          <w:tcPr>
            <w:tcW w:type="dxa" w:w="2880"/>
          </w:tcPr>
          <w:p>
            <w:r>
              <w:t>主键</w:t>
            </w:r>
          </w:p>
        </w:tc>
        <w:tc>
          <w:tcPr>
            <w:tcW w:type="dxa" w:w="2880"/>
          </w:tcPr>
          <w:p>
            <w:r>
              <w:t>统一命名 id</w:t>
            </w:r>
          </w:p>
        </w:tc>
        <w:tc>
          <w:tcPr>
            <w:tcW w:type="dxa" w:w="2880"/>
          </w:tcPr>
          <w:p>
            <w:r>
              <w:t>id</w:t>
            </w:r>
          </w:p>
        </w:tc>
      </w:tr>
      <w:tr>
        <w:tc>
          <w:tcPr>
            <w:tcW w:type="dxa" w:w="2880"/>
          </w:tcPr>
          <w:p>
            <w:r>
              <w:t>索引</w:t>
            </w:r>
          </w:p>
        </w:tc>
        <w:tc>
          <w:tcPr>
            <w:tcW w:type="dxa" w:w="2880"/>
          </w:tcPr>
          <w:p>
            <w:r>
              <w:t>idx_表_字段</w:t>
            </w:r>
          </w:p>
        </w:tc>
        <w:tc>
          <w:tcPr>
            <w:tcW w:type="dxa" w:w="2880"/>
          </w:tcPr>
          <w:p>
            <w:r>
              <w:t>idx_document_kb_id</w:t>
            </w:r>
          </w:p>
        </w:tc>
      </w:tr>
      <w:tr>
        <w:tc>
          <w:tcPr>
            <w:tcW w:type="dxa" w:w="2880"/>
          </w:tcPr>
          <w:p>
            <w:r>
              <w:t>唯一索引</w:t>
            </w:r>
          </w:p>
        </w:tc>
        <w:tc>
          <w:tcPr>
            <w:tcW w:type="dxa" w:w="2880"/>
          </w:tcPr>
          <w:p>
            <w:r>
              <w:t>uk_表_字段</w:t>
            </w:r>
          </w:p>
        </w:tc>
        <w:tc>
          <w:tcPr>
            <w:tcW w:type="dxa" w:w="2880"/>
          </w:tcPr>
          <w:p>
            <w:r>
              <w:t>uk_user_email</w:t>
            </w:r>
          </w:p>
        </w:tc>
      </w:tr>
    </w:tbl>
    <w:p>
      <w:pPr>
        <w:pStyle w:val="Heading1"/>
      </w:pPr>
      <w:r>
        <w:t>三、字段设计</w:t>
      </w:r>
    </w:p>
    <w:p>
      <w:pPr>
        <w:pStyle w:val="ListNumber"/>
      </w:pPr>
      <w:r>
        <w:t>每张表必须有主键，推荐使用自增 BIGINT 或分布式 ID。</w:t>
      </w:r>
    </w:p>
    <w:p>
      <w:pPr>
        <w:pStyle w:val="ListNumber"/>
      </w:pPr>
      <w:r>
        <w:t>必备审计字段：created_at、updated_at，涉及软删除的加 deleted_at。</w:t>
      </w:r>
    </w:p>
    <w:p>
      <w:pPr>
        <w:pStyle w:val="ListNumber"/>
      </w:pPr>
      <w:r>
        <w:t>字符串优先用 VARCHAR 并合理设定长度；大文本用 TEXT/LONGTEXT。</w:t>
      </w:r>
    </w:p>
    <w:p>
      <w:pPr>
        <w:pStyle w:val="ListNumber"/>
      </w:pPr>
      <w:r>
        <w:t>金额使用 DECIMAL，禁止用 FLOAT/DOUBLE 存储金额。</w:t>
      </w:r>
    </w:p>
    <w:p>
      <w:pPr>
        <w:pStyle w:val="ListNumber"/>
      </w:pPr>
      <w:r>
        <w:t>时间统一使用 DATETIME 或 TIMESTAMP，明确时区约定。</w:t>
      </w:r>
    </w:p>
    <w:p>
      <w:pPr>
        <w:pStyle w:val="ListNumber"/>
      </w:pPr>
      <w:r>
        <w:t>布尔语义用 TINYINT(1)，枚举语义可用小字符串或字典表。</w:t>
      </w:r>
    </w:p>
    <w:p>
      <w:pPr>
        <w:pStyle w:val="Heading1"/>
      </w:pPr>
      <w:r>
        <w:t>四、索引规范</w:t>
      </w:r>
    </w:p>
    <w:p>
      <w:pPr>
        <w:pStyle w:val="ListBullet"/>
      </w:pPr>
      <w:r>
        <w:t>高频查询条件、外键列应建立索引。</w:t>
      </w:r>
    </w:p>
    <w:p>
      <w:pPr>
        <w:pStyle w:val="ListBullet"/>
      </w:pPr>
      <w:r>
        <w:t>遵循最左前缀原则设计联合索引。</w:t>
      </w:r>
    </w:p>
    <w:p>
      <w:pPr>
        <w:pStyle w:val="ListBullet"/>
      </w:pPr>
      <w:r>
        <w:t>单表索引数量控制在合理范围，避免过多影响写入性能。</w:t>
      </w:r>
    </w:p>
    <w:p>
      <w:pPr>
        <w:pStyle w:val="ListBullet"/>
      </w:pPr>
      <w:r>
        <w:t>避免在低区分度字段（如状态）上单独建索引。</w:t>
      </w:r>
    </w:p>
    <w:p>
      <w:pPr>
        <w:pStyle w:val="Heading1"/>
      </w:pPr>
      <w:r>
        <w:t>五、字符集与排序规则</w:t>
      </w:r>
    </w:p>
    <w:p>
      <w:pPr>
        <w:pStyle w:val="ListBullet"/>
      </w:pPr>
      <w:r>
        <w:t>字符集统一 utf8mb4，排序规则 utf8mb4_general_ci 或 utf8mb4_unicode_ci。</w:t>
      </w:r>
    </w:p>
    <w:p>
      <w:pPr>
        <w:pStyle w:val="ListBullet"/>
      </w:pPr>
      <w:r>
        <w:t>命令行连接必须指定 --default-character-set=utf8mb4，避免乱码。</w:t>
      </w:r>
    </w:p>
    <w:p>
      <w:pPr>
        <w:pStyle w:val="Heading1"/>
      </w:pPr>
      <w:r>
        <w:t>六、SQL 编写与安全</w:t>
      </w:r>
    </w:p>
    <w:p>
      <w:pPr>
        <w:pStyle w:val="ListNumber"/>
      </w:pPr>
      <w:r>
        <w:t>严禁使用 SELECT *，明确列出所需字段。</w:t>
      </w:r>
    </w:p>
    <w:p>
      <w:pPr>
        <w:pStyle w:val="ListNumber"/>
      </w:pPr>
      <w:r>
        <w:t>使用参数化查询，杜绝 SQL 注入。</w:t>
      </w:r>
    </w:p>
    <w:p>
      <w:pPr>
        <w:pStyle w:val="ListNumber"/>
      </w:pPr>
      <w:r>
        <w:t>大批量操作分批执行，避免长事务与锁表。</w:t>
      </w:r>
    </w:p>
    <w:p>
      <w:pPr>
        <w:pStyle w:val="ListNumber"/>
      </w:pPr>
      <w:r>
        <w:t>禁止在生产环境执行无 WHERE 条件的 UPDATE/DELETE。</w:t>
      </w:r>
    </w:p>
    <w:p>
      <w:pPr>
        <w:pStyle w:val="ListNumber"/>
      </w:pPr>
      <w:r>
        <w:t>DDL 变更须评审并在低峰期执行，提前备份。</w:t>
      </w:r>
    </w:p>
    <w:p>
      <w:pPr>
        <w:pStyle w:val="Heading1"/>
      </w:pPr>
      <w:r>
        <w:t>七、外键与一致性</w:t>
      </w:r>
    </w:p>
    <w:p>
      <w:pPr>
        <w:pStyle w:val="ListBullet"/>
      </w:pPr>
      <w:r>
        <w:t>逻辑外键关系需在设计文档中标注。</w:t>
      </w:r>
    </w:p>
    <w:p>
      <w:pPr>
        <w:pStyle w:val="ListBullet"/>
      </w:pPr>
      <w:r>
        <w:t>是否使用物理外键约束由团队根据性能与一致性权衡确定，需统一约定。</w:t>
      </w:r>
    </w:p>
    <w:p>
      <w:pPr>
        <w:pStyle w:val="Heading1"/>
      </w:pPr>
      <w:r>
        <w:t>八、变更管理</w:t>
      </w:r>
    </w:p>
    <w:p>
      <w:pPr>
        <w:pStyle w:val="ListBullet"/>
      </w:pPr>
      <w:r>
        <w:t>所有结构变更通过版本化的 SQL 脚本管理（schema.sql / 迁移脚本）。</w:t>
      </w:r>
    </w:p>
    <w:p>
      <w:pPr>
        <w:pStyle w:val="ListBullet"/>
      </w:pPr>
      <w:r>
        <w:t>变更需记录变更人、时间与原因，便于回溯。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