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招待费用管理规定</w:t>
      </w:r>
    </w:p>
    <w:p>
      <w:pPr>
        <w:pStyle w:val="Heading1"/>
      </w:pPr>
      <w:r>
        <w:t>一、目的</w:t>
      </w:r>
    </w:p>
    <w:p>
      <w:r>
        <w:t>为规范业务招待费用的申请、使用与报销，合理控制成本、防范廉洁风险，特制定本规定。</w:t>
      </w:r>
    </w:p>
    <w:p>
      <w:pPr>
        <w:pStyle w:val="Heading1"/>
      </w:pPr>
      <w:r>
        <w:t>二、招待费定义</w:t>
      </w:r>
    </w:p>
    <w:p>
      <w:r>
        <w:t>招待费指公司因业务往来、客户接待、商务洽谈等发生的餐饮、礼品及相关合理支出。</w:t>
      </w:r>
    </w:p>
    <w:p>
      <w:pPr>
        <w:pStyle w:val="Heading1"/>
      </w:pPr>
      <w:r>
        <w:t>三、事前审批</w:t>
      </w:r>
    </w:p>
    <w:p>
      <w:pPr>
        <w:pStyle w:val="ListNumber"/>
      </w:pPr>
      <w:r>
        <w:t>招待活动须事前申请，说明招待对象、事由、预计人数与预算。</w:t>
      </w:r>
    </w:p>
    <w:p>
      <w:pPr>
        <w:pStyle w:val="ListNumber"/>
      </w:pPr>
      <w:r>
        <w:t>审批权限：</w:t>
      </w:r>
    </w:p>
    <w:p>
      <w:pPr>
        <w:pStyle w:val="ListBullet"/>
      </w:pPr>
      <w:r>
        <w:t>单次 1000 元以下：部门负责人审批</w:t>
      </w:r>
    </w:p>
    <w:p>
      <w:pPr>
        <w:pStyle w:val="ListBullet"/>
      </w:pPr>
      <w:r>
        <w:t>单次 1000—5000 元：分管领导审批</w:t>
      </w:r>
    </w:p>
    <w:p>
      <w:pPr>
        <w:pStyle w:val="ListBullet"/>
      </w:pPr>
      <w:r>
        <w:t>单次 5000 元以上：总经理审批</w:t>
      </w:r>
    </w:p>
    <w:p>
      <w:pPr>
        <w:pStyle w:val="ListNumber"/>
      </w:pPr>
      <w:r>
        <w:t>未经审批的招待费用原则上不予报销。</w:t>
      </w:r>
    </w:p>
    <w:p>
      <w:pPr>
        <w:pStyle w:val="Heading1"/>
      </w:pPr>
      <w:r>
        <w:t>四、费用标准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招待类型</w:t>
            </w:r>
          </w:p>
        </w:tc>
        <w:tc>
          <w:tcPr>
            <w:tcW w:type="dxa" w:w="2880"/>
          </w:tcPr>
          <w:p>
            <w:r>
              <w:t>人均标准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工作餐</w:t>
            </w:r>
          </w:p>
        </w:tc>
        <w:tc>
          <w:tcPr>
            <w:tcW w:type="dxa" w:w="2880"/>
          </w:tcPr>
          <w:p>
            <w:r>
              <w:t>100 元/人</w:t>
            </w:r>
          </w:p>
        </w:tc>
        <w:tc>
          <w:tcPr>
            <w:tcW w:type="dxa" w:w="2880"/>
          </w:tcPr>
          <w:p>
            <w:r>
              <w:t>内部或简单商务</w:t>
            </w:r>
          </w:p>
        </w:tc>
      </w:tr>
      <w:tr>
        <w:tc>
          <w:tcPr>
            <w:tcW w:type="dxa" w:w="2880"/>
          </w:tcPr>
          <w:p>
            <w:r>
              <w:t>商务宴请</w:t>
            </w:r>
          </w:p>
        </w:tc>
        <w:tc>
          <w:tcPr>
            <w:tcW w:type="dxa" w:w="2880"/>
          </w:tcPr>
          <w:p>
            <w:r>
              <w:t>300 元/人</w:t>
            </w:r>
          </w:p>
        </w:tc>
        <w:tc>
          <w:tcPr>
            <w:tcW w:type="dxa" w:w="2880"/>
          </w:tcPr>
          <w:p>
            <w:r>
              <w:t>重要客户接待</w:t>
            </w:r>
          </w:p>
        </w:tc>
      </w:tr>
      <w:tr>
        <w:tc>
          <w:tcPr>
            <w:tcW w:type="dxa" w:w="2880"/>
          </w:tcPr>
          <w:p>
            <w:r>
              <w:t>重大接待</w:t>
            </w:r>
          </w:p>
        </w:tc>
        <w:tc>
          <w:tcPr>
            <w:tcW w:type="dxa" w:w="2880"/>
          </w:tcPr>
          <w:p>
            <w:r>
              <w:t>面议</w:t>
            </w:r>
          </w:p>
        </w:tc>
        <w:tc>
          <w:tcPr>
            <w:tcW w:type="dxa" w:w="2880"/>
          </w:tcPr>
          <w:p>
            <w:r>
              <w:t>需专项审批</w:t>
            </w:r>
          </w:p>
        </w:tc>
      </w:tr>
    </w:tbl>
    <w:p>
      <w:r>
        <w:t>超标准部分需说明理由并经上一级审批，否则超出金额自理。</w:t>
      </w:r>
    </w:p>
    <w:p>
      <w:pPr>
        <w:pStyle w:val="Heading1"/>
      </w:pPr>
      <w:r>
        <w:t>五、禁止性规定</w:t>
      </w:r>
    </w:p>
    <w:p>
      <w:pPr>
        <w:pStyle w:val="ListBullet"/>
      </w:pPr>
      <w:r>
        <w:t>严禁公款用于个人消费或与业务无关的宴请。</w:t>
      </w:r>
    </w:p>
    <w:p>
      <w:pPr>
        <w:pStyle w:val="ListBullet"/>
      </w:pPr>
      <w:r>
        <w:t>严禁在报销中夹带烟酒等违规消费，或以招待名义变相发放福利。</w:t>
      </w:r>
    </w:p>
    <w:p>
      <w:pPr>
        <w:pStyle w:val="ListBullet"/>
      </w:pPr>
      <w:r>
        <w:t>严禁虚构招待事由套取资金。</w:t>
      </w:r>
    </w:p>
    <w:p>
      <w:pPr>
        <w:pStyle w:val="ListBullet"/>
      </w:pPr>
      <w:r>
        <w:t>招待对象不得包含法律法规禁止的对象。</w:t>
      </w:r>
    </w:p>
    <w:p>
      <w:pPr>
        <w:pStyle w:val="Heading1"/>
      </w:pPr>
      <w:r>
        <w:t>六、报销要求</w:t>
      </w:r>
    </w:p>
    <w:p>
      <w:pPr>
        <w:pStyle w:val="ListNumber"/>
      </w:pPr>
      <w:r>
        <w:t>报销须附：审批单、发票、消费明细及招待对象与事由说明。</w:t>
      </w:r>
    </w:p>
    <w:p>
      <w:pPr>
        <w:pStyle w:val="ListNumber"/>
      </w:pPr>
      <w:r>
        <w:t>发票抬头为公司全称，税号准确。</w:t>
      </w:r>
    </w:p>
    <w:p>
      <w:pPr>
        <w:pStyle w:val="ListNumber"/>
      </w:pPr>
      <w:r>
        <w:t>报销在活动后 10 个工作日内提交。</w:t>
      </w:r>
    </w:p>
    <w:p>
      <w:pPr>
        <w:pStyle w:val="ListNumber"/>
      </w:pPr>
      <w:r>
        <w:t>财务对招待事由与金额合理性进行审核，异常情况有权退回或核减。</w:t>
      </w:r>
    </w:p>
    <w:p>
      <w:pPr>
        <w:pStyle w:val="Heading1"/>
      </w:pPr>
      <w:r>
        <w:t>七、监督与问责</w:t>
      </w:r>
    </w:p>
    <w:p>
      <w:r>
        <w:t>财务部与审计部定期抽查招待费用使用情况。发现违规的，追回款项并依据公司制度追究相关人员责任。</w:t>
      </w:r>
    </w:p>
    <w:p>
      <w:pPr>
        <w:pStyle w:val="Heading1"/>
      </w:pPr>
      <w:r>
        <w:t>八、附则</w:t>
      </w:r>
    </w:p>
    <w:p>
      <w:r>
        <w:t>本规定由财务部负责解释，自发布之日起施行。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