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技能培训课程体系</w:t>
      </w:r>
    </w:p>
    <w:p>
      <w:pPr>
        <w:pStyle w:val="Heading1"/>
      </w:pPr>
      <w:r>
        <w:t>一、体系概述</w:t>
      </w:r>
    </w:p>
    <w:p>
      <w:r>
        <w:t>公司构建"通用素养 + 专业技能 + 管理领导力"三层培训体系，覆盖员工从入职到晋升的全成长周期，帮助员工持续提升能力、支撑业务发展。</w:t>
      </w:r>
    </w:p>
    <w:p>
      <w:pPr>
        <w:pStyle w:val="Heading1"/>
      </w:pPr>
      <w:r>
        <w:t>二、课程分层</w:t>
      </w:r>
    </w:p>
    <w:p>
      <w:pPr>
        <w:pStyle w:val="Heading2"/>
      </w:pPr>
      <w:r>
        <w:t>2.1 通用素养课程（全员必修）</w:t>
      </w:r>
    </w:p>
    <w:p>
      <w:pPr>
        <w:pStyle w:val="ListBullet"/>
      </w:pPr>
      <w:r>
        <w:t>企业文化与价值观</w:t>
      </w:r>
    </w:p>
    <w:p>
      <w:pPr>
        <w:pStyle w:val="ListBullet"/>
      </w:pPr>
      <w:r>
        <w:t>信息安全与合规意识</w:t>
      </w:r>
    </w:p>
    <w:p>
      <w:pPr>
        <w:pStyle w:val="ListBullet"/>
      </w:pPr>
      <w:r>
        <w:t>职场沟通与协作</w:t>
      </w:r>
    </w:p>
    <w:p>
      <w:pPr>
        <w:pStyle w:val="ListBullet"/>
      </w:pPr>
      <w:r>
        <w:t>时间管理与高效办公</w:t>
      </w:r>
    </w:p>
    <w:p>
      <w:pPr>
        <w:pStyle w:val="Heading2"/>
      </w:pPr>
      <w:r>
        <w:t>2.2 专业技能课程（按序列）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序列</w:t>
            </w:r>
          </w:p>
        </w:tc>
        <w:tc>
          <w:tcPr>
            <w:tcW w:type="dxa" w:w="4320"/>
          </w:tcPr>
          <w:p>
            <w:r>
              <w:t>代表课程</w:t>
            </w:r>
          </w:p>
        </w:tc>
      </w:tr>
      <w:tr>
        <w:tc>
          <w:tcPr>
            <w:tcW w:type="dxa" w:w="4320"/>
          </w:tcPr>
          <w:p>
            <w:r>
              <w:t>研发</w:t>
            </w:r>
          </w:p>
        </w:tc>
        <w:tc>
          <w:tcPr>
            <w:tcW w:type="dxa" w:w="4320"/>
          </w:tcPr>
          <w:p>
            <w:r>
              <w:t>编码规范、架构设计、代码评审、测试实践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需求分析、产品设计、用户研究、数据分析</w:t>
            </w:r>
          </w:p>
        </w:tc>
      </w:tr>
      <w:tr>
        <w:tc>
          <w:tcPr>
            <w:tcW w:type="dxa" w:w="4320"/>
          </w:tcPr>
          <w:p>
            <w:r>
              <w:t>运营</w:t>
            </w:r>
          </w:p>
        </w:tc>
        <w:tc>
          <w:tcPr>
            <w:tcW w:type="dxa" w:w="4320"/>
          </w:tcPr>
          <w:p>
            <w:r>
              <w:t>内容运营、用户增长、活动策划</w:t>
            </w:r>
          </w:p>
        </w:tc>
      </w:tr>
      <w:tr>
        <w:tc>
          <w:tcPr>
            <w:tcW w:type="dxa" w:w="4320"/>
          </w:tcPr>
          <w:p>
            <w:r>
              <w:t>职能</w:t>
            </w:r>
          </w:p>
        </w:tc>
        <w:tc>
          <w:tcPr>
            <w:tcW w:type="dxa" w:w="4320"/>
          </w:tcPr>
          <w:p>
            <w:r>
              <w:t>财务合规、人力实务、行政管理</w:t>
            </w:r>
          </w:p>
        </w:tc>
      </w:tr>
    </w:tbl>
    <w:p>
      <w:pPr>
        <w:pStyle w:val="Heading2"/>
      </w:pPr>
      <w:r>
        <w:t>2.3 管理领导力课程（管理岗）</w:t>
      </w:r>
    </w:p>
    <w:p>
      <w:pPr>
        <w:pStyle w:val="ListBullet"/>
      </w:pPr>
      <w:r>
        <w:t>团队管理与目标分解</w:t>
      </w:r>
    </w:p>
    <w:p>
      <w:pPr>
        <w:pStyle w:val="ListBullet"/>
      </w:pPr>
      <w:r>
        <w:t>绩效辅导与人才培养</w:t>
      </w:r>
    </w:p>
    <w:p>
      <w:pPr>
        <w:pStyle w:val="ListBullet"/>
      </w:pPr>
      <w:r>
        <w:t>决策与跨部门协作</w:t>
      </w:r>
    </w:p>
    <w:p>
      <w:pPr>
        <w:pStyle w:val="ListBullet"/>
      </w:pPr>
      <w:r>
        <w:t>领导力进阶</w:t>
      </w:r>
    </w:p>
    <w:p>
      <w:pPr>
        <w:pStyle w:val="Heading1"/>
      </w:pPr>
      <w:r>
        <w:t>三、培训形式</w:t>
      </w:r>
    </w:p>
    <w:p>
      <w:pPr>
        <w:pStyle w:val="ListBullet"/>
      </w:pPr>
      <w:r>
        <w:t>线上课程：自主学习，随到随学，配套测验。</w:t>
      </w:r>
    </w:p>
    <w:p>
      <w:pPr>
        <w:pStyle w:val="ListBullet"/>
      </w:pPr>
      <w:r>
        <w:t>线下工作坊：案例研讨、实操演练、互动交流。</w:t>
      </w:r>
    </w:p>
    <w:p>
      <w:pPr>
        <w:pStyle w:val="ListBullet"/>
      </w:pPr>
      <w:r>
        <w:t>导师制：一对一带教，加速新人成长。</w:t>
      </w:r>
    </w:p>
    <w:p>
      <w:pPr>
        <w:pStyle w:val="ListBullet"/>
      </w:pPr>
      <w:r>
        <w:t>内部分享：定期技术/业务分享沙龙，沉淀为知识库文档。</w:t>
      </w:r>
    </w:p>
    <w:p>
      <w:pPr>
        <w:pStyle w:val="Heading1"/>
      </w:pPr>
      <w:r>
        <w:t>四、学习路径示例（研发新人）</w:t>
      </w:r>
    </w:p>
    <w:p>
      <w:pPr>
        <w:pStyle w:val="ListNumber"/>
      </w:pPr>
      <w:r>
        <w:t>第 1 周：通用素养 + 信息安全</w:t>
      </w:r>
    </w:p>
    <w:p>
      <w:pPr>
        <w:pStyle w:val="ListNumber"/>
      </w:pPr>
      <w:r>
        <w:t>第 1 个月：编码规范 + Git 协作 + 业务系统入门</w:t>
      </w:r>
    </w:p>
    <w:p>
      <w:pPr>
        <w:pStyle w:val="ListNumber"/>
      </w:pPr>
      <w:r>
        <w:t>第 2—3 个月：架构基础 + 测试实践 + 参与实际项目</w:t>
      </w:r>
    </w:p>
    <w:p>
      <w:pPr>
        <w:pStyle w:val="ListNumber"/>
      </w:pPr>
      <w:r>
        <w:t>转正后：按兴趣与需要选修进阶课程</w:t>
      </w:r>
    </w:p>
    <w:p>
      <w:pPr>
        <w:pStyle w:val="Heading1"/>
      </w:pPr>
      <w:r>
        <w:t>五、学分与考核</w:t>
      </w:r>
    </w:p>
    <w:p>
      <w:pPr>
        <w:pStyle w:val="ListBullet"/>
      </w:pPr>
      <w:r>
        <w:t>每门课程设定学分，年度需修满规定学分。</w:t>
      </w:r>
    </w:p>
    <w:p>
      <w:pPr>
        <w:pStyle w:val="ListBullet"/>
      </w:pPr>
      <w:r>
        <w:t>必修课程需通过测验，成绩计入培训档案。</w:t>
      </w:r>
    </w:p>
    <w:p>
      <w:pPr>
        <w:pStyle w:val="ListBullet"/>
      </w:pPr>
      <w:r>
        <w:t>培训完成情况纳入绩效与晋升参考。</w:t>
      </w:r>
    </w:p>
    <w:p>
      <w:pPr>
        <w:pStyle w:val="Heading1"/>
      </w:pPr>
      <w:r>
        <w:t>六、培训管理</w:t>
      </w:r>
    </w:p>
    <w:p>
      <w:pPr>
        <w:pStyle w:val="ListBullet"/>
      </w:pPr>
      <w:r>
        <w:t>培训需求由部门与个人共同提出，人力资源部统筹排期。</w:t>
      </w:r>
    </w:p>
    <w:p>
      <w:pPr>
        <w:pStyle w:val="ListBullet"/>
      </w:pPr>
      <w:r>
        <w:t>培训效果通过测验、实操评估与业务表现综合衡量。</w:t>
      </w:r>
    </w:p>
    <w:p>
      <w:pPr>
        <w:pStyle w:val="ListBullet"/>
      </w:pPr>
      <w:r>
        <w:t>优质内部课程沉淀至知识库，形成可复用的组织资产。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