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账号与权限管理规范</w:t>
      </w:r>
    </w:p>
    <w:p>
      <w:pPr>
        <w:pStyle w:val="Heading1"/>
      </w:pPr>
      <w:r>
        <w:t>一、目的</w:t>
      </w:r>
    </w:p>
    <w:p>
      <w:r>
        <w:t>规范公司各类信息系统的账号申请、授权、变更、回收全生命周期管理，落实最小权限原则，降低越权访问与数据泄露风险。</w:t>
      </w:r>
    </w:p>
    <w:p>
      <w:pPr>
        <w:pStyle w:val="Heading1"/>
      </w:pPr>
      <w:r>
        <w:t>二、账号管理</w:t>
      </w:r>
    </w:p>
    <w:p>
      <w:pPr>
        <w:pStyle w:val="Heading2"/>
      </w:pPr>
      <w:r>
        <w:t>2.1 账号原则</w:t>
      </w:r>
    </w:p>
    <w:p>
      <w:pPr>
        <w:pStyle w:val="ListNumber"/>
      </w:pPr>
      <w:r>
        <w:t>实名制：账号与自然人一一对应，禁止匿名账号。</w:t>
      </w:r>
    </w:p>
    <w:p>
      <w:pPr>
        <w:pStyle w:val="ListNumber"/>
      </w:pPr>
      <w:r>
        <w:t>唯一性：一人一号，禁止多人共用同一账号。</w:t>
      </w:r>
    </w:p>
    <w:p>
      <w:pPr>
        <w:pStyle w:val="ListNumber"/>
      </w:pPr>
      <w:r>
        <w:t>可追溯：所有账号操作可通过日志追溯到具体个人。</w:t>
      </w:r>
    </w:p>
    <w:p>
      <w:pPr>
        <w:pStyle w:val="Heading2"/>
      </w:pPr>
      <w:r>
        <w:t>2.2 账号类型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管控要求</w:t>
            </w:r>
          </w:p>
        </w:tc>
      </w:tr>
      <w:tr>
        <w:tc>
          <w:tcPr>
            <w:tcW w:type="dxa" w:w="2880"/>
          </w:tcPr>
          <w:p>
            <w:r>
              <w:t>普通账号</w:t>
            </w:r>
          </w:p>
        </w:tc>
        <w:tc>
          <w:tcPr>
            <w:tcW w:type="dxa" w:w="2880"/>
          </w:tcPr>
          <w:p>
            <w:r>
              <w:t>员工日常使用</w:t>
            </w:r>
          </w:p>
        </w:tc>
        <w:tc>
          <w:tcPr>
            <w:tcW w:type="dxa" w:w="2880"/>
          </w:tcPr>
          <w:p>
            <w:r>
              <w:t>按岗位授权</w:t>
            </w:r>
          </w:p>
        </w:tc>
      </w:tr>
      <w:tr>
        <w:tc>
          <w:tcPr>
            <w:tcW w:type="dxa" w:w="2880"/>
          </w:tcPr>
          <w:p>
            <w:r>
              <w:t>管理员账号</w:t>
            </w:r>
          </w:p>
        </w:tc>
        <w:tc>
          <w:tcPr>
            <w:tcW w:type="dxa" w:w="2880"/>
          </w:tcPr>
          <w:p>
            <w:r>
              <w:t>系统/平台管理</w:t>
            </w:r>
          </w:p>
        </w:tc>
        <w:tc>
          <w:tcPr>
            <w:tcW w:type="dxa" w:w="2880"/>
          </w:tcPr>
          <w:p>
            <w:r>
              <w:t>严格审批、双人复核</w:t>
            </w:r>
          </w:p>
        </w:tc>
      </w:tr>
      <w:tr>
        <w:tc>
          <w:tcPr>
            <w:tcW w:type="dxa" w:w="2880"/>
          </w:tcPr>
          <w:p>
            <w:r>
              <w:t>服务账号</w:t>
            </w:r>
          </w:p>
        </w:tc>
        <w:tc>
          <w:tcPr>
            <w:tcW w:type="dxa" w:w="2880"/>
          </w:tcPr>
          <w:p>
            <w:r>
              <w:t>系统间调用</w:t>
            </w:r>
          </w:p>
        </w:tc>
        <w:tc>
          <w:tcPr>
            <w:tcW w:type="dxa" w:w="2880"/>
          </w:tcPr>
          <w:p>
            <w:r>
              <w:t>专号专用、定期轮换密钥</w:t>
            </w:r>
          </w:p>
        </w:tc>
      </w:tr>
      <w:tr>
        <w:tc>
          <w:tcPr>
            <w:tcW w:type="dxa" w:w="2880"/>
          </w:tcPr>
          <w:p>
            <w:r>
              <w:t>临时账号</w:t>
            </w:r>
          </w:p>
        </w:tc>
        <w:tc>
          <w:tcPr>
            <w:tcW w:type="dxa" w:w="2880"/>
          </w:tcPr>
          <w:p>
            <w:r>
              <w:t>外包/临时人员</w:t>
            </w:r>
          </w:p>
        </w:tc>
        <w:tc>
          <w:tcPr>
            <w:tcW w:type="dxa" w:w="2880"/>
          </w:tcPr>
          <w:p>
            <w:r>
              <w:t>设有效期，到期自动失效</w:t>
            </w:r>
          </w:p>
        </w:tc>
      </w:tr>
    </w:tbl>
    <w:p>
      <w:pPr>
        <w:pStyle w:val="Heading1"/>
      </w:pPr>
      <w:r>
        <w:t>三、权限授予</w:t>
      </w:r>
    </w:p>
    <w:p>
      <w:pPr>
        <w:pStyle w:val="ListNumber"/>
      </w:pPr>
      <w:r>
        <w:t>遵循最小权限原则，仅授予完成岗位职责所必需的权限。</w:t>
      </w:r>
    </w:p>
    <w:p>
      <w:pPr>
        <w:pStyle w:val="ListNumber"/>
      </w:pPr>
      <w:r>
        <w:t>权限申请须说明用途，经岗位主管与系统 Owner 审批。</w:t>
      </w:r>
    </w:p>
    <w:p>
      <w:pPr>
        <w:pStyle w:val="ListNumber"/>
      </w:pPr>
      <w:r>
        <w:t>高敏感权限（如生产数据库、管理员权限）需额外审批与记录。</w:t>
      </w:r>
    </w:p>
    <w:p>
      <w:pPr>
        <w:pStyle w:val="ListNumber"/>
      </w:pPr>
      <w:r>
        <w:t>遵循职责分离，关键操作避免由单一人员独立完成。</w:t>
      </w:r>
    </w:p>
    <w:p>
      <w:pPr>
        <w:pStyle w:val="Heading1"/>
      </w:pPr>
      <w:r>
        <w:t>四、权限变更与回收</w:t>
      </w:r>
    </w:p>
    <w:p>
      <w:pPr>
        <w:pStyle w:val="ListBullet"/>
      </w:pPr>
      <w:r>
        <w:t>岗位调动：及时调整权限，回收原岗位不再需要的权限。</w:t>
      </w:r>
    </w:p>
    <w:p>
      <w:pPr>
        <w:pStyle w:val="ListBullet"/>
      </w:pPr>
      <w:r>
        <w:t>离职：在离职当日回收所有账号与权限，禁用账号。</w:t>
      </w:r>
    </w:p>
    <w:p>
      <w:pPr>
        <w:pStyle w:val="ListBullet"/>
      </w:pPr>
      <w:r>
        <w:t>定期复核：每季度对权限进行复核，清理冗余授权。</w:t>
      </w:r>
    </w:p>
    <w:p>
      <w:pPr>
        <w:pStyle w:val="Heading1"/>
      </w:pPr>
      <w:r>
        <w:t>五、密码与认证</w:t>
      </w:r>
    </w:p>
    <w:p>
      <w:pPr>
        <w:pStyle w:val="ListNumber"/>
      </w:pPr>
      <w:r>
        <w:t>密码须满足复杂度要求，定期更换，禁止重复使用旧密码。</w:t>
      </w:r>
    </w:p>
    <w:p>
      <w:pPr>
        <w:pStyle w:val="ListNumber"/>
      </w:pPr>
      <w:r>
        <w:t>重要系统启用多因素认证（MFA）。</w:t>
      </w:r>
    </w:p>
    <w:p>
      <w:pPr>
        <w:pStyle w:val="ListNumber"/>
      </w:pPr>
      <w:r>
        <w:t>禁止明文记录、传输密码；禁止将密码写入代码或配置仓库。</w:t>
      </w:r>
    </w:p>
    <w:p>
      <w:pPr>
        <w:pStyle w:val="ListNumber"/>
      </w:pPr>
      <w:r>
        <w:t>连续登录失败达到阈值应锁定账号并告警。</w:t>
      </w:r>
    </w:p>
    <w:p>
      <w:pPr>
        <w:pStyle w:val="Heading1"/>
      </w:pPr>
      <w:r>
        <w:t>六、监控与审计</w:t>
      </w:r>
    </w:p>
    <w:p>
      <w:pPr>
        <w:pStyle w:val="ListBullet"/>
      </w:pPr>
      <w:r>
        <w:t>对账号登录、权限变更、敏感操作进行日志记录。</w:t>
      </w:r>
    </w:p>
    <w:p>
      <w:pPr>
        <w:pStyle w:val="ListBullet"/>
      </w:pPr>
      <w:r>
        <w:t>定期审计异常登录、越权访问与长期未使用账号。</w:t>
      </w:r>
    </w:p>
    <w:p>
      <w:pPr>
        <w:pStyle w:val="ListBullet"/>
      </w:pPr>
      <w:r>
        <w:t>发现异常及时告警并处置。</w:t>
      </w:r>
    </w:p>
    <w:p>
      <w:pPr>
        <w:pStyle w:val="Heading1"/>
      </w:pPr>
      <w:r>
        <w:t>七、附则</w:t>
      </w:r>
    </w:p>
    <w:p>
      <w:r>
        <w:t>本规范由信息安全部门负责解释与维护，各系统 Owner 负责落地执行。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