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年终奖与绩效奖金发放办法</w:t>
      </w:r>
    </w:p>
    <w:p>
      <w:pPr>
        <w:pStyle w:val="Heading1"/>
      </w:pPr>
      <w:r>
        <w:t>第一章 总则</w:t>
      </w:r>
    </w:p>
    <w:p>
      <w:r>
        <w:t>第一条 为规范年终奖与各类绩效奖金的核算与发放，充分发挥薪酬的激励作用，特制定本办法。</w:t>
      </w:r>
    </w:p>
    <w:p>
      <w:r>
        <w:t>第二条 本办法适用于截至当年 12 月 31 日仍在职的正式员工。</w:t>
      </w:r>
    </w:p>
    <w:p>
      <w:pPr>
        <w:pStyle w:val="Heading1"/>
      </w:pPr>
      <w:r>
        <w:t>第二章 年终奖</w:t>
      </w:r>
    </w:p>
    <w:p>
      <w:r>
        <w:t>第三条 年终奖核算公式为：</w:t>
      </w:r>
    </w:p>
    <w:p>
      <w:r>
        <w:t>年终奖 = 月度基本工资 × 奖金系数 × 绩效系数 × 在职月份 / 12</w:t>
      </w:r>
    </w:p>
    <w:p>
      <w:r>
        <w:t>第四条 奖金系数由公司根据当年度经营业绩确定，一般在 1.0 — 4.0 之间，于次年 1 月经营会议审议后公布。</w:t>
      </w:r>
    </w:p>
    <w:p>
      <w:r>
        <w:t>第五条 绩效系数与员工年度考核等级对应关系如下：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年度考核等级</w:t>
            </w:r>
          </w:p>
        </w:tc>
        <w:tc>
          <w:tcPr>
            <w:tcW w:type="dxa" w:w="2880"/>
          </w:tcPr>
          <w:p>
            <w:r>
              <w:t>绩效系数</w:t>
            </w:r>
          </w:p>
        </w:tc>
        <w:tc>
          <w:tcPr>
            <w:tcW w:type="dxa" w:w="2880"/>
          </w:tcPr>
          <w:p>
            <w:r>
              <w:t>人员比例上限</w:t>
            </w:r>
          </w:p>
        </w:tc>
      </w:tr>
      <w:tr>
        <w:tc>
          <w:tcPr>
            <w:tcW w:type="dxa" w:w="2880"/>
          </w:tcPr>
          <w:p>
            <w:r>
              <w:t>S（优秀）</w:t>
            </w:r>
          </w:p>
        </w:tc>
        <w:tc>
          <w:tcPr>
            <w:tcW w:type="dxa" w:w="2880"/>
          </w:tcPr>
          <w:p>
            <w:r>
              <w:t>1.5</w:t>
            </w:r>
          </w:p>
        </w:tc>
        <w:tc>
          <w:tcPr>
            <w:tcW w:type="dxa" w:w="2880"/>
          </w:tcPr>
          <w:p>
            <w:r>
              <w:t>10%</w:t>
            </w:r>
          </w:p>
        </w:tc>
      </w:tr>
      <w:tr>
        <w:tc>
          <w:tcPr>
            <w:tcW w:type="dxa" w:w="2880"/>
          </w:tcPr>
          <w:p>
            <w:r>
              <w:t>A（良好）</w:t>
            </w:r>
          </w:p>
        </w:tc>
        <w:tc>
          <w:tcPr>
            <w:tcW w:type="dxa" w:w="2880"/>
          </w:tcPr>
          <w:p>
            <w:r>
              <w:t>1.2</w:t>
            </w:r>
          </w:p>
        </w:tc>
        <w:tc>
          <w:tcPr>
            <w:tcW w:type="dxa" w:w="2880"/>
          </w:tcPr>
          <w:p>
            <w:r>
              <w:t>30%</w:t>
            </w:r>
          </w:p>
        </w:tc>
      </w:tr>
      <w:tr>
        <w:tc>
          <w:tcPr>
            <w:tcW w:type="dxa" w:w="2880"/>
          </w:tcPr>
          <w:p>
            <w:r>
              <w:t>B（合格）</w:t>
            </w:r>
          </w:p>
        </w:tc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50%</w:t>
            </w:r>
          </w:p>
        </w:tc>
      </w:tr>
      <w:tr>
        <w:tc>
          <w:tcPr>
            <w:tcW w:type="dxa" w:w="2880"/>
          </w:tcPr>
          <w:p>
            <w:r>
              <w:t>C（待改进）</w:t>
            </w:r>
          </w:p>
        </w:tc>
        <w:tc>
          <w:tcPr>
            <w:tcW w:type="dxa" w:w="2880"/>
          </w:tcPr>
          <w:p>
            <w:r>
              <w:t>0.6</w:t>
            </w:r>
          </w:p>
        </w:tc>
        <w:tc>
          <w:tcPr>
            <w:tcW w:type="dxa" w:w="2880"/>
          </w:tcPr>
          <w:p>
            <w:r>
              <w:t>不限</w:t>
            </w:r>
          </w:p>
        </w:tc>
      </w:tr>
      <w:tr>
        <w:tc>
          <w:tcPr>
            <w:tcW w:type="dxa" w:w="2880"/>
          </w:tcPr>
          <w:p>
            <w:r>
              <w:t>D（不合格）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不限</w:t>
            </w:r>
          </w:p>
        </w:tc>
      </w:tr>
    </w:tbl>
    <w:p>
      <w:r>
        <w:t>第六条 当年入职的新员工，按实际在职月份折算年终奖；入职不满 3 个月的，原则上不参与当年年终奖分配。</w:t>
      </w:r>
    </w:p>
    <w:p>
      <w:r>
        <w:t>第七条 年终奖于次年 2 月春节前随工资发放。发放日前已办理离职手续或处于离职流程中的员工，不再享受年终奖。</w:t>
      </w:r>
    </w:p>
    <w:p>
      <w:pPr>
        <w:pStyle w:val="Heading1"/>
      </w:pPr>
      <w:r>
        <w:t>第三章 季度绩效奖金</w:t>
      </w:r>
    </w:p>
    <w:p>
      <w:r>
        <w:t>第八条 销售、客户成功等业务序列岗位实行季度绩效奖金制，不再参与月度绩效工资分配。</w:t>
      </w:r>
    </w:p>
    <w:p>
      <w:r>
        <w:t>第九条 季度绩效奖金 = 季度奖金基数 × 目标达成率对应的提成系数。</w:t>
      </w:r>
    </w:p>
    <w:p>
      <w:r>
        <w:t>第十条 目标达成率与提成系数对应关系：</w:t>
      </w:r>
    </w:p>
    <w:p>
      <w:pPr>
        <w:pStyle w:val="ListBullet"/>
      </w:pPr>
      <w:r>
        <w:t>达成率 &lt; 60%：提成系数 0</w:t>
      </w:r>
    </w:p>
    <w:p>
      <w:pPr>
        <w:pStyle w:val="ListBullet"/>
      </w:pPr>
      <w:r>
        <w:t>达成率 60% — 79%：提成系数 0.5</w:t>
      </w:r>
    </w:p>
    <w:p>
      <w:pPr>
        <w:pStyle w:val="ListBullet"/>
      </w:pPr>
      <w:r>
        <w:t>达成率 80% — 99%：提成系数 0.8</w:t>
      </w:r>
    </w:p>
    <w:p>
      <w:pPr>
        <w:pStyle w:val="ListBullet"/>
      </w:pPr>
      <w:r>
        <w:t>达成率 100% — 119%：提成系数 1.0</w:t>
      </w:r>
    </w:p>
    <w:p>
      <w:pPr>
        <w:pStyle w:val="ListBullet"/>
      </w:pPr>
      <w:r>
        <w:t>达成率 ≥ 120%：提成系数 1.3，超额部分另行计提</w:t>
      </w:r>
    </w:p>
    <w:p>
      <w:pPr>
        <w:pStyle w:val="Heading1"/>
      </w:pPr>
      <w:r>
        <w:t>第四章 项目奖金</w:t>
      </w:r>
    </w:p>
    <w:p>
      <w:r>
        <w:t>第十一条 被公司立项为 A 级的重点项目，可在结项验收通过后申请项目奖金，总额为项目预算的 3% — 8%。</w:t>
      </w:r>
    </w:p>
    <w:p>
      <w:r>
        <w:t>第十二条 项目奖金由项目经理提出分配方案，按成员贡献度分配，经部门总监与人力资源部审核后发放。单个成员分配比例原则上不超过总额的 30%。</w:t>
      </w:r>
    </w:p>
    <w:p>
      <w:pPr>
        <w:pStyle w:val="Heading1"/>
      </w:pPr>
      <w:r>
        <w:t>第五章 附则</w:t>
      </w:r>
    </w:p>
    <w:p>
      <w:r>
        <w:t>第十三条 各类奖金均为税前金额，公司依法代扣代缴个人所得税。</w:t>
      </w:r>
    </w:p>
    <w:p>
      <w:r>
        <w:t>第十四条 对奖金核算结果有异议的，可在公示期（3 个工作日）内向人力资源部申诉。</w:t>
      </w:r>
    </w:p>
    <w:p>
      <w:r>
        <w:t>第十五条 本办法自发布之日起施行，由人力资源部与财务部共同解释。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