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AF21C" w14:textId="77777777" w:rsidR="00207845" w:rsidRPr="00AF15C5" w:rsidRDefault="00207845">
      <w:pPr>
        <w:rPr>
          <w:b/>
          <w:bCs/>
          <w:sz w:val="28"/>
          <w:szCs w:val="28"/>
          <w:u w:val="single"/>
        </w:rPr>
      </w:pPr>
      <w:r w:rsidRPr="00AF15C5">
        <w:rPr>
          <w:b/>
          <w:bCs/>
          <w:sz w:val="28"/>
          <w:szCs w:val="28"/>
          <w:u w:val="single"/>
        </w:rPr>
        <w:t xml:space="preserve">Distribution of Depression Scores Across Cases </w:t>
      </w:r>
    </w:p>
    <w:p w14:paraId="4697090B" w14:textId="77777777" w:rsidR="00207845" w:rsidRPr="00AF15C5" w:rsidRDefault="00151F3D" w:rsidP="00207845">
      <w:pPr>
        <w:jc w:val="both"/>
        <w:rPr>
          <w:b/>
          <w:bCs/>
        </w:rPr>
      </w:pPr>
      <w:r w:rsidRPr="00151F3D">
        <w:rPr>
          <w:noProof/>
        </w:rPr>
        <w:drawing>
          <wp:inline distT="0" distB="0" distL="0" distR="0" wp14:anchorId="187FC90A" wp14:editId="795046CB">
            <wp:extent cx="5943600" cy="2713939"/>
            <wp:effectExtent l="0" t="0" r="0" b="0"/>
            <wp:docPr id="199689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5739" name=""/>
                    <pic:cNvPicPr/>
                  </pic:nvPicPr>
                  <pic:blipFill>
                    <a:blip r:embed="rId5"/>
                    <a:stretch>
                      <a:fillRect/>
                    </a:stretch>
                  </pic:blipFill>
                  <pic:spPr>
                    <a:xfrm>
                      <a:off x="0" y="0"/>
                      <a:ext cx="5966931" cy="2724592"/>
                    </a:xfrm>
                    <a:prstGeom prst="rect">
                      <a:avLst/>
                    </a:prstGeom>
                  </pic:spPr>
                </pic:pic>
              </a:graphicData>
            </a:graphic>
          </wp:inline>
        </w:drawing>
      </w:r>
    </w:p>
    <w:p w14:paraId="53B50869" w14:textId="3CC964E7" w:rsidR="00AF15C5" w:rsidRDefault="00AF15C5" w:rsidP="00AF15C5">
      <w:pPr>
        <w:jc w:val="center"/>
      </w:pPr>
      <w:r w:rsidRPr="00AF15C5">
        <w:rPr>
          <w:b/>
          <w:bCs/>
        </w:rPr>
        <w:t>Figure 1:</w:t>
      </w:r>
      <w:r>
        <w:t xml:space="preserve"> </w:t>
      </w:r>
      <w:r w:rsidRPr="00AF15C5">
        <w:t>Monthly Temperature and Rainfall Trends: A Dual-Axis Analysis of Seasonal Variations</w:t>
      </w:r>
      <w:r>
        <w:t>.</w:t>
      </w:r>
    </w:p>
    <w:p w14:paraId="516500E6" w14:textId="77777777" w:rsidR="00AF15C5" w:rsidRDefault="00AF15C5" w:rsidP="00AF15C5">
      <w:pPr>
        <w:jc w:val="center"/>
      </w:pPr>
    </w:p>
    <w:p w14:paraId="336BB53B" w14:textId="77777777" w:rsidR="00AF15C5" w:rsidRPr="00AF15C5" w:rsidRDefault="00AF15C5" w:rsidP="00AF15C5">
      <w:pPr>
        <w:jc w:val="both"/>
        <w:rPr>
          <w:b/>
          <w:bCs/>
          <w:u w:val="single"/>
        </w:rPr>
      </w:pPr>
      <w:r w:rsidRPr="00AF15C5">
        <w:rPr>
          <w:b/>
          <w:bCs/>
          <w:u w:val="single"/>
        </w:rPr>
        <w:t>Temperature and Rainfall Trends Analysis</w:t>
      </w:r>
    </w:p>
    <w:p w14:paraId="461468D5" w14:textId="77777777" w:rsidR="00AF15C5" w:rsidRPr="00AF15C5" w:rsidRDefault="00AF15C5" w:rsidP="00AF15C5">
      <w:pPr>
        <w:jc w:val="both"/>
        <w:rPr>
          <w:b/>
          <w:bCs/>
        </w:rPr>
      </w:pPr>
      <w:r w:rsidRPr="00AF15C5">
        <w:rPr>
          <w:b/>
          <w:bCs/>
        </w:rPr>
        <w:t>1. Temperature Trends</w:t>
      </w:r>
    </w:p>
    <w:p w14:paraId="18068966" w14:textId="77777777" w:rsidR="00AF15C5" w:rsidRPr="00AF15C5" w:rsidRDefault="00AF15C5" w:rsidP="00AF15C5">
      <w:pPr>
        <w:numPr>
          <w:ilvl w:val="0"/>
          <w:numId w:val="11"/>
        </w:numPr>
        <w:jc w:val="both"/>
      </w:pPr>
      <w:r w:rsidRPr="00AF15C5">
        <w:rPr>
          <w:b/>
          <w:bCs/>
        </w:rPr>
        <w:t>Range</w:t>
      </w:r>
      <w:r w:rsidRPr="00AF15C5">
        <w:t xml:space="preserve">: The average monthly temperature varies from </w:t>
      </w:r>
      <w:r w:rsidRPr="00AF15C5">
        <w:rPr>
          <w:b/>
          <w:bCs/>
        </w:rPr>
        <w:t>10°C</w:t>
      </w:r>
      <w:r w:rsidRPr="00AF15C5">
        <w:t xml:space="preserve"> in </w:t>
      </w:r>
      <w:r w:rsidRPr="00AF15C5">
        <w:rPr>
          <w:b/>
          <w:bCs/>
        </w:rPr>
        <w:t>January</w:t>
      </w:r>
      <w:r w:rsidRPr="00AF15C5">
        <w:t xml:space="preserve"> (coldest) to </w:t>
      </w:r>
      <w:r w:rsidRPr="00AF15C5">
        <w:rPr>
          <w:b/>
          <w:bCs/>
        </w:rPr>
        <w:t>43°C</w:t>
      </w:r>
      <w:r w:rsidRPr="00AF15C5">
        <w:t xml:space="preserve"> in </w:t>
      </w:r>
      <w:r w:rsidRPr="00AF15C5">
        <w:rPr>
          <w:b/>
          <w:bCs/>
        </w:rPr>
        <w:t>July</w:t>
      </w:r>
      <w:r w:rsidRPr="00AF15C5">
        <w:t xml:space="preserve"> (hottest).</w:t>
      </w:r>
    </w:p>
    <w:p w14:paraId="4DD1D59C" w14:textId="77777777" w:rsidR="00AF15C5" w:rsidRPr="00AF15C5" w:rsidRDefault="00AF15C5" w:rsidP="00AF15C5">
      <w:pPr>
        <w:numPr>
          <w:ilvl w:val="0"/>
          <w:numId w:val="11"/>
        </w:numPr>
        <w:jc w:val="both"/>
      </w:pPr>
      <w:r w:rsidRPr="00AF15C5">
        <w:rPr>
          <w:b/>
          <w:bCs/>
        </w:rPr>
        <w:t>Pattern</w:t>
      </w:r>
      <w:r w:rsidRPr="00AF15C5">
        <w:t>: Temperatures rise consistently from January to July, peaking in the summer months, and then gradually decline from August to December.</w:t>
      </w:r>
    </w:p>
    <w:p w14:paraId="05FCAD6C" w14:textId="77777777" w:rsidR="00AF15C5" w:rsidRPr="00AF15C5" w:rsidRDefault="00AF15C5" w:rsidP="00AF15C5">
      <w:pPr>
        <w:jc w:val="both"/>
        <w:rPr>
          <w:b/>
          <w:bCs/>
        </w:rPr>
      </w:pPr>
      <w:r w:rsidRPr="00AF15C5">
        <w:rPr>
          <w:b/>
          <w:bCs/>
        </w:rPr>
        <w:t>2. Rainfall Trends</w:t>
      </w:r>
    </w:p>
    <w:p w14:paraId="4995C35A" w14:textId="77777777" w:rsidR="00AF15C5" w:rsidRPr="00AF15C5" w:rsidRDefault="00AF15C5" w:rsidP="00AF15C5">
      <w:pPr>
        <w:numPr>
          <w:ilvl w:val="0"/>
          <w:numId w:val="12"/>
        </w:numPr>
        <w:jc w:val="both"/>
      </w:pPr>
      <w:r w:rsidRPr="00AF15C5">
        <w:rPr>
          <w:b/>
          <w:bCs/>
        </w:rPr>
        <w:t>Range</w:t>
      </w:r>
      <w:r w:rsidRPr="00AF15C5">
        <w:t xml:space="preserve">: Rainfall fluctuates throughout the year, with the lowest at </w:t>
      </w:r>
      <w:r w:rsidRPr="00AF15C5">
        <w:rPr>
          <w:b/>
          <w:bCs/>
        </w:rPr>
        <w:t>25 mm</w:t>
      </w:r>
      <w:r w:rsidRPr="00AF15C5">
        <w:t xml:space="preserve"> in </w:t>
      </w:r>
      <w:r w:rsidRPr="00AF15C5">
        <w:rPr>
          <w:b/>
          <w:bCs/>
        </w:rPr>
        <w:t>March</w:t>
      </w:r>
      <w:r w:rsidRPr="00AF15C5">
        <w:t xml:space="preserve"> and the highest at </w:t>
      </w:r>
      <w:r w:rsidRPr="00AF15C5">
        <w:rPr>
          <w:b/>
          <w:bCs/>
        </w:rPr>
        <w:t>60 mm</w:t>
      </w:r>
      <w:r w:rsidRPr="00AF15C5">
        <w:t xml:space="preserve"> in </w:t>
      </w:r>
      <w:r w:rsidRPr="00AF15C5">
        <w:rPr>
          <w:b/>
          <w:bCs/>
        </w:rPr>
        <w:t>September</w:t>
      </w:r>
      <w:r w:rsidRPr="00AF15C5">
        <w:t>.</w:t>
      </w:r>
    </w:p>
    <w:p w14:paraId="1174399A" w14:textId="77777777" w:rsidR="00AF15C5" w:rsidRPr="00AF15C5" w:rsidRDefault="00AF15C5" w:rsidP="00AF15C5">
      <w:pPr>
        <w:numPr>
          <w:ilvl w:val="0"/>
          <w:numId w:val="12"/>
        </w:numPr>
        <w:jc w:val="both"/>
      </w:pPr>
      <w:r w:rsidRPr="00AF15C5">
        <w:rPr>
          <w:b/>
          <w:bCs/>
        </w:rPr>
        <w:t>Pattern</w:t>
      </w:r>
      <w:r w:rsidRPr="00AF15C5">
        <w:t>: Rainfall increases from January to September, reflecting the monsoon season, before tapering off towards the end of the year.</w:t>
      </w:r>
    </w:p>
    <w:p w14:paraId="32D27D9F" w14:textId="77777777" w:rsidR="00AF15C5" w:rsidRPr="00AF15C5" w:rsidRDefault="00AF15C5" w:rsidP="00AF15C5">
      <w:pPr>
        <w:jc w:val="both"/>
        <w:rPr>
          <w:b/>
          <w:bCs/>
        </w:rPr>
      </w:pPr>
      <w:r w:rsidRPr="00AF15C5">
        <w:rPr>
          <w:b/>
          <w:bCs/>
        </w:rPr>
        <w:t>3. Combined Patterns</w:t>
      </w:r>
    </w:p>
    <w:p w14:paraId="502A0AD6" w14:textId="77777777" w:rsidR="00AF15C5" w:rsidRPr="00AF15C5" w:rsidRDefault="00AF15C5" w:rsidP="00AF15C5">
      <w:pPr>
        <w:numPr>
          <w:ilvl w:val="0"/>
          <w:numId w:val="13"/>
        </w:numPr>
        <w:jc w:val="both"/>
      </w:pPr>
      <w:r w:rsidRPr="00AF15C5">
        <w:rPr>
          <w:b/>
          <w:bCs/>
        </w:rPr>
        <w:t>Temperature and Rainfall</w:t>
      </w:r>
      <w:r w:rsidRPr="00AF15C5">
        <w:t>: The hottest months (</w:t>
      </w:r>
      <w:r w:rsidRPr="00AF15C5">
        <w:rPr>
          <w:b/>
          <w:bCs/>
        </w:rPr>
        <w:t>June, July, August</w:t>
      </w:r>
      <w:r w:rsidRPr="00AF15C5">
        <w:t>) coincide with moderate to high rainfall levels, which aligns with the typical tropical climate pattern.</w:t>
      </w:r>
    </w:p>
    <w:p w14:paraId="77EE97EB" w14:textId="77777777" w:rsidR="00AF15C5" w:rsidRPr="00AF15C5" w:rsidRDefault="00AF15C5" w:rsidP="00AF15C5">
      <w:pPr>
        <w:numPr>
          <w:ilvl w:val="0"/>
          <w:numId w:val="13"/>
        </w:numPr>
        <w:jc w:val="both"/>
      </w:pPr>
      <w:r w:rsidRPr="00AF15C5">
        <w:rPr>
          <w:b/>
          <w:bCs/>
        </w:rPr>
        <w:t>Post-Monsoon</w:t>
      </w:r>
      <w:r w:rsidRPr="00AF15C5">
        <w:t xml:space="preserve">: From </w:t>
      </w:r>
      <w:r w:rsidRPr="00AF15C5">
        <w:rPr>
          <w:b/>
          <w:bCs/>
        </w:rPr>
        <w:t>October to December</w:t>
      </w:r>
      <w:r w:rsidRPr="00AF15C5">
        <w:t xml:space="preserve">, temperatures and rainfall both </w:t>
      </w:r>
      <w:proofErr w:type="gramStart"/>
      <w:r w:rsidRPr="00AF15C5">
        <w:t>decrease</w:t>
      </w:r>
      <w:proofErr w:type="gramEnd"/>
      <w:r w:rsidRPr="00AF15C5">
        <w:t>.</w:t>
      </w:r>
    </w:p>
    <w:p w14:paraId="3165E2C2" w14:textId="77777777" w:rsidR="00AF15C5" w:rsidRDefault="00AF15C5" w:rsidP="00AF15C5">
      <w:pPr>
        <w:jc w:val="both"/>
      </w:pPr>
    </w:p>
    <w:p w14:paraId="7B8DF6A0" w14:textId="77777777" w:rsidR="00AF15C5" w:rsidRPr="00AF15C5" w:rsidRDefault="00AF15C5" w:rsidP="00AF15C5">
      <w:pPr>
        <w:jc w:val="both"/>
      </w:pPr>
    </w:p>
    <w:p w14:paraId="1BC8CCC7" w14:textId="77777777" w:rsidR="00AF15C5" w:rsidRPr="00AF15C5" w:rsidRDefault="00AF15C5" w:rsidP="00AF15C5">
      <w:pPr>
        <w:jc w:val="both"/>
        <w:rPr>
          <w:b/>
          <w:bCs/>
          <w:u w:val="single"/>
        </w:rPr>
      </w:pPr>
      <w:r w:rsidRPr="00AF15C5">
        <w:rPr>
          <w:b/>
          <w:bCs/>
          <w:u w:val="single"/>
        </w:rPr>
        <w:lastRenderedPageBreak/>
        <w:t>Chart Details</w:t>
      </w:r>
    </w:p>
    <w:p w14:paraId="0164A37F" w14:textId="77777777" w:rsidR="00AF15C5" w:rsidRPr="00AF15C5" w:rsidRDefault="00AF15C5" w:rsidP="00AF15C5">
      <w:pPr>
        <w:numPr>
          <w:ilvl w:val="0"/>
          <w:numId w:val="14"/>
        </w:numPr>
        <w:jc w:val="both"/>
      </w:pPr>
      <w:r w:rsidRPr="00AF15C5">
        <w:rPr>
          <w:b/>
          <w:bCs/>
        </w:rPr>
        <w:t>Dual-Axis Format</w:t>
      </w:r>
      <w:r w:rsidRPr="00AF15C5">
        <w:t>:</w:t>
      </w:r>
    </w:p>
    <w:p w14:paraId="0CE0F144" w14:textId="77777777" w:rsidR="00AF15C5" w:rsidRPr="00AF15C5" w:rsidRDefault="00AF15C5" w:rsidP="00AF15C5">
      <w:pPr>
        <w:numPr>
          <w:ilvl w:val="1"/>
          <w:numId w:val="14"/>
        </w:numPr>
        <w:jc w:val="both"/>
      </w:pPr>
      <w:r w:rsidRPr="00AF15C5">
        <w:rPr>
          <w:b/>
          <w:bCs/>
        </w:rPr>
        <w:t>Blue Bars</w:t>
      </w:r>
      <w:r w:rsidRPr="00AF15C5">
        <w:t>: Represent average monthly temperatures.</w:t>
      </w:r>
    </w:p>
    <w:p w14:paraId="2C94850A" w14:textId="77777777" w:rsidR="00AF15C5" w:rsidRPr="00AF15C5" w:rsidRDefault="00AF15C5" w:rsidP="00AF15C5">
      <w:pPr>
        <w:numPr>
          <w:ilvl w:val="1"/>
          <w:numId w:val="14"/>
        </w:numPr>
        <w:jc w:val="both"/>
      </w:pPr>
      <w:r w:rsidRPr="00AF15C5">
        <w:rPr>
          <w:b/>
          <w:bCs/>
        </w:rPr>
        <w:t>Orange Bars</w:t>
      </w:r>
      <w:r w:rsidRPr="00AF15C5">
        <w:t>: Represent average monthly rainfall.</w:t>
      </w:r>
    </w:p>
    <w:p w14:paraId="58C08C9D" w14:textId="77777777" w:rsidR="00AF15C5" w:rsidRPr="00AF15C5" w:rsidRDefault="00AF15C5" w:rsidP="00AF15C5">
      <w:pPr>
        <w:numPr>
          <w:ilvl w:val="0"/>
          <w:numId w:val="14"/>
        </w:numPr>
        <w:jc w:val="both"/>
      </w:pPr>
      <w:r w:rsidRPr="00AF15C5">
        <w:rPr>
          <w:b/>
          <w:bCs/>
        </w:rPr>
        <w:t>Seasonal Influence</w:t>
      </w:r>
      <w:r w:rsidRPr="00AF15C5">
        <w:t>: The chart shows how temperature and rainfall vary across months, illustrating the seasonal effects on both patterns.</w:t>
      </w:r>
    </w:p>
    <w:p w14:paraId="6DDF392A" w14:textId="2E0D8F32" w:rsidR="00AF15C5" w:rsidRPr="00AF15C5" w:rsidRDefault="00AF15C5" w:rsidP="00AF15C5">
      <w:pPr>
        <w:jc w:val="both"/>
      </w:pPr>
    </w:p>
    <w:p w14:paraId="27A0E56A" w14:textId="77777777" w:rsidR="00AF15C5" w:rsidRPr="00AF15C5" w:rsidRDefault="00AF15C5" w:rsidP="00AF15C5">
      <w:pPr>
        <w:jc w:val="both"/>
        <w:rPr>
          <w:b/>
          <w:bCs/>
          <w:u w:val="single"/>
        </w:rPr>
      </w:pPr>
      <w:r w:rsidRPr="00AF15C5">
        <w:rPr>
          <w:b/>
          <w:bCs/>
          <w:u w:val="single"/>
        </w:rPr>
        <w:t>Conclusion</w:t>
      </w:r>
    </w:p>
    <w:p w14:paraId="628DCF60" w14:textId="77777777" w:rsidR="00AF15C5" w:rsidRPr="00AF15C5" w:rsidRDefault="00AF15C5" w:rsidP="00AF15C5">
      <w:pPr>
        <w:jc w:val="both"/>
      </w:pPr>
      <w:r w:rsidRPr="00AF15C5">
        <w:t>This analysis provides insights into the relationship between temperature and rainfall throughout the year. Understanding these patterns is critical for applications in agriculture, water resource management, and climate studies.</w:t>
      </w:r>
    </w:p>
    <w:p w14:paraId="41214772" w14:textId="77777777" w:rsidR="00151F3D" w:rsidRPr="00151F3D" w:rsidRDefault="00151F3D" w:rsidP="00151F3D">
      <w:pPr>
        <w:jc w:val="both"/>
      </w:pPr>
    </w:p>
    <w:p w14:paraId="34BEACEB" w14:textId="77777777" w:rsidR="00FD5B3B" w:rsidRPr="00452CF3" w:rsidRDefault="00FD5B3B" w:rsidP="00FD5B3B">
      <w:pPr>
        <w:jc w:val="center"/>
        <w:rPr>
          <w:b/>
          <w:bCs/>
          <w:sz w:val="28"/>
          <w:szCs w:val="28"/>
        </w:rPr>
      </w:pPr>
      <w:r w:rsidRPr="00452CF3">
        <w:rPr>
          <w:b/>
          <w:bCs/>
          <w:sz w:val="28"/>
          <w:szCs w:val="28"/>
        </w:rPr>
        <w:t>Correlation matrix of CGPA, Department</w:t>
      </w:r>
      <w:r>
        <w:rPr>
          <w:b/>
          <w:bCs/>
          <w:sz w:val="28"/>
          <w:szCs w:val="28"/>
        </w:rPr>
        <w:t>,</w:t>
      </w:r>
      <w:r w:rsidRPr="00452CF3">
        <w:rPr>
          <w:b/>
          <w:bCs/>
          <w:sz w:val="28"/>
          <w:szCs w:val="28"/>
        </w:rPr>
        <w:t xml:space="preserve"> and Gender</w:t>
      </w:r>
    </w:p>
    <w:p w14:paraId="11FC784F" w14:textId="77777777" w:rsidR="00FD5B3B" w:rsidRDefault="00FD5B3B" w:rsidP="00FD5B3B">
      <w:r>
        <w:rPr>
          <w:noProof/>
        </w:rPr>
        <w:drawing>
          <wp:inline distT="0" distB="0" distL="0" distR="0" wp14:anchorId="17B8C280" wp14:editId="260A5994">
            <wp:extent cx="6108700" cy="3038475"/>
            <wp:effectExtent l="0" t="0" r="6350" b="9525"/>
            <wp:docPr id="95673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37679" name="Picture 956737679"/>
                    <pic:cNvPicPr/>
                  </pic:nvPicPr>
                  <pic:blipFill>
                    <a:blip r:embed="rId6">
                      <a:extLst>
                        <a:ext uri="{28A0092B-C50C-407E-A947-70E740481C1C}">
                          <a14:useLocalDpi xmlns:a14="http://schemas.microsoft.com/office/drawing/2010/main" val="0"/>
                        </a:ext>
                      </a:extLst>
                    </a:blip>
                    <a:stretch>
                      <a:fillRect/>
                    </a:stretch>
                  </pic:blipFill>
                  <pic:spPr>
                    <a:xfrm>
                      <a:off x="0" y="0"/>
                      <a:ext cx="6109557" cy="3038901"/>
                    </a:xfrm>
                    <a:prstGeom prst="rect">
                      <a:avLst/>
                    </a:prstGeom>
                  </pic:spPr>
                </pic:pic>
              </a:graphicData>
            </a:graphic>
          </wp:inline>
        </w:drawing>
      </w:r>
    </w:p>
    <w:p w14:paraId="0B6A299C" w14:textId="07315AD5" w:rsidR="00AF15C5" w:rsidRDefault="00AF15C5" w:rsidP="00AF15C5">
      <w:pPr>
        <w:jc w:val="center"/>
      </w:pPr>
      <w:r w:rsidRPr="00AF15C5">
        <w:rPr>
          <w:b/>
          <w:bCs/>
        </w:rPr>
        <w:t>Figure 2:</w:t>
      </w:r>
      <w:r w:rsidRPr="00AF15C5">
        <w:t xml:space="preserve"> Correlation Analysis of CGPA, Department, and Gender: Pearson's Coefficients and Significance Levels.</w:t>
      </w:r>
    </w:p>
    <w:p w14:paraId="17B53CA3" w14:textId="77777777" w:rsidR="00AF15C5" w:rsidRPr="00AF15C5" w:rsidRDefault="00AF15C5" w:rsidP="00AF15C5">
      <w:pPr>
        <w:jc w:val="both"/>
        <w:rPr>
          <w:b/>
          <w:bCs/>
          <w:u w:val="single"/>
        </w:rPr>
      </w:pPr>
      <w:r w:rsidRPr="00AF15C5">
        <w:rPr>
          <w:b/>
          <w:bCs/>
          <w:u w:val="single"/>
        </w:rPr>
        <w:t>Correlation Analysis Summary</w:t>
      </w:r>
    </w:p>
    <w:p w14:paraId="1EE40A24" w14:textId="77777777" w:rsidR="00AF15C5" w:rsidRPr="00AF15C5" w:rsidRDefault="00AF15C5" w:rsidP="00AF15C5">
      <w:pPr>
        <w:jc w:val="both"/>
        <w:rPr>
          <w:b/>
          <w:bCs/>
        </w:rPr>
      </w:pPr>
      <w:r w:rsidRPr="00AF15C5">
        <w:rPr>
          <w:b/>
          <w:bCs/>
        </w:rPr>
        <w:t>1. CGPA up to Current Semester and Department</w:t>
      </w:r>
    </w:p>
    <w:p w14:paraId="2D65C126" w14:textId="77777777" w:rsidR="00AF15C5" w:rsidRPr="00AF15C5" w:rsidRDefault="00AF15C5" w:rsidP="00AF15C5">
      <w:pPr>
        <w:numPr>
          <w:ilvl w:val="0"/>
          <w:numId w:val="6"/>
        </w:numPr>
        <w:jc w:val="both"/>
      </w:pPr>
      <w:r w:rsidRPr="00AF15C5">
        <w:rPr>
          <w:b/>
          <w:bCs/>
        </w:rPr>
        <w:t>Pearson Correlation Coefficient</w:t>
      </w:r>
      <w:r w:rsidRPr="00AF15C5">
        <w:t>: 0.024 (Very weak positive correlation)</w:t>
      </w:r>
    </w:p>
    <w:p w14:paraId="33AF9FE1" w14:textId="77777777" w:rsidR="00AF15C5" w:rsidRPr="00AF15C5" w:rsidRDefault="00AF15C5" w:rsidP="00AF15C5">
      <w:pPr>
        <w:numPr>
          <w:ilvl w:val="0"/>
          <w:numId w:val="6"/>
        </w:numPr>
        <w:jc w:val="both"/>
      </w:pPr>
      <w:r w:rsidRPr="00AF15C5">
        <w:rPr>
          <w:b/>
          <w:bCs/>
        </w:rPr>
        <w:t>Significance (p-value)</w:t>
      </w:r>
      <w:r w:rsidRPr="00AF15C5">
        <w:t>: 0.561 (&gt; 0.05, not statistically significant)</w:t>
      </w:r>
    </w:p>
    <w:p w14:paraId="739542BE" w14:textId="77777777" w:rsidR="00AF15C5" w:rsidRPr="00AF15C5" w:rsidRDefault="00AF15C5" w:rsidP="00AF15C5">
      <w:pPr>
        <w:jc w:val="both"/>
        <w:rPr>
          <w:b/>
          <w:bCs/>
        </w:rPr>
      </w:pPr>
      <w:r w:rsidRPr="00AF15C5">
        <w:rPr>
          <w:b/>
          <w:bCs/>
        </w:rPr>
        <w:lastRenderedPageBreak/>
        <w:t>2. CGPA up to Current Semester and Gender</w:t>
      </w:r>
    </w:p>
    <w:p w14:paraId="402E6238" w14:textId="77777777" w:rsidR="00AF15C5" w:rsidRPr="00AF15C5" w:rsidRDefault="00AF15C5" w:rsidP="00AF15C5">
      <w:pPr>
        <w:numPr>
          <w:ilvl w:val="0"/>
          <w:numId w:val="7"/>
        </w:numPr>
        <w:jc w:val="both"/>
      </w:pPr>
      <w:r w:rsidRPr="00AF15C5">
        <w:rPr>
          <w:b/>
          <w:bCs/>
        </w:rPr>
        <w:t>Pearson Correlation Coefficient</w:t>
      </w:r>
      <w:r w:rsidRPr="00AF15C5">
        <w:t>: -0.036 (Very weak negative correlation)</w:t>
      </w:r>
    </w:p>
    <w:p w14:paraId="4E7AC719" w14:textId="77777777" w:rsidR="00AF15C5" w:rsidRPr="00AF15C5" w:rsidRDefault="00AF15C5" w:rsidP="00AF15C5">
      <w:pPr>
        <w:numPr>
          <w:ilvl w:val="0"/>
          <w:numId w:val="7"/>
        </w:numPr>
        <w:jc w:val="both"/>
      </w:pPr>
      <w:r w:rsidRPr="00AF15C5">
        <w:rPr>
          <w:b/>
          <w:bCs/>
        </w:rPr>
        <w:t>Significance (p-value)</w:t>
      </w:r>
      <w:r w:rsidRPr="00AF15C5">
        <w:t>: 0.369 (&gt; 0.05, not statistically significant)</w:t>
      </w:r>
    </w:p>
    <w:p w14:paraId="5734F23B" w14:textId="77777777" w:rsidR="00AF15C5" w:rsidRPr="00AF15C5" w:rsidRDefault="00AF15C5" w:rsidP="00AF15C5">
      <w:pPr>
        <w:jc w:val="both"/>
        <w:rPr>
          <w:b/>
          <w:bCs/>
        </w:rPr>
      </w:pPr>
      <w:r w:rsidRPr="00AF15C5">
        <w:rPr>
          <w:b/>
          <w:bCs/>
        </w:rPr>
        <w:t>3. Department and Gender</w:t>
      </w:r>
    </w:p>
    <w:p w14:paraId="253DADB5" w14:textId="77777777" w:rsidR="00AF15C5" w:rsidRPr="00AF15C5" w:rsidRDefault="00AF15C5" w:rsidP="00AF15C5">
      <w:pPr>
        <w:numPr>
          <w:ilvl w:val="0"/>
          <w:numId w:val="8"/>
        </w:numPr>
        <w:jc w:val="both"/>
      </w:pPr>
      <w:r w:rsidRPr="00AF15C5">
        <w:rPr>
          <w:b/>
          <w:bCs/>
        </w:rPr>
        <w:t>Pearson Correlation Coefficient</w:t>
      </w:r>
      <w:r w:rsidRPr="00AF15C5">
        <w:t>: -0.097 (Weak negative correlation)</w:t>
      </w:r>
    </w:p>
    <w:p w14:paraId="3DB9E5F0" w14:textId="6D09BA7F" w:rsidR="00AF15C5" w:rsidRDefault="00AF15C5" w:rsidP="00AF15C5">
      <w:pPr>
        <w:numPr>
          <w:ilvl w:val="0"/>
          <w:numId w:val="8"/>
        </w:numPr>
        <w:jc w:val="both"/>
      </w:pPr>
      <w:r w:rsidRPr="00AF15C5">
        <w:rPr>
          <w:b/>
          <w:bCs/>
        </w:rPr>
        <w:t>Significance (p-value)</w:t>
      </w:r>
      <w:r w:rsidRPr="00AF15C5">
        <w:t>: 0.017 (&lt; 0.05, statistically significant)</w:t>
      </w:r>
    </w:p>
    <w:p w14:paraId="4366E0E1" w14:textId="77777777" w:rsidR="00AF15C5" w:rsidRDefault="00AF15C5" w:rsidP="00AF15C5">
      <w:pPr>
        <w:ind w:left="720"/>
        <w:jc w:val="both"/>
        <w:rPr>
          <w:b/>
          <w:bCs/>
        </w:rPr>
      </w:pPr>
    </w:p>
    <w:p w14:paraId="62DC3665" w14:textId="77777777" w:rsidR="00AF15C5" w:rsidRPr="00AF15C5" w:rsidRDefault="00AF15C5" w:rsidP="00AF15C5">
      <w:pPr>
        <w:ind w:left="720"/>
        <w:jc w:val="both"/>
      </w:pPr>
    </w:p>
    <w:p w14:paraId="1FB705DA" w14:textId="77777777" w:rsidR="00AF15C5" w:rsidRPr="00AF15C5" w:rsidRDefault="00AF15C5" w:rsidP="00AF15C5">
      <w:pPr>
        <w:jc w:val="both"/>
        <w:rPr>
          <w:b/>
          <w:bCs/>
          <w:u w:val="single"/>
        </w:rPr>
      </w:pPr>
      <w:r w:rsidRPr="00AF15C5">
        <w:rPr>
          <w:b/>
          <w:bCs/>
          <w:u w:val="single"/>
        </w:rPr>
        <w:t>Additional Details</w:t>
      </w:r>
    </w:p>
    <w:p w14:paraId="4B68319E" w14:textId="77777777" w:rsidR="00AF15C5" w:rsidRPr="00AF15C5" w:rsidRDefault="00AF15C5" w:rsidP="00AF15C5">
      <w:pPr>
        <w:numPr>
          <w:ilvl w:val="0"/>
          <w:numId w:val="9"/>
        </w:numPr>
        <w:jc w:val="both"/>
      </w:pPr>
      <w:r w:rsidRPr="00AF15C5">
        <w:rPr>
          <w:b/>
          <w:bCs/>
        </w:rPr>
        <w:t>Sample Size (N)</w:t>
      </w:r>
      <w:r w:rsidRPr="00AF15C5">
        <w:t>: 609</w:t>
      </w:r>
    </w:p>
    <w:p w14:paraId="774467CA" w14:textId="77777777" w:rsidR="00AF15C5" w:rsidRPr="00AF15C5" w:rsidRDefault="00AF15C5" w:rsidP="00AF15C5">
      <w:pPr>
        <w:numPr>
          <w:ilvl w:val="0"/>
          <w:numId w:val="9"/>
        </w:numPr>
        <w:jc w:val="both"/>
      </w:pPr>
      <w:r w:rsidRPr="00AF15C5">
        <w:rPr>
          <w:b/>
          <w:bCs/>
        </w:rPr>
        <w:t>Significance Level</w:t>
      </w:r>
      <w:r w:rsidRPr="00AF15C5">
        <w:t>: 0.05 (2-tailed)</w:t>
      </w:r>
    </w:p>
    <w:p w14:paraId="164EB815" w14:textId="351FA47F" w:rsidR="00AF15C5" w:rsidRPr="00AF15C5" w:rsidRDefault="00AF15C5" w:rsidP="00AF15C5">
      <w:pPr>
        <w:jc w:val="both"/>
      </w:pPr>
    </w:p>
    <w:p w14:paraId="64F8AF4E" w14:textId="77777777" w:rsidR="00AF15C5" w:rsidRPr="00AF15C5" w:rsidRDefault="00AF15C5" w:rsidP="00AF15C5">
      <w:pPr>
        <w:jc w:val="both"/>
        <w:rPr>
          <w:b/>
          <w:bCs/>
          <w:u w:val="single"/>
        </w:rPr>
      </w:pPr>
      <w:r w:rsidRPr="00AF15C5">
        <w:rPr>
          <w:b/>
          <w:bCs/>
          <w:u w:val="single"/>
        </w:rPr>
        <w:t>Key Observations</w:t>
      </w:r>
    </w:p>
    <w:p w14:paraId="336A2D96" w14:textId="77777777" w:rsidR="00AF15C5" w:rsidRPr="00AF15C5" w:rsidRDefault="00AF15C5" w:rsidP="00AF15C5">
      <w:pPr>
        <w:numPr>
          <w:ilvl w:val="0"/>
          <w:numId w:val="10"/>
        </w:numPr>
        <w:jc w:val="both"/>
      </w:pPr>
      <w:r w:rsidRPr="00AF15C5">
        <w:rPr>
          <w:b/>
          <w:bCs/>
        </w:rPr>
        <w:t>Non-significant Correlations</w:t>
      </w:r>
      <w:r w:rsidRPr="00AF15C5">
        <w:t>: The relationships between CGPA and Department, and CGPA and Gender, are both very weak and not statistically significant.</w:t>
      </w:r>
    </w:p>
    <w:p w14:paraId="0B639CB3" w14:textId="77777777" w:rsidR="00AF15C5" w:rsidRPr="00AF15C5" w:rsidRDefault="00AF15C5" w:rsidP="00AF15C5">
      <w:pPr>
        <w:numPr>
          <w:ilvl w:val="0"/>
          <w:numId w:val="10"/>
        </w:numPr>
        <w:jc w:val="both"/>
      </w:pPr>
      <w:r w:rsidRPr="00AF15C5">
        <w:rPr>
          <w:b/>
          <w:bCs/>
        </w:rPr>
        <w:t>Significant Correlation</w:t>
      </w:r>
      <w:r w:rsidRPr="00AF15C5">
        <w:t>: The relationship between Department and Gender is statistically significant (p = 0.017), but the correlation is weak, indicating a potential but limited association.</w:t>
      </w:r>
    </w:p>
    <w:p w14:paraId="077F4444" w14:textId="77777777" w:rsidR="00AF15C5" w:rsidRPr="00AF15C5" w:rsidRDefault="00AF15C5" w:rsidP="00AF15C5">
      <w:pPr>
        <w:numPr>
          <w:ilvl w:val="0"/>
          <w:numId w:val="10"/>
        </w:numPr>
        <w:jc w:val="both"/>
      </w:pPr>
      <w:r w:rsidRPr="00AF15C5">
        <w:rPr>
          <w:b/>
          <w:bCs/>
        </w:rPr>
        <w:t>Insight</w:t>
      </w:r>
      <w:r w:rsidRPr="00AF15C5">
        <w:t>: The significant relationship between Department and Gender might reflect variations in gender distribution across departments, though the strength of the correlation is not substantial.</w:t>
      </w:r>
    </w:p>
    <w:p w14:paraId="28EE1181" w14:textId="4672A4A8" w:rsidR="00FD5B3B" w:rsidRDefault="00AF15C5" w:rsidP="00FD5B3B">
      <w:pPr>
        <w:jc w:val="both"/>
      </w:pPr>
      <w:r w:rsidRPr="00AF15C5">
        <w:t>This analysis offers an understanding of the interactions among CGPA, department affiliation, and gender.</w:t>
      </w:r>
    </w:p>
    <w:p w14:paraId="6C3B4BB5" w14:textId="77777777" w:rsidR="00AF15C5" w:rsidRDefault="00AF15C5" w:rsidP="00FD5B3B">
      <w:pPr>
        <w:jc w:val="both"/>
      </w:pPr>
    </w:p>
    <w:p w14:paraId="50225123" w14:textId="77777777" w:rsidR="00FD5B3B" w:rsidRDefault="003F6231" w:rsidP="00207845">
      <w:pPr>
        <w:jc w:val="both"/>
      </w:pPr>
      <w:r w:rsidRPr="003F6231">
        <w:rPr>
          <w:noProof/>
        </w:rPr>
        <w:lastRenderedPageBreak/>
        <w:drawing>
          <wp:inline distT="0" distB="0" distL="0" distR="0" wp14:anchorId="761B5BA1" wp14:editId="129719AA">
            <wp:extent cx="5998210" cy="3167481"/>
            <wp:effectExtent l="0" t="0" r="2540" b="0"/>
            <wp:docPr id="214727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7848" name=""/>
                    <pic:cNvPicPr/>
                  </pic:nvPicPr>
                  <pic:blipFill>
                    <a:blip r:embed="rId7"/>
                    <a:stretch>
                      <a:fillRect/>
                    </a:stretch>
                  </pic:blipFill>
                  <pic:spPr>
                    <a:xfrm>
                      <a:off x="0" y="0"/>
                      <a:ext cx="6028709" cy="3183587"/>
                    </a:xfrm>
                    <a:prstGeom prst="rect">
                      <a:avLst/>
                    </a:prstGeom>
                  </pic:spPr>
                </pic:pic>
              </a:graphicData>
            </a:graphic>
          </wp:inline>
        </w:drawing>
      </w:r>
    </w:p>
    <w:p w14:paraId="43D2554D" w14:textId="2334D76B" w:rsidR="00AF15C5" w:rsidRDefault="00AF15C5" w:rsidP="00AF15C5">
      <w:pPr>
        <w:jc w:val="center"/>
      </w:pPr>
      <w:r w:rsidRPr="00AF15C5">
        <w:rPr>
          <w:b/>
          <w:bCs/>
        </w:rPr>
        <w:t xml:space="preserve">Figure </w:t>
      </w:r>
      <w:r>
        <w:rPr>
          <w:b/>
          <w:bCs/>
        </w:rPr>
        <w:t>3</w:t>
      </w:r>
      <w:r w:rsidRPr="00AF15C5">
        <w:rPr>
          <w:b/>
          <w:bCs/>
        </w:rPr>
        <w:t>:</w:t>
      </w:r>
      <w:r w:rsidRPr="00AF15C5">
        <w:t xml:space="preserve"> Descriptive Statistics of Environmental Monitoring and Remediation Variables</w:t>
      </w:r>
    </w:p>
    <w:p w14:paraId="4B6D6330" w14:textId="77777777" w:rsidR="00AF15C5" w:rsidRDefault="00AF15C5" w:rsidP="00AF15C5">
      <w:pPr>
        <w:jc w:val="center"/>
      </w:pPr>
    </w:p>
    <w:p w14:paraId="51061E9E" w14:textId="28E7130B" w:rsidR="003F6231" w:rsidRPr="003F6231" w:rsidRDefault="003F6231" w:rsidP="003F6231">
      <w:pPr>
        <w:jc w:val="both"/>
      </w:pPr>
      <w:r w:rsidRPr="003F6231">
        <w:t>This table presents descriptive statistics for variables relevant to the research. The key statistics include the range, minimum, maximum, mean, standard deviation, variance, skewness, and kurtosis for each variable, calculated from nine observations (N = 9). Below is a summary of the included variables and their statistical properties:</w:t>
      </w:r>
    </w:p>
    <w:p w14:paraId="72D17986" w14:textId="77777777" w:rsidR="003F6231" w:rsidRPr="003F6231" w:rsidRDefault="003F6231" w:rsidP="003F6231">
      <w:pPr>
        <w:numPr>
          <w:ilvl w:val="0"/>
          <w:numId w:val="1"/>
        </w:numPr>
        <w:jc w:val="both"/>
      </w:pPr>
      <w:r w:rsidRPr="003F6231">
        <w:rPr>
          <w:b/>
          <w:bCs/>
        </w:rPr>
        <w:t>Year</w:t>
      </w:r>
      <w:r w:rsidRPr="003F6231">
        <w:t>: The data spans a range of 8 years, from 2015 to 2023, with an average year value of 2019.</w:t>
      </w:r>
    </w:p>
    <w:p w14:paraId="692FF99F" w14:textId="77777777" w:rsidR="003F6231" w:rsidRPr="003F6231" w:rsidRDefault="003F6231" w:rsidP="003F6231">
      <w:pPr>
        <w:numPr>
          <w:ilvl w:val="0"/>
          <w:numId w:val="1"/>
        </w:numPr>
        <w:jc w:val="both"/>
      </w:pPr>
      <w:r w:rsidRPr="003F6231">
        <w:rPr>
          <w:b/>
          <w:bCs/>
        </w:rPr>
        <w:t>Types of Monitored Contaminants</w:t>
      </w:r>
      <w:r w:rsidRPr="003F6231">
        <w:t>: The number of contaminants monitored varies between 5 and 25, with an average of 14.89. The standard deviation is 6.9, indicating moderate variation.</w:t>
      </w:r>
    </w:p>
    <w:p w14:paraId="708830FC" w14:textId="77777777" w:rsidR="003F6231" w:rsidRPr="003F6231" w:rsidRDefault="003F6231" w:rsidP="003F6231">
      <w:pPr>
        <w:numPr>
          <w:ilvl w:val="0"/>
          <w:numId w:val="1"/>
        </w:numPr>
        <w:jc w:val="both"/>
      </w:pPr>
      <w:r w:rsidRPr="003F6231">
        <w:rPr>
          <w:b/>
          <w:bCs/>
        </w:rPr>
        <w:t>Pollutant Level</w:t>
      </w:r>
      <w:r w:rsidRPr="003F6231">
        <w:t>: Pollution levels range from 26 to 45, with a mean of 35.22 and a standard deviation of 6.701, reflecting relatively low variability.</w:t>
      </w:r>
    </w:p>
    <w:p w14:paraId="33CC26CA" w14:textId="77777777" w:rsidR="003F6231" w:rsidRPr="003F6231" w:rsidRDefault="003F6231" w:rsidP="003F6231">
      <w:pPr>
        <w:numPr>
          <w:ilvl w:val="0"/>
          <w:numId w:val="1"/>
        </w:numPr>
        <w:jc w:val="both"/>
      </w:pPr>
      <w:r w:rsidRPr="003F6231">
        <w:rPr>
          <w:b/>
          <w:bCs/>
        </w:rPr>
        <w:t>Count of Affected Areas</w:t>
      </w:r>
      <w:r w:rsidRPr="003F6231">
        <w:t>: The number of areas impacted ranges from 20 to 250, with a high mean of 132.22 and a variance of 4675.69, indicating considerable variability.</w:t>
      </w:r>
    </w:p>
    <w:p w14:paraId="39F8D4F2" w14:textId="77777777" w:rsidR="003F6231" w:rsidRPr="003F6231" w:rsidRDefault="003F6231" w:rsidP="003F6231">
      <w:pPr>
        <w:numPr>
          <w:ilvl w:val="0"/>
          <w:numId w:val="1"/>
        </w:numPr>
        <w:jc w:val="both"/>
      </w:pPr>
      <w:r w:rsidRPr="003F6231">
        <w:rPr>
          <w:b/>
          <w:bCs/>
        </w:rPr>
        <w:t>Mitigation Projects</w:t>
      </w:r>
      <w:r w:rsidRPr="003F6231">
        <w:t>: The number of mitigation projects implemented ranges from 3 to 25, with an average of 13 and a standard deviation of 7.616.</w:t>
      </w:r>
    </w:p>
    <w:p w14:paraId="1A0E1F48" w14:textId="77777777" w:rsidR="003F6231" w:rsidRPr="003F6231" w:rsidRDefault="003F6231" w:rsidP="003F6231">
      <w:pPr>
        <w:numPr>
          <w:ilvl w:val="0"/>
          <w:numId w:val="1"/>
        </w:numPr>
        <w:jc w:val="both"/>
      </w:pPr>
      <w:r w:rsidRPr="003F6231">
        <w:rPr>
          <w:b/>
          <w:bCs/>
        </w:rPr>
        <w:t>Introduced Types of Remediation Techniques</w:t>
      </w:r>
      <w:r w:rsidRPr="003F6231">
        <w:t>: The range of introduced techniques varies between 2 and 15, with a mean of 7.22 and low variability (SD = 4.381).</w:t>
      </w:r>
    </w:p>
    <w:p w14:paraId="2AD2DF0E" w14:textId="77777777" w:rsidR="003F6231" w:rsidRPr="003F6231" w:rsidRDefault="003F6231" w:rsidP="003F6231">
      <w:pPr>
        <w:numPr>
          <w:ilvl w:val="0"/>
          <w:numId w:val="1"/>
        </w:numPr>
        <w:jc w:val="both"/>
      </w:pPr>
      <w:r w:rsidRPr="003F6231">
        <w:rPr>
          <w:b/>
          <w:bCs/>
        </w:rPr>
        <w:t>Government Investment (Million USD)</w:t>
      </w:r>
      <w:r w:rsidRPr="003F6231">
        <w:t>: Government spending ranges from 10 to 50 million USD, with a mean of 25.78 and a standard deviation of 13.791.</w:t>
      </w:r>
    </w:p>
    <w:p w14:paraId="76C3E404" w14:textId="77777777" w:rsidR="003F6231" w:rsidRPr="003F6231" w:rsidRDefault="003F6231" w:rsidP="003F6231">
      <w:pPr>
        <w:numPr>
          <w:ilvl w:val="0"/>
          <w:numId w:val="1"/>
        </w:numPr>
        <w:jc w:val="both"/>
      </w:pPr>
      <w:r w:rsidRPr="003F6231">
        <w:rPr>
          <w:b/>
          <w:bCs/>
        </w:rPr>
        <w:t>Private Investment (Million USD)</w:t>
      </w:r>
      <w:r w:rsidRPr="003F6231">
        <w:t>: Private investments range from 2 to 35 million USD, with an average of 15.44 and a standard deviation of 12.167.</w:t>
      </w:r>
    </w:p>
    <w:p w14:paraId="540F55AD" w14:textId="77777777" w:rsidR="003F6231" w:rsidRPr="003F6231" w:rsidRDefault="003F6231" w:rsidP="003F6231">
      <w:pPr>
        <w:numPr>
          <w:ilvl w:val="0"/>
          <w:numId w:val="1"/>
        </w:numPr>
        <w:jc w:val="both"/>
      </w:pPr>
      <w:r w:rsidRPr="003F6231">
        <w:rPr>
          <w:b/>
          <w:bCs/>
        </w:rPr>
        <w:lastRenderedPageBreak/>
        <w:t>Number of Awareness Campaigns</w:t>
      </w:r>
      <w:r w:rsidRPr="003F6231">
        <w:t>: Campaigns range from 3 to 28, with an average of 14.67 and a standard deviation of 9.46.</w:t>
      </w:r>
    </w:p>
    <w:p w14:paraId="6B56C129" w14:textId="77777777" w:rsidR="003F6231" w:rsidRPr="003F6231" w:rsidRDefault="003F6231" w:rsidP="003F6231">
      <w:pPr>
        <w:jc w:val="both"/>
      </w:pPr>
      <w:r w:rsidRPr="003F6231">
        <w:t>The skewness and kurtosis values suggest that most variables are moderately symmetric and do not exhibit extreme outliers, as their values are close to zero. These statistics provide an overview of the data distribution and variability, supporting the analysis of trends and impacts in environmental monitoring and remediation efforts.</w:t>
      </w:r>
    </w:p>
    <w:p w14:paraId="7A3D30A3" w14:textId="77777777" w:rsidR="004777EF" w:rsidRDefault="004777EF" w:rsidP="003F6231">
      <w:pPr>
        <w:jc w:val="both"/>
      </w:pPr>
    </w:p>
    <w:sectPr w:rsidR="0047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2B97"/>
    <w:multiLevelType w:val="multilevel"/>
    <w:tmpl w:val="15B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5B5D"/>
    <w:multiLevelType w:val="multilevel"/>
    <w:tmpl w:val="8C7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5703"/>
    <w:multiLevelType w:val="multilevel"/>
    <w:tmpl w:val="C2A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A0447"/>
    <w:multiLevelType w:val="multilevel"/>
    <w:tmpl w:val="A1B0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65834"/>
    <w:multiLevelType w:val="multilevel"/>
    <w:tmpl w:val="17D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F66B6"/>
    <w:multiLevelType w:val="multilevel"/>
    <w:tmpl w:val="29D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E6B41"/>
    <w:multiLevelType w:val="multilevel"/>
    <w:tmpl w:val="E32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C16A8"/>
    <w:multiLevelType w:val="multilevel"/>
    <w:tmpl w:val="E5F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3B6D"/>
    <w:multiLevelType w:val="multilevel"/>
    <w:tmpl w:val="E6A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75DA7"/>
    <w:multiLevelType w:val="multilevel"/>
    <w:tmpl w:val="364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73184"/>
    <w:multiLevelType w:val="multilevel"/>
    <w:tmpl w:val="8BC2F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61F70"/>
    <w:multiLevelType w:val="multilevel"/>
    <w:tmpl w:val="933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42A41"/>
    <w:multiLevelType w:val="multilevel"/>
    <w:tmpl w:val="5968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60ED0"/>
    <w:multiLevelType w:val="multilevel"/>
    <w:tmpl w:val="C26C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835066">
    <w:abstractNumId w:val="12"/>
  </w:num>
  <w:num w:numId="2" w16cid:durableId="1426533630">
    <w:abstractNumId w:val="10"/>
  </w:num>
  <w:num w:numId="3" w16cid:durableId="912162463">
    <w:abstractNumId w:val="8"/>
  </w:num>
  <w:num w:numId="4" w16cid:durableId="522672301">
    <w:abstractNumId w:val="3"/>
  </w:num>
  <w:num w:numId="5" w16cid:durableId="2118477564">
    <w:abstractNumId w:val="6"/>
  </w:num>
  <w:num w:numId="6" w16cid:durableId="120657827">
    <w:abstractNumId w:val="9"/>
  </w:num>
  <w:num w:numId="7" w16cid:durableId="661010730">
    <w:abstractNumId w:val="1"/>
  </w:num>
  <w:num w:numId="8" w16cid:durableId="1014956733">
    <w:abstractNumId w:val="5"/>
  </w:num>
  <w:num w:numId="9" w16cid:durableId="59669489">
    <w:abstractNumId w:val="4"/>
  </w:num>
  <w:num w:numId="10" w16cid:durableId="283854128">
    <w:abstractNumId w:val="2"/>
  </w:num>
  <w:num w:numId="11" w16cid:durableId="1665471233">
    <w:abstractNumId w:val="0"/>
  </w:num>
  <w:num w:numId="12" w16cid:durableId="1521626683">
    <w:abstractNumId w:val="11"/>
  </w:num>
  <w:num w:numId="13" w16cid:durableId="327100761">
    <w:abstractNumId w:val="7"/>
  </w:num>
  <w:num w:numId="14" w16cid:durableId="8047351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45"/>
    <w:rsid w:val="000070C9"/>
    <w:rsid w:val="00151F3D"/>
    <w:rsid w:val="00207845"/>
    <w:rsid w:val="00215B9A"/>
    <w:rsid w:val="00221CDC"/>
    <w:rsid w:val="003F6231"/>
    <w:rsid w:val="004777EF"/>
    <w:rsid w:val="004C1A11"/>
    <w:rsid w:val="005725E0"/>
    <w:rsid w:val="006F6EAE"/>
    <w:rsid w:val="007850BC"/>
    <w:rsid w:val="007E5045"/>
    <w:rsid w:val="00975ED9"/>
    <w:rsid w:val="00AF15C5"/>
    <w:rsid w:val="00E13A91"/>
    <w:rsid w:val="00E85267"/>
    <w:rsid w:val="00FD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8C056"/>
  <w15:chartTrackingRefBased/>
  <w15:docId w15:val="{C2BF4B44-F490-4BF0-90C8-33A81159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A91"/>
    <w:rPr>
      <w:color w:val="0563C1" w:themeColor="hyperlink"/>
      <w:u w:val="single"/>
    </w:rPr>
  </w:style>
  <w:style w:type="character" w:styleId="UnresolvedMention">
    <w:name w:val="Unresolved Mention"/>
    <w:basedOn w:val="DefaultParagraphFont"/>
    <w:uiPriority w:val="99"/>
    <w:semiHidden/>
    <w:unhideWhenUsed/>
    <w:rsid w:val="00E13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98157">
      <w:bodyDiv w:val="1"/>
      <w:marLeft w:val="0"/>
      <w:marRight w:val="0"/>
      <w:marTop w:val="0"/>
      <w:marBottom w:val="0"/>
      <w:divBdr>
        <w:top w:val="none" w:sz="0" w:space="0" w:color="auto"/>
        <w:left w:val="none" w:sz="0" w:space="0" w:color="auto"/>
        <w:bottom w:val="none" w:sz="0" w:space="0" w:color="auto"/>
        <w:right w:val="none" w:sz="0" w:space="0" w:color="auto"/>
      </w:divBdr>
    </w:div>
    <w:div w:id="285086874">
      <w:bodyDiv w:val="1"/>
      <w:marLeft w:val="0"/>
      <w:marRight w:val="0"/>
      <w:marTop w:val="0"/>
      <w:marBottom w:val="0"/>
      <w:divBdr>
        <w:top w:val="none" w:sz="0" w:space="0" w:color="auto"/>
        <w:left w:val="none" w:sz="0" w:space="0" w:color="auto"/>
        <w:bottom w:val="none" w:sz="0" w:space="0" w:color="auto"/>
        <w:right w:val="none" w:sz="0" w:space="0" w:color="auto"/>
      </w:divBdr>
    </w:div>
    <w:div w:id="429198982">
      <w:bodyDiv w:val="1"/>
      <w:marLeft w:val="0"/>
      <w:marRight w:val="0"/>
      <w:marTop w:val="0"/>
      <w:marBottom w:val="0"/>
      <w:divBdr>
        <w:top w:val="none" w:sz="0" w:space="0" w:color="auto"/>
        <w:left w:val="none" w:sz="0" w:space="0" w:color="auto"/>
        <w:bottom w:val="none" w:sz="0" w:space="0" w:color="auto"/>
        <w:right w:val="none" w:sz="0" w:space="0" w:color="auto"/>
      </w:divBdr>
    </w:div>
    <w:div w:id="443891485">
      <w:bodyDiv w:val="1"/>
      <w:marLeft w:val="0"/>
      <w:marRight w:val="0"/>
      <w:marTop w:val="0"/>
      <w:marBottom w:val="0"/>
      <w:divBdr>
        <w:top w:val="none" w:sz="0" w:space="0" w:color="auto"/>
        <w:left w:val="none" w:sz="0" w:space="0" w:color="auto"/>
        <w:bottom w:val="none" w:sz="0" w:space="0" w:color="auto"/>
        <w:right w:val="none" w:sz="0" w:space="0" w:color="auto"/>
      </w:divBdr>
    </w:div>
    <w:div w:id="450250044">
      <w:bodyDiv w:val="1"/>
      <w:marLeft w:val="0"/>
      <w:marRight w:val="0"/>
      <w:marTop w:val="0"/>
      <w:marBottom w:val="0"/>
      <w:divBdr>
        <w:top w:val="none" w:sz="0" w:space="0" w:color="auto"/>
        <w:left w:val="none" w:sz="0" w:space="0" w:color="auto"/>
        <w:bottom w:val="none" w:sz="0" w:space="0" w:color="auto"/>
        <w:right w:val="none" w:sz="0" w:space="0" w:color="auto"/>
      </w:divBdr>
    </w:div>
    <w:div w:id="480468453">
      <w:bodyDiv w:val="1"/>
      <w:marLeft w:val="0"/>
      <w:marRight w:val="0"/>
      <w:marTop w:val="0"/>
      <w:marBottom w:val="0"/>
      <w:divBdr>
        <w:top w:val="none" w:sz="0" w:space="0" w:color="auto"/>
        <w:left w:val="none" w:sz="0" w:space="0" w:color="auto"/>
        <w:bottom w:val="none" w:sz="0" w:space="0" w:color="auto"/>
        <w:right w:val="none" w:sz="0" w:space="0" w:color="auto"/>
      </w:divBdr>
    </w:div>
    <w:div w:id="548078964">
      <w:bodyDiv w:val="1"/>
      <w:marLeft w:val="0"/>
      <w:marRight w:val="0"/>
      <w:marTop w:val="0"/>
      <w:marBottom w:val="0"/>
      <w:divBdr>
        <w:top w:val="none" w:sz="0" w:space="0" w:color="auto"/>
        <w:left w:val="none" w:sz="0" w:space="0" w:color="auto"/>
        <w:bottom w:val="none" w:sz="0" w:space="0" w:color="auto"/>
        <w:right w:val="none" w:sz="0" w:space="0" w:color="auto"/>
      </w:divBdr>
    </w:div>
    <w:div w:id="1123889651">
      <w:bodyDiv w:val="1"/>
      <w:marLeft w:val="0"/>
      <w:marRight w:val="0"/>
      <w:marTop w:val="0"/>
      <w:marBottom w:val="0"/>
      <w:divBdr>
        <w:top w:val="none" w:sz="0" w:space="0" w:color="auto"/>
        <w:left w:val="none" w:sz="0" w:space="0" w:color="auto"/>
        <w:bottom w:val="none" w:sz="0" w:space="0" w:color="auto"/>
        <w:right w:val="none" w:sz="0" w:space="0" w:color="auto"/>
      </w:divBdr>
    </w:div>
    <w:div w:id="1346399544">
      <w:bodyDiv w:val="1"/>
      <w:marLeft w:val="0"/>
      <w:marRight w:val="0"/>
      <w:marTop w:val="0"/>
      <w:marBottom w:val="0"/>
      <w:divBdr>
        <w:top w:val="none" w:sz="0" w:space="0" w:color="auto"/>
        <w:left w:val="none" w:sz="0" w:space="0" w:color="auto"/>
        <w:bottom w:val="none" w:sz="0" w:space="0" w:color="auto"/>
        <w:right w:val="none" w:sz="0" w:space="0" w:color="auto"/>
      </w:divBdr>
    </w:div>
    <w:div w:id="1374041156">
      <w:bodyDiv w:val="1"/>
      <w:marLeft w:val="0"/>
      <w:marRight w:val="0"/>
      <w:marTop w:val="0"/>
      <w:marBottom w:val="0"/>
      <w:divBdr>
        <w:top w:val="none" w:sz="0" w:space="0" w:color="auto"/>
        <w:left w:val="none" w:sz="0" w:space="0" w:color="auto"/>
        <w:bottom w:val="none" w:sz="0" w:space="0" w:color="auto"/>
        <w:right w:val="none" w:sz="0" w:space="0" w:color="auto"/>
      </w:divBdr>
    </w:div>
    <w:div w:id="1522664667">
      <w:bodyDiv w:val="1"/>
      <w:marLeft w:val="0"/>
      <w:marRight w:val="0"/>
      <w:marTop w:val="0"/>
      <w:marBottom w:val="0"/>
      <w:divBdr>
        <w:top w:val="none" w:sz="0" w:space="0" w:color="auto"/>
        <w:left w:val="none" w:sz="0" w:space="0" w:color="auto"/>
        <w:bottom w:val="none" w:sz="0" w:space="0" w:color="auto"/>
        <w:right w:val="none" w:sz="0" w:space="0" w:color="auto"/>
      </w:divBdr>
    </w:div>
    <w:div w:id="1606577927">
      <w:bodyDiv w:val="1"/>
      <w:marLeft w:val="0"/>
      <w:marRight w:val="0"/>
      <w:marTop w:val="0"/>
      <w:marBottom w:val="0"/>
      <w:divBdr>
        <w:top w:val="none" w:sz="0" w:space="0" w:color="auto"/>
        <w:left w:val="none" w:sz="0" w:space="0" w:color="auto"/>
        <w:bottom w:val="none" w:sz="0" w:space="0" w:color="auto"/>
        <w:right w:val="none" w:sz="0" w:space="0" w:color="auto"/>
      </w:divBdr>
    </w:div>
    <w:div w:id="1935282047">
      <w:bodyDiv w:val="1"/>
      <w:marLeft w:val="0"/>
      <w:marRight w:val="0"/>
      <w:marTop w:val="0"/>
      <w:marBottom w:val="0"/>
      <w:divBdr>
        <w:top w:val="none" w:sz="0" w:space="0" w:color="auto"/>
        <w:left w:val="none" w:sz="0" w:space="0" w:color="auto"/>
        <w:bottom w:val="none" w:sz="0" w:space="0" w:color="auto"/>
        <w:right w:val="none" w:sz="0" w:space="0" w:color="auto"/>
      </w:divBdr>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 TRIPTY</dc:creator>
  <cp:keywords/>
  <dc:description/>
  <cp:lastModifiedBy>MD MOYNUL ISLAM</cp:lastModifiedBy>
  <cp:revision>5</cp:revision>
  <dcterms:created xsi:type="dcterms:W3CDTF">2025-01-09T14:31:00Z</dcterms:created>
  <dcterms:modified xsi:type="dcterms:W3CDTF">2025-01-09T17:25:00Z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d3d2eb88-e8ef-4933-b10f-c368558959e2</vt:lpwstr>
  </property>
</Properties>
</file>