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96228" w14:textId="77777777" w:rsidR="006E1B7F" w:rsidRPr="007065D3" w:rsidRDefault="00000000">
      <w:pPr>
        <w:pStyle w:val="aa"/>
        <w:jc w:val="center"/>
        <w:rPr>
          <w:rFonts w:ascii="Times New Roman" w:hAnsi="Times New Roman" w:cs="Times New Roman"/>
          <w:b/>
          <w:bCs/>
        </w:rPr>
      </w:pPr>
      <w:r w:rsidRPr="007065D3">
        <w:rPr>
          <w:rFonts w:ascii="Times New Roman" w:hAnsi="Times New Roman" w:cs="Times New Roman"/>
          <w:b/>
          <w:bCs/>
        </w:rPr>
        <w:t>Weekly Progress Report</w:t>
      </w:r>
    </w:p>
    <w:p w14:paraId="0F7756BA" w14:textId="77777777" w:rsidR="006E1B7F" w:rsidRPr="007065D3" w:rsidRDefault="00000000">
      <w:pPr>
        <w:jc w:val="center"/>
        <w:rPr>
          <w:rFonts w:ascii="Times New Roman" w:hAnsi="Times New Roman" w:cs="Times New Roman"/>
        </w:rPr>
      </w:pPr>
      <w:r w:rsidRPr="007065D3">
        <w:rPr>
          <w:rFonts w:ascii="Times New Roman" w:hAnsi="Times New Roman" w:cs="Times New Roman"/>
          <w:i/>
          <w:color w:val="505050"/>
        </w:rPr>
        <w:t>28 September to 2 October 2026</w:t>
      </w:r>
    </w:p>
    <w:p w14:paraId="6023FE77" w14:textId="3E4DA8E8" w:rsidR="00543DB0" w:rsidRPr="00543DB0" w:rsidRDefault="00000000">
      <w:pPr>
        <w:rPr>
          <w:rFonts w:ascii="Times New Roman" w:eastAsia="宋体" w:hAnsi="Times New Roman" w:cs="Times New Roman" w:hint="eastAsia"/>
          <w:b/>
          <w:sz w:val="24"/>
          <w:szCs w:val="24"/>
          <w:lang w:eastAsia="zh-CN"/>
        </w:rPr>
      </w:pPr>
      <w:r w:rsidRPr="00543DB0">
        <w:rPr>
          <w:rFonts w:ascii="Times New Roman" w:hAnsi="Times New Roman" w:cs="Times New Roman"/>
          <w:b/>
          <w:sz w:val="24"/>
          <w:szCs w:val="24"/>
        </w:rPr>
        <w:t>Main result</w:t>
      </w:r>
    </w:p>
    <w:p w14:paraId="7046C7E7" w14:textId="4513376E" w:rsidR="006E1B7F" w:rsidRPr="00543DB0" w:rsidRDefault="00000000">
      <w:pPr>
        <w:rPr>
          <w:rFonts w:ascii="Times New Roman" w:eastAsia="宋体" w:hAnsi="Times New Roman" w:cs="Times New Roman"/>
          <w:sz w:val="22"/>
          <w:lang w:eastAsia="zh-CN"/>
        </w:rPr>
      </w:pPr>
      <w:r w:rsidRPr="00543DB0">
        <w:rPr>
          <w:rFonts w:ascii="Times New Roman" w:hAnsi="Times New Roman" w:cs="Times New Roman"/>
          <w:sz w:val="22"/>
        </w:rPr>
        <w:t>The project moved from a fixed geometric warning rule to a tested comparison of Time-to-Edge (TTE), LightGBM, Random Forest and GRU. LightGBM is now the main model candidate because it gives the best balance between session-level F1, precision and false alarms in development cross-validation.</w:t>
      </w:r>
    </w:p>
    <w:p w14:paraId="2CA44051" w14:textId="77777777" w:rsidR="007065D3" w:rsidRPr="007065D3" w:rsidRDefault="007065D3">
      <w:pPr>
        <w:rPr>
          <w:rFonts w:ascii="Times New Roman" w:eastAsia="宋体" w:hAnsi="Times New Roman" w:cs="Times New Roman" w:hint="eastAsia"/>
          <w:lang w:eastAsia="zh-CN"/>
        </w:rPr>
      </w:pPr>
    </w:p>
    <w:p w14:paraId="107C0725" w14:textId="179806E8" w:rsidR="00543DB0" w:rsidRPr="00543DB0" w:rsidRDefault="00000000" w:rsidP="00543DB0">
      <w:pPr>
        <w:pStyle w:val="1"/>
        <w:rPr>
          <w:rFonts w:ascii="Times New Roman" w:eastAsia="宋体" w:hAnsi="Times New Roman" w:cs="Times New Roman" w:hint="eastAsia"/>
          <w:lang w:eastAsia="zh-CN"/>
        </w:rPr>
      </w:pPr>
      <w:r w:rsidRPr="007065D3">
        <w:rPr>
          <w:rFonts w:ascii="Times New Roman" w:hAnsi="Times New Roman" w:cs="Times New Roman"/>
        </w:rPr>
        <w:t>Work completed</w:t>
      </w:r>
    </w:p>
    <w:p w14:paraId="62A8217D" w14:textId="09D30421" w:rsidR="00543DB0" w:rsidRPr="00543DB0" w:rsidRDefault="00543DB0" w:rsidP="00543DB0">
      <w:pPr>
        <w:pStyle w:val="ae"/>
        <w:numPr>
          <w:ilvl w:val="0"/>
          <w:numId w:val="10"/>
        </w:numPr>
        <w:spacing w:after="20"/>
        <w:rPr>
          <w:rFonts w:ascii="Times New Roman" w:hAnsi="Times New Roman" w:cs="Times New Roman"/>
          <w:sz w:val="22"/>
        </w:rPr>
      </w:pPr>
      <w:r w:rsidRPr="00543DB0">
        <w:rPr>
          <w:rFonts w:ascii="Times New Roman" w:hAnsi="Times New Roman" w:cs="Times New Roman"/>
          <w:sz w:val="22"/>
        </w:rPr>
        <w:t xml:space="preserve">Data and labels: Reviewed </w:t>
      </w:r>
      <w:r>
        <w:rPr>
          <w:rFonts w:ascii="Times New Roman" w:eastAsia="宋体" w:hAnsi="Times New Roman" w:cs="Times New Roman" w:hint="eastAsia"/>
          <w:sz w:val="22"/>
          <w:lang w:eastAsia="zh-CN"/>
        </w:rPr>
        <w:t>playing data</w:t>
      </w:r>
      <w:r w:rsidRPr="00543DB0">
        <w:rPr>
          <w:rFonts w:ascii="Times New Roman" w:hAnsi="Times New Roman" w:cs="Times New Roman"/>
          <w:sz w:val="22"/>
        </w:rPr>
        <w:t xml:space="preserve">, maintaining session-level splits and freezing </w:t>
      </w:r>
      <w:r>
        <w:rPr>
          <w:rFonts w:ascii="Times New Roman" w:eastAsia="宋体" w:hAnsi="Times New Roman" w:cs="Times New Roman" w:hint="eastAsia"/>
          <w:sz w:val="22"/>
          <w:lang w:eastAsia="zh-CN"/>
        </w:rPr>
        <w:t>130 sessions</w:t>
      </w:r>
      <w:r w:rsidRPr="00543DB0">
        <w:rPr>
          <w:rFonts w:ascii="Times New Roman" w:hAnsi="Times New Roman" w:cs="Times New Roman"/>
          <w:sz w:val="22"/>
        </w:rPr>
        <w:t xml:space="preserve"> for evaluation to avoid data leakage and ensure fair comparisons.</w:t>
      </w:r>
    </w:p>
    <w:p w14:paraId="6719AF8B" w14:textId="13D1853A" w:rsidR="00543DB0" w:rsidRPr="00543DB0" w:rsidRDefault="00543DB0" w:rsidP="00543DB0">
      <w:pPr>
        <w:pStyle w:val="ae"/>
        <w:numPr>
          <w:ilvl w:val="0"/>
          <w:numId w:val="10"/>
        </w:numPr>
        <w:spacing w:after="20"/>
        <w:rPr>
          <w:rFonts w:ascii="Times New Roman" w:hAnsi="Times New Roman" w:cs="Times New Roman"/>
          <w:sz w:val="22"/>
        </w:rPr>
      </w:pPr>
      <w:r w:rsidRPr="00543DB0">
        <w:rPr>
          <w:rFonts w:ascii="Times New Roman" w:hAnsi="Times New Roman" w:cs="Times New Roman"/>
          <w:sz w:val="22"/>
        </w:rPr>
        <w:t>Warning logic: Audited edge geometry, fall-event timing, post-fall warning rows, and response metadata to accurately separate real warnings from late or post-fall display states.</w:t>
      </w:r>
    </w:p>
    <w:p w14:paraId="5F70605B" w14:textId="475DA4A5" w:rsidR="00543DB0" w:rsidRPr="00543DB0" w:rsidRDefault="00543DB0" w:rsidP="00543DB0">
      <w:pPr>
        <w:pStyle w:val="ae"/>
        <w:numPr>
          <w:ilvl w:val="0"/>
          <w:numId w:val="10"/>
        </w:numPr>
        <w:spacing w:after="20"/>
        <w:rPr>
          <w:rFonts w:ascii="Times New Roman" w:hAnsi="Times New Roman" w:cs="Times New Roman"/>
          <w:sz w:val="22"/>
        </w:rPr>
      </w:pPr>
      <w:r w:rsidRPr="00543DB0">
        <w:rPr>
          <w:rFonts w:ascii="Times New Roman" w:hAnsi="Times New Roman" w:cs="Times New Roman"/>
          <w:sz w:val="22"/>
        </w:rPr>
        <w:t xml:space="preserve">Models: Compared the existing yellow rule, TTE, </w:t>
      </w:r>
      <w:proofErr w:type="spellStart"/>
      <w:r w:rsidRPr="00543DB0">
        <w:rPr>
          <w:rFonts w:ascii="Times New Roman" w:hAnsi="Times New Roman" w:cs="Times New Roman"/>
          <w:sz w:val="22"/>
        </w:rPr>
        <w:t>LightGBM</w:t>
      </w:r>
      <w:proofErr w:type="spellEnd"/>
      <w:r w:rsidRPr="00543DB0">
        <w:rPr>
          <w:rFonts w:ascii="Times New Roman" w:hAnsi="Times New Roman" w:cs="Times New Roman"/>
          <w:sz w:val="22"/>
        </w:rPr>
        <w:t>, Random Forest, and offline GRU to evaluate the practical trade-offs between accuracy and lead time.</w:t>
      </w:r>
    </w:p>
    <w:p w14:paraId="752D5C5F" w14:textId="266D8026" w:rsidR="00543DB0" w:rsidRPr="00543DB0" w:rsidRDefault="00543DB0" w:rsidP="00543DB0">
      <w:pPr>
        <w:pStyle w:val="ae"/>
        <w:numPr>
          <w:ilvl w:val="0"/>
          <w:numId w:val="10"/>
        </w:numPr>
        <w:spacing w:after="20"/>
        <w:rPr>
          <w:rFonts w:ascii="Times New Roman" w:hAnsi="Times New Roman" w:cs="Times New Roman"/>
          <w:sz w:val="22"/>
        </w:rPr>
      </w:pPr>
      <w:r w:rsidRPr="00543DB0">
        <w:rPr>
          <w:rFonts w:ascii="Times New Roman" w:hAnsi="Times New Roman" w:cs="Times New Roman"/>
          <w:sz w:val="22"/>
        </w:rPr>
        <w:t>Response experiment: Added backend analysis for attention/strong episodes, reaction time, safe return, and recovery to measure whether providing an earlier warning effectively helps the player.</w:t>
      </w:r>
    </w:p>
    <w:p w14:paraId="7E7FC634" w14:textId="77777777" w:rsidR="006E1B7F" w:rsidRPr="007065D3" w:rsidRDefault="006E1B7F">
      <w:pPr>
        <w:spacing w:after="20"/>
        <w:rPr>
          <w:rFonts w:ascii="Times New Roman" w:hAnsi="Times New Roman" w:cs="Times New Roman"/>
        </w:rPr>
      </w:pPr>
    </w:p>
    <w:p w14:paraId="0FAAF313" w14:textId="5FE60D45" w:rsidR="00543DB0" w:rsidRPr="00543DB0" w:rsidRDefault="00000000" w:rsidP="00543DB0">
      <w:pPr>
        <w:pStyle w:val="1"/>
        <w:rPr>
          <w:rFonts w:ascii="Times New Roman" w:eastAsia="宋体" w:hAnsi="Times New Roman" w:cs="Times New Roman" w:hint="eastAsia"/>
          <w:lang w:eastAsia="zh-CN"/>
        </w:rPr>
      </w:pPr>
      <w:r w:rsidRPr="007065D3">
        <w:rPr>
          <w:rFonts w:ascii="Times New Roman" w:hAnsi="Times New Roman" w:cs="Times New Roman"/>
        </w:rPr>
        <w:t>Model comparison</w:t>
      </w:r>
    </w:p>
    <w:p w14:paraId="6840CB0C" w14:textId="77777777" w:rsidR="006E1B7F" w:rsidRDefault="00000000">
      <w:pPr>
        <w:rPr>
          <w:rFonts w:ascii="Times New Roman" w:eastAsia="宋体" w:hAnsi="Times New Roman" w:cs="Times New Roman"/>
          <w:sz w:val="22"/>
          <w:lang w:eastAsia="zh-CN"/>
        </w:rPr>
      </w:pPr>
      <w:r w:rsidRPr="00543DB0">
        <w:rPr>
          <w:rFonts w:ascii="Times New Roman" w:hAnsi="Times New Roman" w:cs="Times New Roman"/>
          <w:sz w:val="22"/>
        </w:rPr>
        <w:t>Metrics below are session-level results on the development pool (117 sessions: 48 fall, 69 non-fall), using session-grouped cross-validation. Accuracy is not the primary metric because normal windows dominate the data.</w:t>
      </w:r>
    </w:p>
    <w:p w14:paraId="1926B15C" w14:textId="77777777" w:rsidR="00FB3B62" w:rsidRPr="00FB3B62" w:rsidRDefault="00FB3B62">
      <w:pPr>
        <w:rPr>
          <w:rFonts w:ascii="Times New Roman" w:eastAsia="宋体" w:hAnsi="Times New Roman" w:cs="Times New Roman" w:hint="eastAsia"/>
          <w:sz w:val="22"/>
          <w:lang w:eastAsia="zh-CN"/>
        </w:rPr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080"/>
        <w:gridCol w:w="68"/>
        <w:gridCol w:w="868"/>
        <w:gridCol w:w="792"/>
        <w:gridCol w:w="1440"/>
        <w:gridCol w:w="1440"/>
      </w:tblGrid>
      <w:tr w:rsidR="006E1B7F" w:rsidRPr="00543DB0" w14:paraId="4699E26F" w14:textId="77777777" w:rsidTr="00FB3B62">
        <w:trPr>
          <w:jc w:val="center"/>
        </w:trPr>
        <w:tc>
          <w:tcPr>
            <w:tcW w:w="2376" w:type="dxa"/>
            <w:shd w:val="clear" w:color="auto" w:fill="244A64"/>
            <w:vAlign w:val="center"/>
          </w:tcPr>
          <w:p w14:paraId="18BA8831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FFFFFF"/>
                <w:sz w:val="22"/>
              </w:rPr>
              <w:t>Method</w:t>
            </w:r>
          </w:p>
        </w:tc>
        <w:tc>
          <w:tcPr>
            <w:tcW w:w="1148" w:type="dxa"/>
            <w:gridSpan w:val="2"/>
            <w:shd w:val="clear" w:color="auto" w:fill="244A64"/>
            <w:vAlign w:val="center"/>
          </w:tcPr>
          <w:p w14:paraId="47078ACE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FFFFFF"/>
                <w:sz w:val="22"/>
              </w:rPr>
              <w:t>Precision</w:t>
            </w:r>
          </w:p>
        </w:tc>
        <w:tc>
          <w:tcPr>
            <w:tcW w:w="868" w:type="dxa"/>
            <w:shd w:val="clear" w:color="auto" w:fill="244A64"/>
            <w:vAlign w:val="center"/>
          </w:tcPr>
          <w:p w14:paraId="0764D3DC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FFFFFF"/>
                <w:sz w:val="22"/>
              </w:rPr>
              <w:t>Recall</w:t>
            </w:r>
          </w:p>
        </w:tc>
        <w:tc>
          <w:tcPr>
            <w:tcW w:w="792" w:type="dxa"/>
            <w:shd w:val="clear" w:color="auto" w:fill="244A64"/>
            <w:vAlign w:val="center"/>
          </w:tcPr>
          <w:p w14:paraId="42205C4A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FFFFFF"/>
                <w:sz w:val="22"/>
              </w:rPr>
              <w:t>F1</w:t>
            </w:r>
          </w:p>
        </w:tc>
        <w:tc>
          <w:tcPr>
            <w:tcW w:w="1440" w:type="dxa"/>
            <w:shd w:val="clear" w:color="auto" w:fill="244A64"/>
            <w:vAlign w:val="center"/>
          </w:tcPr>
          <w:p w14:paraId="6E8153A7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FFFFFF"/>
                <w:sz w:val="22"/>
              </w:rPr>
              <w:t>Non-fall FAR</w:t>
            </w:r>
          </w:p>
        </w:tc>
        <w:tc>
          <w:tcPr>
            <w:tcW w:w="1440" w:type="dxa"/>
            <w:shd w:val="clear" w:color="auto" w:fill="244A64"/>
            <w:vAlign w:val="center"/>
          </w:tcPr>
          <w:p w14:paraId="72732686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FFFFFF"/>
                <w:sz w:val="22"/>
              </w:rPr>
              <w:t>Median lead</w:t>
            </w:r>
          </w:p>
        </w:tc>
      </w:tr>
      <w:tr w:rsidR="006E1B7F" w:rsidRPr="00543DB0" w14:paraId="00968AC5" w14:textId="77777777">
        <w:trPr>
          <w:jc w:val="center"/>
        </w:trPr>
        <w:tc>
          <w:tcPr>
            <w:tcW w:w="2376" w:type="dxa"/>
            <w:vAlign w:val="center"/>
          </w:tcPr>
          <w:p w14:paraId="18908AA1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000000"/>
                <w:sz w:val="22"/>
              </w:rPr>
              <w:t>TTE rule</w:t>
            </w:r>
          </w:p>
        </w:tc>
        <w:tc>
          <w:tcPr>
            <w:tcW w:w="1080" w:type="dxa"/>
            <w:vAlign w:val="center"/>
          </w:tcPr>
          <w:p w14:paraId="7C22EED8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000000"/>
                <w:sz w:val="22"/>
              </w:rPr>
              <w:t>0.71</w:t>
            </w:r>
          </w:p>
        </w:tc>
        <w:tc>
          <w:tcPr>
            <w:tcW w:w="936" w:type="dxa"/>
            <w:gridSpan w:val="2"/>
            <w:vAlign w:val="center"/>
          </w:tcPr>
          <w:p w14:paraId="6331C2B0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000000"/>
                <w:sz w:val="22"/>
              </w:rPr>
              <w:t>1.00</w:t>
            </w:r>
          </w:p>
        </w:tc>
        <w:tc>
          <w:tcPr>
            <w:tcW w:w="792" w:type="dxa"/>
            <w:vAlign w:val="center"/>
          </w:tcPr>
          <w:p w14:paraId="0706BB46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000000"/>
                <w:sz w:val="22"/>
              </w:rPr>
              <w:t>0.83</w:t>
            </w:r>
          </w:p>
        </w:tc>
        <w:tc>
          <w:tcPr>
            <w:tcW w:w="1440" w:type="dxa"/>
            <w:vAlign w:val="center"/>
          </w:tcPr>
          <w:p w14:paraId="284B1E09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000000"/>
                <w:sz w:val="22"/>
              </w:rPr>
              <w:t>0.29</w:t>
            </w:r>
          </w:p>
        </w:tc>
        <w:tc>
          <w:tcPr>
            <w:tcW w:w="1440" w:type="dxa"/>
            <w:vAlign w:val="center"/>
          </w:tcPr>
          <w:p w14:paraId="64CBFC2F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000000"/>
                <w:sz w:val="22"/>
              </w:rPr>
              <w:t>0.29 s</w:t>
            </w:r>
          </w:p>
        </w:tc>
      </w:tr>
      <w:tr w:rsidR="006E1B7F" w:rsidRPr="00543DB0" w14:paraId="2556FC51" w14:textId="77777777">
        <w:trPr>
          <w:jc w:val="center"/>
        </w:trPr>
        <w:tc>
          <w:tcPr>
            <w:tcW w:w="2376" w:type="dxa"/>
            <w:shd w:val="clear" w:color="auto" w:fill="F2F6F8"/>
            <w:vAlign w:val="center"/>
          </w:tcPr>
          <w:p w14:paraId="2A564610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000000"/>
                <w:sz w:val="22"/>
              </w:rPr>
              <w:t>Random Forest</w:t>
            </w:r>
          </w:p>
        </w:tc>
        <w:tc>
          <w:tcPr>
            <w:tcW w:w="1080" w:type="dxa"/>
            <w:shd w:val="clear" w:color="auto" w:fill="F2F6F8"/>
            <w:vAlign w:val="center"/>
          </w:tcPr>
          <w:p w14:paraId="4ACAAAE1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000000"/>
                <w:sz w:val="22"/>
              </w:rPr>
              <w:t>0.71</w:t>
            </w:r>
          </w:p>
        </w:tc>
        <w:tc>
          <w:tcPr>
            <w:tcW w:w="936" w:type="dxa"/>
            <w:gridSpan w:val="2"/>
            <w:shd w:val="clear" w:color="auto" w:fill="F2F6F8"/>
            <w:vAlign w:val="center"/>
          </w:tcPr>
          <w:p w14:paraId="5C0A61A0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000000"/>
                <w:sz w:val="22"/>
              </w:rPr>
              <w:t>0.71</w:t>
            </w:r>
          </w:p>
        </w:tc>
        <w:tc>
          <w:tcPr>
            <w:tcW w:w="792" w:type="dxa"/>
            <w:shd w:val="clear" w:color="auto" w:fill="F2F6F8"/>
            <w:vAlign w:val="center"/>
          </w:tcPr>
          <w:p w14:paraId="15501E3B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000000"/>
                <w:sz w:val="22"/>
              </w:rPr>
              <w:t>0.71</w:t>
            </w:r>
          </w:p>
        </w:tc>
        <w:tc>
          <w:tcPr>
            <w:tcW w:w="1440" w:type="dxa"/>
            <w:shd w:val="clear" w:color="auto" w:fill="F2F6F8"/>
            <w:vAlign w:val="center"/>
          </w:tcPr>
          <w:p w14:paraId="3DA46E83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000000"/>
                <w:sz w:val="22"/>
              </w:rPr>
              <w:t>0.20</w:t>
            </w:r>
          </w:p>
        </w:tc>
        <w:tc>
          <w:tcPr>
            <w:tcW w:w="1440" w:type="dxa"/>
            <w:shd w:val="clear" w:color="auto" w:fill="F2F6F8"/>
            <w:vAlign w:val="center"/>
          </w:tcPr>
          <w:p w14:paraId="68307074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000000"/>
                <w:sz w:val="22"/>
              </w:rPr>
              <w:t>0.25 s</w:t>
            </w:r>
          </w:p>
        </w:tc>
      </w:tr>
      <w:tr w:rsidR="006E1B7F" w:rsidRPr="00543DB0" w14:paraId="58BD3F3B" w14:textId="77777777">
        <w:trPr>
          <w:jc w:val="center"/>
        </w:trPr>
        <w:tc>
          <w:tcPr>
            <w:tcW w:w="2376" w:type="dxa"/>
            <w:vAlign w:val="center"/>
          </w:tcPr>
          <w:p w14:paraId="151A71AA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000000"/>
                <w:sz w:val="22"/>
              </w:rPr>
              <w:t>GRU (0.5 s horizon)</w:t>
            </w:r>
          </w:p>
        </w:tc>
        <w:tc>
          <w:tcPr>
            <w:tcW w:w="1080" w:type="dxa"/>
            <w:vAlign w:val="center"/>
          </w:tcPr>
          <w:p w14:paraId="3287501D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000000"/>
                <w:sz w:val="22"/>
              </w:rPr>
              <w:t>0.67</w:t>
            </w:r>
          </w:p>
        </w:tc>
        <w:tc>
          <w:tcPr>
            <w:tcW w:w="936" w:type="dxa"/>
            <w:gridSpan w:val="2"/>
            <w:vAlign w:val="center"/>
          </w:tcPr>
          <w:p w14:paraId="0C193BB6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000000"/>
                <w:sz w:val="22"/>
              </w:rPr>
              <w:t>0.98</w:t>
            </w:r>
          </w:p>
        </w:tc>
        <w:tc>
          <w:tcPr>
            <w:tcW w:w="792" w:type="dxa"/>
            <w:vAlign w:val="center"/>
          </w:tcPr>
          <w:p w14:paraId="3F145A0F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000000"/>
                <w:sz w:val="22"/>
              </w:rPr>
              <w:t>0.80</w:t>
            </w:r>
          </w:p>
        </w:tc>
        <w:tc>
          <w:tcPr>
            <w:tcW w:w="1440" w:type="dxa"/>
            <w:vAlign w:val="center"/>
          </w:tcPr>
          <w:p w14:paraId="0ACFB9FC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000000"/>
                <w:sz w:val="22"/>
              </w:rPr>
              <w:t>0.33</w:t>
            </w:r>
          </w:p>
        </w:tc>
        <w:tc>
          <w:tcPr>
            <w:tcW w:w="1440" w:type="dxa"/>
            <w:vAlign w:val="center"/>
          </w:tcPr>
          <w:p w14:paraId="5E1EA56D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000000"/>
                <w:sz w:val="22"/>
              </w:rPr>
              <w:t>0.28 s</w:t>
            </w:r>
          </w:p>
        </w:tc>
      </w:tr>
      <w:tr w:rsidR="006E1B7F" w:rsidRPr="00543DB0" w14:paraId="28A105FE" w14:textId="77777777">
        <w:trPr>
          <w:jc w:val="center"/>
        </w:trPr>
        <w:tc>
          <w:tcPr>
            <w:tcW w:w="2376" w:type="dxa"/>
            <w:shd w:val="clear" w:color="auto" w:fill="F2F6F8"/>
            <w:vAlign w:val="center"/>
          </w:tcPr>
          <w:p w14:paraId="6F2FA534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000000"/>
                <w:sz w:val="22"/>
              </w:rPr>
              <w:t>LightGBM (selected)</w:t>
            </w:r>
          </w:p>
        </w:tc>
        <w:tc>
          <w:tcPr>
            <w:tcW w:w="1080" w:type="dxa"/>
            <w:shd w:val="clear" w:color="auto" w:fill="F2F6F8"/>
            <w:vAlign w:val="center"/>
          </w:tcPr>
          <w:p w14:paraId="11E1B5E1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000000"/>
                <w:sz w:val="22"/>
              </w:rPr>
              <w:t>0.81</w:t>
            </w:r>
          </w:p>
        </w:tc>
        <w:tc>
          <w:tcPr>
            <w:tcW w:w="936" w:type="dxa"/>
            <w:gridSpan w:val="2"/>
            <w:shd w:val="clear" w:color="auto" w:fill="F2F6F8"/>
            <w:vAlign w:val="center"/>
          </w:tcPr>
          <w:p w14:paraId="1B0B2121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000000"/>
                <w:sz w:val="22"/>
              </w:rPr>
              <w:t>0.90</w:t>
            </w:r>
          </w:p>
        </w:tc>
        <w:tc>
          <w:tcPr>
            <w:tcW w:w="792" w:type="dxa"/>
            <w:shd w:val="clear" w:color="auto" w:fill="F2F6F8"/>
            <w:vAlign w:val="center"/>
          </w:tcPr>
          <w:p w14:paraId="15029ECC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000000"/>
                <w:sz w:val="22"/>
              </w:rPr>
              <w:t>0.85</w:t>
            </w:r>
          </w:p>
        </w:tc>
        <w:tc>
          <w:tcPr>
            <w:tcW w:w="1440" w:type="dxa"/>
            <w:shd w:val="clear" w:color="auto" w:fill="F2F6F8"/>
            <w:vAlign w:val="center"/>
          </w:tcPr>
          <w:p w14:paraId="2092A73E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000000"/>
                <w:sz w:val="22"/>
              </w:rPr>
              <w:t>0.14</w:t>
            </w:r>
          </w:p>
        </w:tc>
        <w:tc>
          <w:tcPr>
            <w:tcW w:w="1440" w:type="dxa"/>
            <w:shd w:val="clear" w:color="auto" w:fill="F2F6F8"/>
            <w:vAlign w:val="center"/>
          </w:tcPr>
          <w:p w14:paraId="3526B2AA" w14:textId="77777777" w:rsidR="006E1B7F" w:rsidRPr="00543DB0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543DB0">
              <w:rPr>
                <w:rFonts w:ascii="Times New Roman" w:hAnsi="Times New Roman" w:cs="Times New Roman"/>
                <w:b/>
                <w:color w:val="000000"/>
                <w:sz w:val="22"/>
              </w:rPr>
              <w:t>0.22 s</w:t>
            </w:r>
          </w:p>
        </w:tc>
      </w:tr>
    </w:tbl>
    <w:p w14:paraId="446F99C5" w14:textId="77777777" w:rsidR="006E1B7F" w:rsidRPr="00543DB0" w:rsidRDefault="006E1B7F">
      <w:pPr>
        <w:spacing w:after="20"/>
        <w:rPr>
          <w:rFonts w:ascii="Times New Roman" w:hAnsi="Times New Roman" w:cs="Times New Roman"/>
          <w:sz w:val="22"/>
        </w:rPr>
      </w:pPr>
    </w:p>
    <w:p w14:paraId="086AF2C3" w14:textId="77777777" w:rsidR="006E1B7F" w:rsidRDefault="00000000">
      <w:pPr>
        <w:spacing w:after="40"/>
        <w:rPr>
          <w:rFonts w:ascii="Times New Roman" w:eastAsia="宋体" w:hAnsi="Times New Roman" w:cs="Times New Roman"/>
          <w:sz w:val="22"/>
          <w:lang w:eastAsia="zh-CN"/>
        </w:rPr>
      </w:pPr>
      <w:r w:rsidRPr="00543DB0">
        <w:rPr>
          <w:rFonts w:ascii="Times New Roman" w:hAnsi="Times New Roman" w:cs="Times New Roman"/>
          <w:sz w:val="22"/>
        </w:rPr>
        <w:t>The historical yellow rule remains a reference only: on frozen TEST929 it had session F1 0.53 and non-fall FAR 0.20. It was not used to tune the models above.</w:t>
      </w:r>
    </w:p>
    <w:p w14:paraId="6A31E24A" w14:textId="77777777" w:rsidR="00FB3B62" w:rsidRPr="00FB3B62" w:rsidRDefault="00FB3B62">
      <w:pPr>
        <w:spacing w:after="40"/>
        <w:rPr>
          <w:rFonts w:ascii="Times New Roman" w:eastAsia="宋体" w:hAnsi="Times New Roman" w:cs="Times New Roman" w:hint="eastAsia"/>
          <w:sz w:val="22"/>
          <w:lang w:eastAsia="zh-CN"/>
        </w:rPr>
      </w:pPr>
    </w:p>
    <w:p w14:paraId="232BCDBA" w14:textId="77777777" w:rsidR="00FB3B62" w:rsidRDefault="00FB3B62">
      <w:pPr>
        <w:rPr>
          <w:rFonts w:ascii="Times New Roman" w:eastAsia="宋体" w:hAnsi="Times New Roman" w:cs="Times New Roman"/>
          <w:b/>
          <w:sz w:val="22"/>
          <w:lang w:eastAsia="zh-CN"/>
        </w:rPr>
      </w:pPr>
      <w:r w:rsidRPr="00FB3B62">
        <w:rPr>
          <w:rFonts w:ascii="Times New Roman" w:hAnsi="Times New Roman" w:cs="Times New Roman"/>
          <w:b/>
          <w:sz w:val="22"/>
        </w:rPr>
        <w:t>Comparison</w:t>
      </w:r>
    </w:p>
    <w:p w14:paraId="09EFCE4D" w14:textId="4A43B962" w:rsidR="006E1B7F" w:rsidRDefault="00000000">
      <w:pPr>
        <w:rPr>
          <w:rFonts w:ascii="Times New Roman" w:eastAsia="宋体" w:hAnsi="Times New Roman" w:cs="Times New Roman"/>
          <w:sz w:val="22"/>
          <w:lang w:eastAsia="zh-CN"/>
        </w:rPr>
      </w:pPr>
      <w:r w:rsidRPr="00543DB0">
        <w:rPr>
          <w:rFonts w:ascii="Times New Roman" w:hAnsi="Times New Roman" w:cs="Times New Roman"/>
          <w:sz w:val="22"/>
        </w:rPr>
        <w:t>TTE gives the highest recall and a slightly earlier warning, but raises false alarms. GRU detects more falls than the old rule but produces more non-fall alarms. LightGBM has the highest F1 and precision with the lowest false-alarm rate among the learned models, so it is the current priority.</w:t>
      </w:r>
    </w:p>
    <w:p w14:paraId="5775DF3A" w14:textId="77777777" w:rsidR="00FB3B62" w:rsidRPr="00FB3B62" w:rsidRDefault="00FB3B62">
      <w:pPr>
        <w:rPr>
          <w:rFonts w:ascii="Times New Roman" w:eastAsia="宋体" w:hAnsi="Times New Roman" w:cs="Times New Roman" w:hint="eastAsia"/>
          <w:sz w:val="22"/>
          <w:lang w:eastAsia="zh-CN"/>
        </w:rPr>
      </w:pPr>
    </w:p>
    <w:p w14:paraId="4FCA20EF" w14:textId="77777777" w:rsidR="006E1B7F" w:rsidRPr="007065D3" w:rsidRDefault="00000000">
      <w:pPr>
        <w:pStyle w:val="1"/>
        <w:rPr>
          <w:rFonts w:ascii="Times New Roman" w:hAnsi="Times New Roman" w:cs="Times New Roman"/>
        </w:rPr>
      </w:pPr>
      <w:r w:rsidRPr="007065D3">
        <w:rPr>
          <w:rFonts w:ascii="Times New Roman" w:hAnsi="Times New Roman" w:cs="Times New Roman"/>
        </w:rPr>
        <w:t>GRU horizon finding</w:t>
      </w:r>
    </w:p>
    <w:p w14:paraId="185E5D2C" w14:textId="77777777" w:rsidR="006E1B7F" w:rsidRPr="00543DB0" w:rsidRDefault="00000000">
      <w:pPr>
        <w:rPr>
          <w:rFonts w:ascii="Times New Roman" w:eastAsia="宋体" w:hAnsi="Times New Roman" w:cs="Times New Roman"/>
          <w:sz w:val="22"/>
          <w:lang w:eastAsia="zh-CN"/>
        </w:rPr>
      </w:pPr>
      <w:r w:rsidRPr="00543DB0">
        <w:rPr>
          <w:rFonts w:ascii="Times New Roman" w:hAnsi="Times New Roman" w:cs="Times New Roman"/>
          <w:sz w:val="22"/>
        </w:rPr>
        <w:t>Longer GRU horizons increase warning time but reduce discrimination: the 0.75 s, 1.0 s and 1.5 s horizons produced median leads of about 0.47 s, 0.51 s and 0.74 s, while session F1 fell to about 0.71, 0.66 and 0.65. Earlier prediction is possible, but only with a clear precision and false-alarm cost.</w:t>
      </w:r>
    </w:p>
    <w:p w14:paraId="0C49CA44" w14:textId="77777777" w:rsidR="00543DB0" w:rsidRPr="00543DB0" w:rsidRDefault="00543DB0">
      <w:pPr>
        <w:rPr>
          <w:rFonts w:ascii="Times New Roman" w:eastAsia="宋体" w:hAnsi="Times New Roman" w:cs="Times New Roman"/>
          <w:sz w:val="22"/>
          <w:lang w:eastAsia="zh-CN"/>
        </w:rPr>
      </w:pPr>
    </w:p>
    <w:p w14:paraId="302B4EEA" w14:textId="77777777" w:rsidR="00543DB0" w:rsidRPr="00543DB0" w:rsidRDefault="00543DB0">
      <w:pPr>
        <w:rPr>
          <w:rFonts w:ascii="Times New Roman" w:eastAsia="宋体" w:hAnsi="Times New Roman" w:cs="Times New Roman"/>
          <w:sz w:val="22"/>
          <w:lang w:eastAsia="zh-CN"/>
        </w:rPr>
      </w:pPr>
    </w:p>
    <w:p w14:paraId="15CD8C29" w14:textId="77777777" w:rsidR="00543DB0" w:rsidRPr="00543DB0" w:rsidRDefault="00543DB0">
      <w:pPr>
        <w:rPr>
          <w:rFonts w:ascii="Times New Roman" w:eastAsia="宋体" w:hAnsi="Times New Roman" w:cs="Times New Roman"/>
          <w:sz w:val="22"/>
          <w:lang w:eastAsia="zh-CN"/>
        </w:rPr>
      </w:pPr>
    </w:p>
    <w:p w14:paraId="438A868F" w14:textId="77777777" w:rsidR="00543DB0" w:rsidRPr="00543DB0" w:rsidRDefault="00543DB0">
      <w:pPr>
        <w:rPr>
          <w:rFonts w:ascii="Times New Roman" w:eastAsia="宋体" w:hAnsi="Times New Roman" w:cs="Times New Roman" w:hint="eastAsia"/>
          <w:lang w:eastAsia="zh-CN"/>
        </w:rPr>
      </w:pPr>
    </w:p>
    <w:p w14:paraId="3F8E91EE" w14:textId="7C6ECA7E" w:rsidR="00543DB0" w:rsidRPr="00FB3B62" w:rsidRDefault="00543DB0" w:rsidP="00543DB0">
      <w:pPr>
        <w:spacing w:after="20"/>
        <w:rPr>
          <w:rFonts w:ascii="Times New Roman" w:eastAsia="宋体" w:hAnsi="Times New Roman" w:cs="Times New Roman" w:hint="eastAsia"/>
          <w:b/>
          <w:bCs/>
          <w:color w:val="000000"/>
          <w:sz w:val="24"/>
          <w:szCs w:val="28"/>
          <w:lang w:eastAsia="zh-CN"/>
        </w:rPr>
      </w:pPr>
      <w:r w:rsidRPr="00543DB0">
        <w:rPr>
          <w:rFonts w:ascii="Times New Roman" w:eastAsiaTheme="majorEastAsia" w:hAnsi="Times New Roman" w:cs="Times New Roman"/>
          <w:b/>
          <w:bCs/>
          <w:color w:val="000000"/>
          <w:sz w:val="24"/>
          <w:szCs w:val="28"/>
        </w:rPr>
        <w:t>Decision</w:t>
      </w:r>
    </w:p>
    <w:p w14:paraId="5B812768" w14:textId="77777777" w:rsidR="00543DB0" w:rsidRPr="00543DB0" w:rsidRDefault="00543DB0" w:rsidP="00543DB0">
      <w:pPr>
        <w:spacing w:after="20"/>
        <w:rPr>
          <w:rFonts w:ascii="Times New Roman" w:eastAsiaTheme="majorEastAsia" w:hAnsi="Times New Roman" w:cs="Times New Roman"/>
          <w:color w:val="000000"/>
          <w:sz w:val="22"/>
        </w:rPr>
      </w:pPr>
      <w:r w:rsidRPr="00543DB0">
        <w:rPr>
          <w:rFonts w:ascii="Times New Roman" w:eastAsiaTheme="majorEastAsia" w:hAnsi="Times New Roman" w:cs="Times New Roman"/>
          <w:color w:val="000000"/>
          <w:sz w:val="22"/>
        </w:rPr>
        <w:t xml:space="preserve">Model Selection: We </w:t>
      </w:r>
      <w:proofErr w:type="gramStart"/>
      <w:r w:rsidRPr="00543DB0">
        <w:rPr>
          <w:rFonts w:ascii="Times New Roman" w:eastAsiaTheme="majorEastAsia" w:hAnsi="Times New Roman" w:cs="Times New Roman"/>
          <w:color w:val="000000"/>
          <w:sz w:val="22"/>
        </w:rPr>
        <w:t>will  use</w:t>
      </w:r>
      <w:proofErr w:type="gramEnd"/>
      <w:r w:rsidRPr="00543DB0">
        <w:rPr>
          <w:rFonts w:ascii="Times New Roman" w:eastAsiaTheme="majorEastAsia" w:hAnsi="Times New Roman" w:cs="Times New Roman"/>
          <w:color w:val="000000"/>
          <w:sz w:val="22"/>
        </w:rPr>
        <w:t xml:space="preserve"> </w:t>
      </w:r>
      <w:proofErr w:type="spellStart"/>
      <w:r w:rsidRPr="00543DB0">
        <w:rPr>
          <w:rFonts w:ascii="Times New Roman" w:eastAsiaTheme="majorEastAsia" w:hAnsi="Times New Roman" w:cs="Times New Roman"/>
          <w:color w:val="000000"/>
          <w:sz w:val="22"/>
        </w:rPr>
        <w:t>LightGBM</w:t>
      </w:r>
      <w:proofErr w:type="spellEnd"/>
      <w:r w:rsidRPr="00543DB0">
        <w:rPr>
          <w:rFonts w:ascii="Times New Roman" w:eastAsiaTheme="majorEastAsia" w:hAnsi="Times New Roman" w:cs="Times New Roman"/>
          <w:color w:val="000000"/>
          <w:sz w:val="22"/>
        </w:rPr>
        <w:t xml:space="preserve"> as the main offline model, while retaining TTE as an interpretable high-recall reference and GRU for research comparison purposes.</w:t>
      </w:r>
    </w:p>
    <w:p w14:paraId="04D1B9B8" w14:textId="77777777" w:rsidR="00543DB0" w:rsidRPr="00543DB0" w:rsidRDefault="00543DB0" w:rsidP="00543DB0">
      <w:pPr>
        <w:spacing w:after="20"/>
        <w:rPr>
          <w:rFonts w:ascii="Times New Roman" w:eastAsiaTheme="majorEastAsia" w:hAnsi="Times New Roman" w:cs="Times New Roman"/>
          <w:color w:val="000000"/>
          <w:sz w:val="22"/>
        </w:rPr>
      </w:pPr>
    </w:p>
    <w:p w14:paraId="7CCE81C3" w14:textId="66AD2FBC" w:rsidR="00543DB0" w:rsidRPr="00543DB0" w:rsidRDefault="00543DB0" w:rsidP="00543DB0">
      <w:pPr>
        <w:spacing w:after="20"/>
        <w:rPr>
          <w:rFonts w:ascii="Times New Roman" w:eastAsiaTheme="majorEastAsia" w:hAnsi="Times New Roman" w:cs="Times New Roman"/>
          <w:color w:val="000000"/>
          <w:sz w:val="22"/>
        </w:rPr>
      </w:pPr>
      <w:r w:rsidRPr="00543DB0">
        <w:rPr>
          <w:rFonts w:ascii="Times New Roman" w:eastAsiaTheme="majorEastAsia" w:hAnsi="Times New Roman" w:cs="Times New Roman"/>
          <w:color w:val="000000"/>
          <w:sz w:val="22"/>
        </w:rPr>
        <w:t xml:space="preserve">Integration Blocker: </w:t>
      </w:r>
      <w:r w:rsidR="00FB3B62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I</w:t>
      </w:r>
      <w:r w:rsidRPr="00543DB0">
        <w:rPr>
          <w:rFonts w:ascii="Times New Roman" w:eastAsiaTheme="majorEastAsia" w:hAnsi="Times New Roman" w:cs="Times New Roman"/>
          <w:color w:val="000000"/>
          <w:sz w:val="22"/>
        </w:rPr>
        <w:t xml:space="preserve"> will hold off on connecting the model to Unity until the response experiment confirms that players can effectively utilize the earlier warnings.</w:t>
      </w:r>
    </w:p>
    <w:p w14:paraId="1954FF57" w14:textId="77777777" w:rsidR="00543DB0" w:rsidRPr="00543DB0" w:rsidRDefault="00543DB0" w:rsidP="00543DB0">
      <w:pPr>
        <w:spacing w:after="20"/>
        <w:rPr>
          <w:rFonts w:ascii="Times New Roman" w:eastAsiaTheme="majorEastAsia" w:hAnsi="Times New Roman" w:cs="Times New Roman"/>
          <w:b/>
          <w:bCs/>
          <w:color w:val="000000"/>
          <w:sz w:val="24"/>
          <w:szCs w:val="28"/>
        </w:rPr>
      </w:pPr>
    </w:p>
    <w:p w14:paraId="6CD47CDA" w14:textId="77777777" w:rsidR="00543DB0" w:rsidRPr="00543DB0" w:rsidRDefault="00543DB0" w:rsidP="00543DB0">
      <w:pPr>
        <w:spacing w:after="20"/>
        <w:rPr>
          <w:rFonts w:ascii="Times New Roman" w:eastAsiaTheme="majorEastAsia" w:hAnsi="Times New Roman" w:cs="Times New Roman"/>
          <w:b/>
          <w:bCs/>
          <w:color w:val="000000"/>
          <w:sz w:val="24"/>
          <w:szCs w:val="28"/>
        </w:rPr>
      </w:pPr>
      <w:r w:rsidRPr="00543DB0">
        <w:rPr>
          <w:rFonts w:ascii="Times New Roman" w:eastAsiaTheme="majorEastAsia" w:hAnsi="Times New Roman" w:cs="Times New Roman"/>
          <w:b/>
          <w:bCs/>
          <w:color w:val="000000"/>
          <w:sz w:val="24"/>
          <w:szCs w:val="28"/>
        </w:rPr>
        <w:t>Next Week's Plan</w:t>
      </w:r>
    </w:p>
    <w:p w14:paraId="2EC6A5A4" w14:textId="77777777" w:rsidR="00543DB0" w:rsidRPr="00543DB0" w:rsidRDefault="00543DB0" w:rsidP="00543DB0">
      <w:pPr>
        <w:spacing w:after="20"/>
        <w:rPr>
          <w:rFonts w:ascii="Times New Roman" w:eastAsiaTheme="majorEastAsia" w:hAnsi="Times New Roman" w:cs="Times New Roman"/>
          <w:color w:val="000000"/>
          <w:sz w:val="22"/>
        </w:rPr>
      </w:pPr>
    </w:p>
    <w:p w14:paraId="15CD5488" w14:textId="77777777" w:rsidR="00543DB0" w:rsidRPr="00FB3B62" w:rsidRDefault="00543DB0" w:rsidP="00FB3B62">
      <w:pPr>
        <w:pStyle w:val="ae"/>
        <w:numPr>
          <w:ilvl w:val="0"/>
          <w:numId w:val="11"/>
        </w:numPr>
        <w:spacing w:after="20"/>
        <w:rPr>
          <w:rFonts w:ascii="Times New Roman" w:eastAsiaTheme="majorEastAsia" w:hAnsi="Times New Roman" w:cs="Times New Roman"/>
          <w:color w:val="000000"/>
          <w:sz w:val="22"/>
        </w:rPr>
      </w:pPr>
      <w:r w:rsidRPr="00FB3B62">
        <w:rPr>
          <w:rFonts w:ascii="Times New Roman" w:eastAsiaTheme="majorEastAsia" w:hAnsi="Times New Roman" w:cs="Times New Roman"/>
          <w:color w:val="000000"/>
          <w:sz w:val="22"/>
        </w:rPr>
        <w:t>Data Collection: Collect two-level warning trials across various difficulties and directions to evaluate recovery and response rates.</w:t>
      </w:r>
    </w:p>
    <w:p w14:paraId="0130919E" w14:textId="77777777" w:rsidR="00543DB0" w:rsidRPr="00543DB0" w:rsidRDefault="00543DB0" w:rsidP="00543DB0">
      <w:pPr>
        <w:spacing w:after="20"/>
        <w:rPr>
          <w:rFonts w:ascii="Times New Roman" w:eastAsiaTheme="majorEastAsia" w:hAnsi="Times New Roman" w:cs="Times New Roman"/>
          <w:color w:val="000000"/>
          <w:sz w:val="22"/>
        </w:rPr>
      </w:pPr>
    </w:p>
    <w:p w14:paraId="3F4F1452" w14:textId="77777777" w:rsidR="00543DB0" w:rsidRPr="00FB3B62" w:rsidRDefault="00543DB0" w:rsidP="00FB3B62">
      <w:pPr>
        <w:pStyle w:val="ae"/>
        <w:numPr>
          <w:ilvl w:val="0"/>
          <w:numId w:val="11"/>
        </w:numPr>
        <w:spacing w:after="20"/>
        <w:rPr>
          <w:rFonts w:ascii="Times New Roman" w:eastAsiaTheme="majorEastAsia" w:hAnsi="Times New Roman" w:cs="Times New Roman"/>
          <w:color w:val="000000"/>
          <w:sz w:val="22"/>
        </w:rPr>
      </w:pPr>
      <w:r w:rsidRPr="00FB3B62">
        <w:rPr>
          <w:rFonts w:ascii="Times New Roman" w:eastAsiaTheme="majorEastAsia" w:hAnsi="Times New Roman" w:cs="Times New Roman"/>
          <w:color w:val="000000"/>
          <w:sz w:val="22"/>
        </w:rPr>
        <w:t>Log Analysis: Run the response analyzer on the newly collected logs to measure player reaction times, safe returns, and false alarm rates.</w:t>
      </w:r>
    </w:p>
    <w:p w14:paraId="57CB50ED" w14:textId="77777777" w:rsidR="00543DB0" w:rsidRPr="00543DB0" w:rsidRDefault="00543DB0" w:rsidP="00543DB0">
      <w:pPr>
        <w:spacing w:after="20"/>
        <w:rPr>
          <w:rFonts w:ascii="Times New Roman" w:eastAsiaTheme="majorEastAsia" w:hAnsi="Times New Roman" w:cs="Times New Roman"/>
          <w:color w:val="000000"/>
          <w:sz w:val="22"/>
        </w:rPr>
      </w:pPr>
    </w:p>
    <w:p w14:paraId="2DEC6FD0" w14:textId="77777777" w:rsidR="00543DB0" w:rsidRPr="00FB3B62" w:rsidRDefault="00543DB0" w:rsidP="00FB3B62">
      <w:pPr>
        <w:pStyle w:val="ae"/>
        <w:numPr>
          <w:ilvl w:val="0"/>
          <w:numId w:val="11"/>
        </w:numPr>
        <w:spacing w:after="20"/>
        <w:rPr>
          <w:rFonts w:ascii="Times New Roman" w:eastAsiaTheme="majorEastAsia" w:hAnsi="Times New Roman" w:cs="Times New Roman"/>
          <w:color w:val="000000"/>
          <w:sz w:val="22"/>
        </w:rPr>
      </w:pPr>
      <w:r w:rsidRPr="00FB3B62">
        <w:rPr>
          <w:rFonts w:ascii="Times New Roman" w:eastAsiaTheme="majorEastAsia" w:hAnsi="Times New Roman" w:cs="Times New Roman"/>
          <w:color w:val="000000"/>
          <w:sz w:val="22"/>
        </w:rPr>
        <w:t xml:space="preserve">Model Tuning: Fine-tune the </w:t>
      </w:r>
      <w:proofErr w:type="spellStart"/>
      <w:r w:rsidRPr="00FB3B62">
        <w:rPr>
          <w:rFonts w:ascii="Times New Roman" w:eastAsiaTheme="majorEastAsia" w:hAnsi="Times New Roman" w:cs="Times New Roman"/>
          <w:color w:val="000000"/>
          <w:sz w:val="22"/>
        </w:rPr>
        <w:t>LightGBM</w:t>
      </w:r>
      <w:proofErr w:type="spellEnd"/>
      <w:r w:rsidRPr="00FB3B62">
        <w:rPr>
          <w:rFonts w:ascii="Times New Roman" w:eastAsiaTheme="majorEastAsia" w:hAnsi="Times New Roman" w:cs="Times New Roman"/>
          <w:color w:val="000000"/>
          <w:sz w:val="22"/>
        </w:rPr>
        <w:t xml:space="preserve"> model by incorporating hard negatives and temporal smoothing to establish a fixed threshold and warning policy.</w:t>
      </w:r>
    </w:p>
    <w:p w14:paraId="628A3EA0" w14:textId="77777777" w:rsidR="00543DB0" w:rsidRPr="00543DB0" w:rsidRDefault="00543DB0" w:rsidP="00543DB0">
      <w:pPr>
        <w:spacing w:after="20"/>
        <w:rPr>
          <w:rFonts w:ascii="Times New Roman" w:eastAsiaTheme="majorEastAsia" w:hAnsi="Times New Roman" w:cs="Times New Roman"/>
          <w:color w:val="000000"/>
          <w:sz w:val="22"/>
        </w:rPr>
      </w:pPr>
    </w:p>
    <w:p w14:paraId="6C916593" w14:textId="77777777" w:rsidR="00543DB0" w:rsidRPr="00FB3B62" w:rsidRDefault="00543DB0" w:rsidP="00FB3B62">
      <w:pPr>
        <w:pStyle w:val="ae"/>
        <w:numPr>
          <w:ilvl w:val="0"/>
          <w:numId w:val="11"/>
        </w:numPr>
        <w:spacing w:after="20"/>
        <w:rPr>
          <w:rFonts w:ascii="Times New Roman" w:eastAsiaTheme="majorEastAsia" w:hAnsi="Times New Roman" w:cs="Times New Roman"/>
          <w:color w:val="000000"/>
          <w:sz w:val="22"/>
        </w:rPr>
      </w:pPr>
      <w:r w:rsidRPr="00FB3B62">
        <w:rPr>
          <w:rFonts w:ascii="Times New Roman" w:eastAsiaTheme="majorEastAsia" w:hAnsi="Times New Roman" w:cs="Times New Roman"/>
          <w:color w:val="000000"/>
          <w:sz w:val="22"/>
        </w:rPr>
        <w:t>Validation: Perform a single validation run on frozen data—assessing F1 score, False Alarm Rate (FAR), and lead time—to finalize the offline model comparison.</w:t>
      </w:r>
    </w:p>
    <w:p w14:paraId="20F2B65C" w14:textId="77777777" w:rsidR="00543DB0" w:rsidRPr="00543DB0" w:rsidRDefault="00543DB0" w:rsidP="00543DB0">
      <w:pPr>
        <w:spacing w:after="20"/>
        <w:rPr>
          <w:rFonts w:ascii="Times New Roman" w:eastAsiaTheme="majorEastAsia" w:hAnsi="Times New Roman" w:cs="Times New Roman"/>
          <w:color w:val="000000"/>
          <w:sz w:val="22"/>
        </w:rPr>
      </w:pPr>
    </w:p>
    <w:p w14:paraId="4702A1F6" w14:textId="1A4AA7F0" w:rsidR="006E1B7F" w:rsidRPr="00FB3B62" w:rsidRDefault="00543DB0" w:rsidP="00FB3B62">
      <w:pPr>
        <w:pStyle w:val="ae"/>
        <w:numPr>
          <w:ilvl w:val="0"/>
          <w:numId w:val="11"/>
        </w:numPr>
        <w:spacing w:after="20"/>
        <w:rPr>
          <w:sz w:val="22"/>
        </w:rPr>
      </w:pPr>
      <w:r w:rsidRPr="00FB3B62">
        <w:rPr>
          <w:rFonts w:ascii="Times New Roman" w:eastAsiaTheme="majorEastAsia" w:hAnsi="Times New Roman" w:cs="Times New Roman"/>
          <w:color w:val="000000"/>
          <w:sz w:val="22"/>
        </w:rPr>
        <w:t xml:space="preserve">Finalization: Freeze the selected </w:t>
      </w:r>
      <w:proofErr w:type="spellStart"/>
      <w:r w:rsidRPr="00FB3B62">
        <w:rPr>
          <w:rFonts w:ascii="Times New Roman" w:eastAsiaTheme="majorEastAsia" w:hAnsi="Times New Roman" w:cs="Times New Roman"/>
          <w:color w:val="000000"/>
          <w:sz w:val="22"/>
        </w:rPr>
        <w:t>LightGBM</w:t>
      </w:r>
      <w:proofErr w:type="spellEnd"/>
      <w:r w:rsidRPr="00FB3B62">
        <w:rPr>
          <w:rFonts w:ascii="Times New Roman" w:eastAsiaTheme="majorEastAsia" w:hAnsi="Times New Roman" w:cs="Times New Roman"/>
          <w:color w:val="000000"/>
          <w:sz w:val="22"/>
        </w:rPr>
        <w:t xml:space="preserve"> configuration and document its limitations to deliver a fully reproducible model package.</w:t>
      </w:r>
    </w:p>
    <w:sectPr w:rsidR="006E1B7F" w:rsidRPr="00FB3B62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B0273A"/>
    <w:multiLevelType w:val="hybridMultilevel"/>
    <w:tmpl w:val="116807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E0577AA"/>
    <w:multiLevelType w:val="hybridMultilevel"/>
    <w:tmpl w:val="170A3E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3674354">
    <w:abstractNumId w:val="8"/>
  </w:num>
  <w:num w:numId="2" w16cid:durableId="454911751">
    <w:abstractNumId w:val="6"/>
  </w:num>
  <w:num w:numId="3" w16cid:durableId="1640069348">
    <w:abstractNumId w:val="5"/>
  </w:num>
  <w:num w:numId="4" w16cid:durableId="1769815133">
    <w:abstractNumId w:val="4"/>
  </w:num>
  <w:num w:numId="5" w16cid:durableId="820390615">
    <w:abstractNumId w:val="7"/>
  </w:num>
  <w:num w:numId="6" w16cid:durableId="760106925">
    <w:abstractNumId w:val="3"/>
  </w:num>
  <w:num w:numId="7" w16cid:durableId="1240753521">
    <w:abstractNumId w:val="2"/>
  </w:num>
  <w:num w:numId="8" w16cid:durableId="331221255">
    <w:abstractNumId w:val="1"/>
  </w:num>
  <w:num w:numId="9" w16cid:durableId="1531603273">
    <w:abstractNumId w:val="0"/>
  </w:num>
  <w:num w:numId="10" w16cid:durableId="631134635">
    <w:abstractNumId w:val="9"/>
  </w:num>
  <w:num w:numId="11" w16cid:durableId="4698289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3DB0"/>
    <w:rsid w:val="006E1B7F"/>
    <w:rsid w:val="007065D3"/>
    <w:rsid w:val="00AA1D8D"/>
    <w:rsid w:val="00B2586C"/>
    <w:rsid w:val="00B47730"/>
    <w:rsid w:val="00CB0664"/>
    <w:rsid w:val="00FB3B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80EBE4"/>
  <w14:defaultImageDpi w14:val="300"/>
  <w15:docId w15:val="{C4C84366-B3D2-442B-A740-9B02E2F8B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527</Words>
  <Characters>2889</Characters>
  <Application>Microsoft Office Word</Application>
  <DocSecurity>0</DocSecurity>
  <Lines>93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YUXUAN QI</cp:lastModifiedBy>
  <cp:revision>2</cp:revision>
  <cp:lastPrinted>2026-10-02T07:50:00Z</cp:lastPrinted>
  <dcterms:created xsi:type="dcterms:W3CDTF">2013-12-23T23:15:00Z</dcterms:created>
  <dcterms:modified xsi:type="dcterms:W3CDTF">2026-10-02T07:50:00Z</dcterms:modified>
  <cp:category/>
</cp:coreProperties>
</file>