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33A47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right"/>
      </w:pPr>
      <w:r>
        <w:rPr>
          <w:rFonts w:ascii="Times New Roman" w:hAnsi="Times New Roman" w:eastAsia="宋体" w:cs="Times New Roman"/>
          <w:sz w:val="72"/>
        </w:rPr>
        <w:drawing>
          <wp:inline distT="0" distB="0" distL="0" distR="0">
            <wp:extent cx="3009900" cy="8102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6074" cy="8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8A3D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hint="default" w:ascii="Times New Roman" w:hAnsi="Times New Roman" w:eastAsia="宋体" w:cs="Times New Roman"/>
          <w:sz w:val="40"/>
          <w:lang w:val="en-US" w:eastAsia="zh-CN"/>
        </w:rPr>
      </w:pPr>
      <w:r>
        <w:rPr>
          <w:rFonts w:hint="eastAsia" w:ascii="Times New Roman" w:hAnsi="Times New Roman" w:eastAsia="宋体" w:cs="Times New Roman"/>
          <w:sz w:val="40"/>
          <w:lang w:eastAsia="zh-CN"/>
        </w:rPr>
        <w:t>自然语言处理C实验III</w:t>
      </w:r>
    </w:p>
    <w:p w14:paraId="75F714D5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rFonts w:ascii="Times New Roman" w:hAnsi="Times New Roman" w:eastAsia="宋体" w:cs="Times New Roman"/>
          <w:b/>
          <w:sz w:val="56"/>
          <w:lang w:eastAsia="zh-CN"/>
        </w:rPr>
      </w:pPr>
    </w:p>
    <w:p w14:paraId="22E724F2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rFonts w:ascii="Times New Roman" w:hAnsi="Times New Roman" w:eastAsia="宋体" w:cs="Times New Roman"/>
          <w:b/>
          <w:sz w:val="56"/>
          <w:lang w:eastAsia="zh-CN"/>
        </w:rPr>
      </w:pPr>
    </w:p>
    <w:p w14:paraId="18810B3E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rFonts w:ascii="Times New Roman" w:hAnsi="Times New Roman" w:eastAsia="宋体" w:cs="Times New Roman"/>
          <w:b/>
          <w:sz w:val="56"/>
          <w:lang w:eastAsia="zh-CN"/>
        </w:rPr>
      </w:pPr>
    </w:p>
    <w:p w14:paraId="29990D43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rFonts w:ascii="Times New Roman" w:hAnsi="Times New Roman" w:eastAsia="宋体" w:cs="Times New Roman"/>
          <w:b/>
          <w:sz w:val="56"/>
          <w:lang w:eastAsia="zh-CN"/>
        </w:rPr>
      </w:pPr>
      <w:r>
        <w:rPr>
          <w:rFonts w:hint="eastAsia" w:ascii="Times New Roman" w:hAnsi="Times New Roman" w:eastAsia="宋体" w:cs="Times New Roman"/>
          <w:b/>
          <w:sz w:val="56"/>
          <w:lang w:eastAsia="zh-CN"/>
        </w:rPr>
        <w:t>利用对话数据微调基础大模型</w:t>
      </w:r>
    </w:p>
    <w:p w14:paraId="2E6BF426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rFonts w:ascii="Times New Roman" w:hAnsi="Times New Roman" w:eastAsia="宋体" w:cs="Times New Roman"/>
          <w:b/>
          <w:sz w:val="44"/>
          <w:lang w:eastAsia="zh-CN"/>
        </w:rPr>
      </w:pPr>
      <w:r>
        <w:rPr>
          <w:rFonts w:hint="eastAsia" w:ascii="Times New Roman" w:hAnsi="Times New Roman" w:eastAsia="宋体" w:cs="Times New Roman"/>
          <w:b/>
          <w:sz w:val="52"/>
          <w:lang w:eastAsia="zh-CN"/>
        </w:rPr>
        <w:t>——</w:t>
      </w:r>
      <w:r>
        <w:rPr>
          <w:rFonts w:hint="eastAsia" w:ascii="Times New Roman" w:hAnsi="Times New Roman" w:eastAsia="宋体" w:cs="Times New Roman"/>
          <w:b/>
          <w:sz w:val="44"/>
        </w:rPr>
        <w:t xml:space="preserve">基于Qwen3-4B-Instruct-2507的中文医疗对话 QLoRA </w:t>
      </w:r>
      <w:r>
        <w:rPr>
          <w:rFonts w:hint="eastAsia" w:ascii="Times New Roman" w:hAnsi="Times New Roman" w:eastAsia="宋体" w:cs="Times New Roman"/>
          <w:b/>
          <w:sz w:val="44"/>
          <w:lang w:val="en-US" w:eastAsia="zh-CN"/>
        </w:rPr>
        <w:t>的本地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sz w:val="44"/>
        </w:rPr>
        <w:t>微调</w:t>
      </w:r>
    </w:p>
    <w:p w14:paraId="7E8228BF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ascii="Times New Roman" w:hAnsi="Times New Roman" w:eastAsia="宋体" w:cs="Times New Roman"/>
          <w:b/>
          <w:sz w:val="56"/>
          <w:lang w:eastAsia="zh-CN"/>
        </w:rPr>
      </w:pPr>
    </w:p>
    <w:p w14:paraId="62622A82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lang w:eastAsia="zh-CN"/>
        </w:rPr>
      </w:pPr>
    </w:p>
    <w:p w14:paraId="6B05B8A2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5588FEE9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03A80564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5FE39183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385233AB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4495023C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23838CD8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08BEF42B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20A9C3DB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2BCB5ECF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3400F228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rFonts w:ascii="Times New Roman" w:hAnsi="Times New Roman" w:eastAsia="宋体" w:cs="Times New Roman"/>
          <w:sz w:val="28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lang w:eastAsia="zh-CN"/>
        </w:rPr>
        <w:t>计算学部人工智能学院</w:t>
      </w:r>
    </w:p>
    <w:p w14:paraId="2356C2E6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center"/>
        <w:rPr>
          <w:lang w:eastAsia="zh-CN"/>
        </w:rPr>
      </w:pPr>
      <w:r>
        <w:rPr>
          <w:rFonts w:hint="eastAsia" w:ascii="Times New Roman" w:hAnsi="Times New Roman" w:eastAsia="宋体" w:cs="Times New Roman"/>
          <w:sz w:val="28"/>
          <w:lang w:eastAsia="zh-CN"/>
        </w:rPr>
        <w:t>2</w:t>
      </w:r>
      <w:r>
        <w:rPr>
          <w:rFonts w:ascii="Times New Roman" w:hAnsi="Times New Roman" w:eastAsia="宋体" w:cs="Times New Roman"/>
          <w:sz w:val="28"/>
          <w:lang w:eastAsia="zh-CN"/>
        </w:rPr>
        <w:t>026</w:t>
      </w:r>
      <w:r>
        <w:rPr>
          <w:rFonts w:hint="eastAsia" w:ascii="Times New Roman" w:hAnsi="Times New Roman" w:eastAsia="宋体" w:cs="Times New Roman"/>
          <w:sz w:val="28"/>
          <w:lang w:eastAsia="zh-CN"/>
        </w:rPr>
        <w:t>年秋季学期</w:t>
      </w:r>
    </w:p>
    <w:p w14:paraId="527FA74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Ansi="Times New Roman" w:eastAsia="Times New Roman" w:cs="Times New Roman"/>
          <w:szCs w:val="24"/>
          <w:lang w:eastAsia="zh-CN"/>
        </w:rPr>
      </w:pPr>
      <w:r>
        <w:rPr>
          <w:lang w:eastAsia="zh-CN"/>
        </w:rPr>
        <w:br w:type="page"/>
      </w:r>
    </w:p>
    <w:p w14:paraId="064131B4">
      <w:pPr>
        <w:keepNext w:val="0"/>
        <w:keepLines w:val="0"/>
        <w:pageBreakBefore w:val="0"/>
        <w:numPr>
          <w:ilvl w:val="0"/>
          <w:numId w:val="1"/>
        </w:numPr>
        <w:wordWrap w:val="0"/>
        <w:overflowPunct/>
        <w:topLinePunct w:val="0"/>
        <w:bidi w:val="0"/>
        <w:spacing w:line="240" w:lineRule="auto"/>
        <w:ind w:left="29"/>
        <w:outlineLvl w:val="1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pacing w:val="-6"/>
          <w:sz w:val="28"/>
          <w:szCs w:val="28"/>
        </w:rPr>
        <w:t>实验简介</w:t>
      </w:r>
    </w:p>
    <w:p w14:paraId="649D7ED3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left="23" w:right="205" w:firstLine="480"/>
        <w:jc w:val="both"/>
        <w:rPr>
          <w:rFonts w:hint="eastAsia"/>
          <w:spacing w:val="-1"/>
          <w:lang w:eastAsia="zh-CN"/>
        </w:rPr>
      </w:pPr>
      <w:r>
        <w:rPr>
          <w:rFonts w:hint="eastAsia"/>
          <w:spacing w:val="-1"/>
          <w:lang w:eastAsia="zh-CN"/>
        </w:rPr>
        <w:t>Qwen3-4B-Instruct-2507 是阿里云通义千问团队 2025 年发布的小尺寸指令模型，采用非思考模式，适合在消费级显卡上做指令微调。QLoRA 的做法是：把冻结的基座权重压到 4-bit NF4，只在 Transformer 线性层旁训练低秩 LoRA 矩阵。本实验的可训练参数约 1,650 万，占 4B 总参数的 0.41%，因此 8GB 显存可以完成训练，但余量很小，训练时需要关闭游戏、浏览器硬件加速等占用显存的程序。</w:t>
      </w:r>
    </w:p>
    <w:p w14:paraId="1086B866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left="23" w:right="205" w:firstLine="480"/>
        <w:jc w:val="both"/>
        <w:rPr>
          <w:rFonts w:hint="eastAsia"/>
          <w:spacing w:val="-1"/>
          <w:lang w:eastAsia="zh-CN"/>
        </w:rPr>
      </w:pPr>
      <w:r>
        <w:rPr>
          <w:rFonts w:hint="eastAsia"/>
          <w:spacing w:val="-1"/>
          <w:lang w:eastAsia="zh-CN"/>
        </w:rPr>
        <w:t>实验数据为复旦大学数据智能与社会计算实验室公开的 DISC-Med-SFT 中文医疗对话数据。每条医生回复与紧邻的前一条用户提问配成一条单轮样本；训练集与验证集按对话级 9:1 切分。评测使用实验要求的两个测试集：医疗对话测试集 Chinese-medical-dialogue，用于评估真实医疗问答；通用知识测试集 CMMLU computer_science，用于观察微调对通用知识的影响。Chinese-medical-dialogue 取前 100 条作为 medical_100，CMMLU 使用 computer_science 的 204 道单选题；两者均不参与训练。</w:t>
      </w:r>
    </w:p>
    <w:p w14:paraId="670D33AA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left="23" w:right="205" w:firstLine="480"/>
        <w:jc w:val="both"/>
        <w:rPr>
          <w:rFonts w:hint="eastAsia"/>
          <w:spacing w:val="-1"/>
          <w:lang w:eastAsia="zh-CN"/>
        </w:rPr>
      </w:pPr>
      <w:r>
        <w:rPr>
          <w:rFonts w:hint="eastAsia"/>
          <w:spacing w:val="-1"/>
          <w:lang w:eastAsia="zh-CN"/>
        </w:rPr>
        <w:t>本指导书的参考实现使用 LLaMA-Factory 完成 QLoRA 训练，使用 Transformers + PEFT 完成批量推理；两者共用同一个 conda 环境。训练产物是 LoRA adapter，不合并进 4-bit 基座；推理时直接加载“4-bit 基座 + adapter”，以保证 Base 与 LoRA 两组使用完全相同的量化基座。</w:t>
      </w:r>
    </w:p>
    <w:p w14:paraId="79FA0A88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left="23" w:right="205" w:firstLine="480"/>
        <w:jc w:val="both"/>
        <w:rPr>
          <w:rFonts w:ascii="宋体" w:hAnsi="宋体" w:eastAsia="宋体" w:cs="宋体"/>
          <w:lang w:eastAsia="zh-CN"/>
        </w:rPr>
      </w:pPr>
      <w:r>
        <w:rPr>
          <w:rFonts w:hint="eastAsia"/>
          <w:spacing w:val="-1"/>
          <w:lang w:eastAsia="zh-CN"/>
        </w:rPr>
        <w:t>整体流程：安装环境 → 下载模型与数据 → 准备数据 → align100 训练 → Base/LoRA 推理 → ROUGE/CMMLU 统计 → 撰写报告。</w:t>
      </w:r>
    </w:p>
    <w:p w14:paraId="0872F3A7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lang w:eastAsia="zh-CN"/>
        </w:rPr>
      </w:pPr>
    </w:p>
    <w:p w14:paraId="3CFA050A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left="23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spacing w:val="-10"/>
          <w:sz w:val="24"/>
          <w:szCs w:val="24"/>
          <w:lang w:eastAsia="zh-CN"/>
        </w:rPr>
        <w:t>学习</w:t>
      </w:r>
      <w:r>
        <w:rPr>
          <w:rFonts w:ascii="楷体" w:hAnsi="楷体" w:eastAsia="楷体" w:cs="楷体"/>
          <w:b/>
          <w:bCs/>
          <w:spacing w:val="-10"/>
          <w:sz w:val="24"/>
          <w:szCs w:val="24"/>
        </w:rPr>
        <w:t>参考文件：</w:t>
      </w:r>
    </w:p>
    <w:p w14:paraId="38350FA5">
      <w:pPr>
        <w:pStyle w:val="2"/>
        <w:keepNext w:val="0"/>
        <w:keepLines w:val="0"/>
        <w:pageBreakBefore w:val="0"/>
        <w:numPr>
          <w:ilvl w:val="0"/>
          <w:numId w:val="2"/>
        </w:numPr>
        <w:wordWrap w:val="0"/>
        <w:overflowPunct/>
        <w:topLinePunct w:val="0"/>
        <w:bidi w:val="0"/>
        <w:spacing w:line="240" w:lineRule="auto"/>
        <w:rPr>
          <w:rFonts w:hint="eastAsia" w:eastAsia="宋体"/>
          <w:color w:val="auto"/>
        </w:rPr>
      </w:pPr>
      <w:r>
        <w:rPr>
          <w:rFonts w:hint="eastAsia" w:eastAsia="宋体"/>
          <w:color w:val="auto"/>
        </w:rPr>
        <w:t>LoRA 论文：</w:t>
      </w:r>
      <w:r>
        <w:rPr>
          <w:rFonts w:hint="eastAsia" w:eastAsia="宋体"/>
          <w:color w:val="auto"/>
        </w:rPr>
        <w:fldChar w:fldCharType="begin"/>
      </w:r>
      <w:r>
        <w:rPr>
          <w:rFonts w:hint="eastAsia" w:eastAsia="宋体"/>
          <w:color w:val="auto"/>
        </w:rPr>
        <w:instrText xml:space="preserve"> HYPERLINK "https://arxiv.org/abs/2106.09685" </w:instrText>
      </w:r>
      <w:r>
        <w:rPr>
          <w:rFonts w:hint="eastAsia" w:eastAsia="宋体"/>
          <w:color w:val="auto"/>
        </w:rPr>
        <w:fldChar w:fldCharType="separate"/>
      </w:r>
      <w:r>
        <w:rPr>
          <w:rStyle w:val="10"/>
          <w:rFonts w:hint="eastAsia" w:eastAsia="宋体"/>
        </w:rPr>
        <w:t>https://arxiv.org/abs/2106.09685</w:t>
      </w:r>
      <w:r>
        <w:rPr>
          <w:rFonts w:hint="eastAsia" w:eastAsia="宋体"/>
          <w:color w:val="auto"/>
        </w:rPr>
        <w:fldChar w:fldCharType="end"/>
      </w:r>
    </w:p>
    <w:p w14:paraId="43C56BB0">
      <w:pPr>
        <w:pStyle w:val="2"/>
        <w:keepNext w:val="0"/>
        <w:keepLines w:val="0"/>
        <w:pageBreakBefore w:val="0"/>
        <w:numPr>
          <w:ilvl w:val="0"/>
          <w:numId w:val="2"/>
        </w:numPr>
        <w:wordWrap w:val="0"/>
        <w:overflowPunct/>
        <w:topLinePunct w:val="0"/>
        <w:bidi w:val="0"/>
        <w:spacing w:line="240" w:lineRule="auto"/>
        <w:rPr>
          <w:rFonts w:hint="eastAsia" w:eastAsia="宋体"/>
          <w:color w:val="auto"/>
        </w:rPr>
      </w:pPr>
      <w:r>
        <w:rPr>
          <w:rFonts w:hint="eastAsia" w:eastAsia="宋体"/>
          <w:color w:val="auto"/>
        </w:rPr>
        <w:t>DISC-Med-SFT 数据集：</w:t>
      </w:r>
      <w:r>
        <w:rPr>
          <w:rFonts w:hint="eastAsia" w:eastAsia="宋体"/>
          <w:color w:val="auto"/>
        </w:rPr>
        <w:fldChar w:fldCharType="begin"/>
      </w:r>
      <w:r>
        <w:rPr>
          <w:rFonts w:hint="eastAsia" w:eastAsia="宋体"/>
          <w:color w:val="auto"/>
        </w:rPr>
        <w:instrText xml:space="preserve"> HYPERLINK "https://aistudio.baidu.com/dataset/detail/323449/intro" </w:instrText>
      </w:r>
      <w:r>
        <w:rPr>
          <w:rFonts w:hint="eastAsia" w:eastAsia="宋体"/>
          <w:color w:val="auto"/>
        </w:rPr>
        <w:fldChar w:fldCharType="separate"/>
      </w:r>
      <w:r>
        <w:rPr>
          <w:rStyle w:val="10"/>
          <w:rFonts w:hint="eastAsia" w:eastAsia="宋体"/>
        </w:rPr>
        <w:t>https://aistudio.baidu.com/dataset/detail/323449/intro</w:t>
      </w:r>
      <w:r>
        <w:rPr>
          <w:rFonts w:hint="eastAsia" w:eastAsia="宋体"/>
          <w:color w:val="auto"/>
        </w:rPr>
        <w:fldChar w:fldCharType="end"/>
      </w:r>
      <w:r>
        <w:rPr>
          <w:rFonts w:hint="eastAsia" w:eastAsia="宋体"/>
          <w:color w:val="auto"/>
        </w:rPr>
        <w:t xml:space="preserve"> </w:t>
      </w:r>
    </w:p>
    <w:p w14:paraId="238131C2">
      <w:pPr>
        <w:pStyle w:val="2"/>
        <w:keepNext w:val="0"/>
        <w:keepLines w:val="0"/>
        <w:pageBreakBefore w:val="0"/>
        <w:numPr>
          <w:ilvl w:val="0"/>
          <w:numId w:val="2"/>
        </w:numPr>
        <w:wordWrap w:val="0"/>
        <w:overflowPunct/>
        <w:topLinePunct w:val="0"/>
        <w:bidi w:val="0"/>
        <w:spacing w:line="240" w:lineRule="auto"/>
        <w:rPr>
          <w:rFonts w:hint="eastAsia" w:eastAsia="宋体"/>
          <w:color w:val="auto"/>
        </w:rPr>
      </w:pPr>
      <w:r>
        <w:rPr>
          <w:rFonts w:hint="eastAsia" w:eastAsia="宋体"/>
          <w:color w:val="auto"/>
        </w:rPr>
        <w:t>CMMLU 测试集：</w:t>
      </w:r>
      <w:r>
        <w:rPr>
          <w:rFonts w:hint="eastAsia" w:eastAsia="宋体"/>
          <w:color w:val="auto"/>
        </w:rPr>
        <w:fldChar w:fldCharType="begin"/>
      </w:r>
      <w:r>
        <w:rPr>
          <w:rFonts w:hint="eastAsia" w:eastAsia="宋体"/>
          <w:color w:val="auto"/>
        </w:rPr>
        <w:instrText xml:space="preserve"> HYPERLINK "https://aistudio.baidu.com/dataset/detail/340353/intro" </w:instrText>
      </w:r>
      <w:r>
        <w:rPr>
          <w:rFonts w:hint="eastAsia" w:eastAsia="宋体"/>
          <w:color w:val="auto"/>
        </w:rPr>
        <w:fldChar w:fldCharType="separate"/>
      </w:r>
      <w:r>
        <w:rPr>
          <w:rStyle w:val="10"/>
          <w:rFonts w:hint="eastAsia" w:eastAsia="宋体"/>
        </w:rPr>
        <w:t>https://aistudio.baidu.com/dataset/detail/340353/intro</w:t>
      </w:r>
      <w:r>
        <w:rPr>
          <w:rFonts w:hint="eastAsia" w:eastAsia="宋体"/>
          <w:color w:val="auto"/>
        </w:rPr>
        <w:fldChar w:fldCharType="end"/>
      </w:r>
    </w:p>
    <w:p w14:paraId="78573E1A">
      <w:pPr>
        <w:pStyle w:val="2"/>
        <w:keepNext w:val="0"/>
        <w:keepLines w:val="0"/>
        <w:pageBreakBefore w:val="0"/>
        <w:numPr>
          <w:ilvl w:val="0"/>
          <w:numId w:val="2"/>
        </w:numPr>
        <w:wordWrap w:val="0"/>
        <w:overflowPunct/>
        <w:topLinePunct w:val="0"/>
        <w:bidi w:val="0"/>
        <w:spacing w:line="240" w:lineRule="auto"/>
        <w:rPr>
          <w:rFonts w:eastAsia="宋体"/>
          <w:color w:val="auto"/>
        </w:rPr>
      </w:pPr>
      <w:r>
        <w:rPr>
          <w:rFonts w:hint="eastAsia" w:eastAsia="宋体"/>
          <w:color w:val="auto"/>
          <w:u w:val="none"/>
        </w:rPr>
        <w:t>Chinese-medical-dialogue 测试集</w:t>
      </w:r>
      <w:r>
        <w:rPr>
          <w:rFonts w:hint="eastAsia" w:eastAsia="宋体"/>
          <w:color w:val="auto"/>
        </w:rPr>
        <w:t>：</w:t>
      </w:r>
    </w:p>
    <w:p w14:paraId="468A7C73">
      <w:pPr>
        <w:pStyle w:val="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firstLine="480" w:firstLineChars="200"/>
        <w:rPr>
          <w:rFonts w:eastAsia="宋体"/>
          <w:color w:val="auto"/>
        </w:rPr>
      </w:pPr>
      <w:r>
        <w:rPr>
          <w:rFonts w:hint="eastAsia" w:eastAsia="宋体"/>
          <w:color w:val="auto"/>
        </w:rPr>
        <w:fldChar w:fldCharType="begin"/>
      </w:r>
      <w:r>
        <w:rPr>
          <w:rFonts w:hint="eastAsia" w:eastAsia="宋体"/>
          <w:color w:val="auto"/>
        </w:rPr>
        <w:instrText xml:space="preserve"> HYPERLINK "https://aistudio.baidu.com/dataset/detail/323370/intro" </w:instrText>
      </w:r>
      <w:r>
        <w:rPr>
          <w:rFonts w:hint="eastAsia" w:eastAsia="宋体"/>
          <w:color w:val="auto"/>
        </w:rPr>
        <w:fldChar w:fldCharType="separate"/>
      </w:r>
      <w:r>
        <w:rPr>
          <w:rStyle w:val="10"/>
          <w:rFonts w:hint="eastAsia" w:eastAsia="宋体"/>
        </w:rPr>
        <w:t>https://aistudio.baidu.com/dataset/detail/323370/intro</w:t>
      </w:r>
      <w:r>
        <w:rPr>
          <w:rFonts w:hint="eastAsia" w:eastAsia="宋体"/>
          <w:color w:val="auto"/>
        </w:rPr>
        <w:fldChar w:fldCharType="end"/>
      </w:r>
      <w:r>
        <w:rPr>
          <w:rFonts w:hint="eastAsia" w:eastAsia="宋体"/>
          <w:color w:val="auto"/>
        </w:rPr>
        <w:t xml:space="preserve"> </w:t>
      </w:r>
    </w:p>
    <w:p w14:paraId="5CF0C0F3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hint="eastAsia" w:ascii="宋体" w:hAnsi="宋体" w:eastAsia="宋体" w:cs="宋体"/>
          <w:lang w:val="en-US" w:eastAsia="zh-CN"/>
        </w:rPr>
      </w:pPr>
    </w:p>
    <w:p w14:paraId="37ECB323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hint="default" w:ascii="宋体" w:hAnsi="宋体" w:eastAsia="宋体" w:cs="宋体"/>
          <w:lang w:val="en-US" w:eastAsia="zh-CN"/>
        </w:rPr>
      </w:pPr>
    </w:p>
    <w:p w14:paraId="02329E05">
      <w:pPr>
        <w:keepNext w:val="0"/>
        <w:keepLines w:val="0"/>
        <w:pageBreakBefore w:val="0"/>
        <w:numPr>
          <w:ilvl w:val="0"/>
          <w:numId w:val="1"/>
        </w:numPr>
        <w:wordWrap w:val="0"/>
        <w:overflowPunct/>
        <w:topLinePunct w:val="0"/>
        <w:bidi w:val="0"/>
        <w:spacing w:line="240" w:lineRule="auto"/>
        <w:ind w:left="29" w:leftChars="0" w:firstLine="0" w:firstLineChars="0"/>
        <w:outlineLvl w:val="1"/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</w:pPr>
      <w:r>
        <w:rPr>
          <w:rFonts w:ascii="楷体" w:hAnsi="楷体" w:eastAsia="楷体" w:cs="楷体"/>
          <w:b/>
          <w:bCs/>
          <w:spacing w:val="-6"/>
          <w:sz w:val="28"/>
          <w:szCs w:val="28"/>
          <w:lang w:eastAsia="zh-CN"/>
        </w:rPr>
        <w:t>实验目标</w:t>
      </w:r>
      <w:r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  <w:t></w:t>
      </w:r>
    </w:p>
    <w:p w14:paraId="7788109B">
      <w:pPr>
        <w:keepNext w:val="0"/>
        <w:keepLines w:val="0"/>
        <w:pageBreakBefore w:val="0"/>
        <w:numPr>
          <w:ilvl w:val="0"/>
          <w:numId w:val="3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  <w:t>掌握使用领域对话数据对基础大模型做 QLoRA 微调的基本方法，理解 4-bit 量化基座与 LoRA 适配器的关系。</w:t>
      </w:r>
    </w:p>
    <w:p w14:paraId="5364CD0D">
      <w:pPr>
        <w:keepNext w:val="0"/>
        <w:keepLines w:val="0"/>
        <w:pageBreakBefore w:val="0"/>
        <w:numPr>
          <w:ilvl w:val="0"/>
          <w:numId w:val="3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  <w:t>了解指令微调数据的构造：多轮对话如何单轮化、训练/验证如何切分、ShareGPT 格式如何注册。</w:t>
      </w:r>
    </w:p>
    <w:p w14:paraId="7FA79B66">
      <w:pPr>
        <w:keepNext w:val="0"/>
        <w:keepLines w:val="0"/>
        <w:pageBreakBefore w:val="0"/>
        <w:numPr>
          <w:ilvl w:val="0"/>
          <w:numId w:val="3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  <w:t>熟悉医疗对话生成结果的自动评测：ROUGE-1/2/L 的计算口径。</w:t>
      </w:r>
    </w:p>
    <w:p w14:paraId="7640EE97">
      <w:pPr>
        <w:keepNext w:val="0"/>
        <w:keepLines w:val="0"/>
        <w:pageBreakBefore w:val="0"/>
        <w:numPr>
          <w:ilvl w:val="0"/>
          <w:numId w:val="3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6"/>
          <w:sz w:val="24"/>
          <w:szCs w:val="24"/>
          <w:lang w:val="en-US" w:eastAsia="zh-CN"/>
        </w:rPr>
        <w:t>能够对比微调前后的领域生成质量与通用知识变化，并结合显存、训练损失和生成案例分析解释结果。</w:t>
      </w:r>
    </w:p>
    <w:p w14:paraId="5B071502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="宋体" w:hAnsi="宋体" w:eastAsia="宋体" w:cs="宋体"/>
          <w:lang w:eastAsia="zh-CN"/>
        </w:rPr>
      </w:pPr>
    </w:p>
    <w:p w14:paraId="68F8144E">
      <w:pPr>
        <w:pStyle w:val="2"/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="宋体" w:hAnsi="宋体" w:eastAsia="宋体" w:cs="宋体"/>
          <w:lang w:eastAsia="zh-CN"/>
        </w:rPr>
      </w:pPr>
    </w:p>
    <w:p w14:paraId="4A5B5651">
      <w:pPr>
        <w:keepNext w:val="0"/>
        <w:keepLines w:val="0"/>
        <w:pageBreakBefore w:val="0"/>
        <w:numPr>
          <w:ilvl w:val="0"/>
          <w:numId w:val="4"/>
        </w:numPr>
        <w:wordWrap w:val="0"/>
        <w:overflowPunct/>
        <w:topLinePunct w:val="0"/>
        <w:bidi w:val="0"/>
        <w:spacing w:line="240" w:lineRule="auto"/>
        <w:outlineLvl w:val="1"/>
        <w:rPr>
          <w:rFonts w:ascii="楷体" w:hAnsi="楷体" w:eastAsia="楷体" w:cs="楷体"/>
          <w:b/>
          <w:bCs/>
          <w:spacing w:val="-6"/>
          <w:sz w:val="28"/>
          <w:szCs w:val="28"/>
          <w:lang w:eastAsia="zh-CN"/>
        </w:rPr>
      </w:pPr>
      <w:r>
        <w:rPr>
          <w:rFonts w:ascii="楷体" w:hAnsi="楷体" w:eastAsia="楷体" w:cs="楷体"/>
          <w:b/>
          <w:bCs/>
          <w:spacing w:val="-6"/>
          <w:sz w:val="28"/>
          <w:szCs w:val="28"/>
          <w:lang w:eastAsia="zh-CN"/>
        </w:rPr>
        <w:t>实验内容</w:t>
      </w:r>
    </w:p>
    <w:p w14:paraId="2D0B2E87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default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  <w:t>硬件与显存说明</w:t>
      </w:r>
    </w:p>
    <w:p w14:paraId="0353628B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本实验需要 NVIDIA GPU，显存至少 8GB。RTX 50 系列（如 RTX 5060、5070）属于 sm120，必须使用 CUDA 12.8 及以上的 PyTorch；其它显卡使用与驱动匹配的 CUDA 版本。</w:t>
      </w:r>
    </w:p>
    <w:p w14:paraId="3318A0EC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8GB 是参考配置的下限。Qwen3-4B 的 4-bit 权重约 2.5GB，其余显存用于 LoRA 参数与优化器状态、序列长度 1024 的激活值和输出层 logits；参考机器整卡峰值约 7.5GB，空闲余量只有 0.3–0.5GB。</w:t>
      </w:r>
    </w:p>
    <w:p w14:paraId="7C3C3399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训练时出现 CUDA out of memory（OOM），按以下顺序处理：</w:t>
      </w:r>
    </w:p>
    <w:p w14:paraId="42BF9D4E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关闭占用显存的程序。游戏、浏览器硬件加速、视频播放和桌面特效都会占用显存，训练前全部关闭；释放后 nvidia-smi 的已用显存应只剩系统桌面占用。</w:t>
      </w:r>
    </w:p>
    <w:p w14:paraId="78AAEB27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调小 cutoff_len。cutoff_len 位于 configs\qwen3_4b_qlora_align100.yaml，表示单条训练样本（提问与回复拼接后）的最大 token 长度，超出部分会被截断。当前值为 1024，OOM 时改为 512，激活显存约减半。llamafactory-cli train configs\qwen3_4b_qlora_align100.yaml 会读取该配置，不需要在命令行单独传入。</w:t>
      </w:r>
    </w:p>
    <w:p w14:paraId="0BF4AE9C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改用更小的基座模型。以上调整仍不足时，换用 3B 级模型，并同步修改 model_name_or_path、lora_target 等与模型有关的配置。</w:t>
      </w:r>
    </w:p>
    <w:p w14:paraId="40974A34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outlineLvl w:val="1"/>
        <w:rPr>
          <w:rFonts w:hint="default" w:ascii="宋体" w:hAnsi="宋体" w:eastAsia="宋体" w:cs="宋体"/>
          <w:spacing w:val="-6"/>
          <w:sz w:val="24"/>
          <w:szCs w:val="24"/>
          <w:lang w:val="en-US" w:eastAsia="zh-CN"/>
        </w:rPr>
      </w:pPr>
    </w:p>
    <w:p w14:paraId="70C077B9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  <w:t>软件版本（参考实现）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7"/>
        <w:gridCol w:w="2161"/>
        <w:gridCol w:w="4189"/>
      </w:tblGrid>
      <w:tr w14:paraId="768F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2F3"/>
          </w:tcPr>
          <w:p w14:paraId="40151732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软件</w:t>
            </w:r>
          </w:p>
        </w:tc>
        <w:tc>
          <w:tcPr>
            <w:tcW w:w="2268" w:type="dxa"/>
            <w:shd w:val="clear" w:color="auto" w:fill="D9E2F3"/>
          </w:tcPr>
          <w:p w14:paraId="7F458746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版本</w:t>
            </w:r>
          </w:p>
        </w:tc>
        <w:tc>
          <w:tcPr>
            <w:tcW w:w="4535" w:type="dxa"/>
            <w:shd w:val="clear" w:color="auto" w:fill="D9E2F3"/>
          </w:tcPr>
          <w:p w14:paraId="71E7C5F8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用途</w:t>
            </w:r>
          </w:p>
        </w:tc>
      </w:tr>
      <w:tr w14:paraId="60CB2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25ABABE9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Python</w:t>
            </w:r>
          </w:p>
        </w:tc>
        <w:tc>
          <w:tcPr>
            <w:tcW w:w="2268" w:type="dxa"/>
          </w:tcPr>
          <w:p w14:paraId="240A33F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3.11.17</w:t>
            </w:r>
          </w:p>
        </w:tc>
        <w:tc>
          <w:tcPr>
            <w:tcW w:w="4535" w:type="dxa"/>
          </w:tcPr>
          <w:p w14:paraId="0CF32797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conda 虚拟环境</w:t>
            </w:r>
          </w:p>
        </w:tc>
      </w:tr>
      <w:tr w14:paraId="78F4F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0339D90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PyTorch</w:t>
            </w:r>
          </w:p>
        </w:tc>
        <w:tc>
          <w:tcPr>
            <w:tcW w:w="2268" w:type="dxa"/>
          </w:tcPr>
          <w:p w14:paraId="4AB9037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2.7.1+cu128</w:t>
            </w:r>
          </w:p>
        </w:tc>
        <w:tc>
          <w:tcPr>
            <w:tcW w:w="4535" w:type="dxa"/>
          </w:tcPr>
          <w:p w14:paraId="43E9F7A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GPU 训练与推理</w:t>
            </w:r>
          </w:p>
        </w:tc>
      </w:tr>
      <w:tr w14:paraId="79DD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78F1EB0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torchvision / torchaudio</w:t>
            </w:r>
          </w:p>
        </w:tc>
        <w:tc>
          <w:tcPr>
            <w:tcW w:w="2268" w:type="dxa"/>
          </w:tcPr>
          <w:p w14:paraId="6C2AB18F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0.22.1 / 2.7.1</w:t>
            </w:r>
          </w:p>
        </w:tc>
        <w:tc>
          <w:tcPr>
            <w:tcW w:w="4535" w:type="dxa"/>
          </w:tcPr>
          <w:p w14:paraId="24DF1086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LLaMA-Factory 依赖</w:t>
            </w:r>
          </w:p>
        </w:tc>
      </w:tr>
      <w:tr w14:paraId="1CB95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178C055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bitsandbytes</w:t>
            </w:r>
          </w:p>
        </w:tc>
        <w:tc>
          <w:tcPr>
            <w:tcW w:w="2268" w:type="dxa"/>
          </w:tcPr>
          <w:p w14:paraId="2C2A463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0.50.2</w:t>
            </w:r>
          </w:p>
        </w:tc>
        <w:tc>
          <w:tcPr>
            <w:tcW w:w="4535" w:type="dxa"/>
          </w:tcPr>
          <w:p w14:paraId="5E1BD12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4-bit NF4 量化与分页优化器</w:t>
            </w:r>
          </w:p>
        </w:tc>
      </w:tr>
      <w:tr w14:paraId="1CD4B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444E629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LLaMA-Factory</w:t>
            </w:r>
          </w:p>
        </w:tc>
        <w:tc>
          <w:tcPr>
            <w:tcW w:w="2268" w:type="dxa"/>
          </w:tcPr>
          <w:p w14:paraId="7048374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0.9.5</w:t>
            </w:r>
          </w:p>
        </w:tc>
        <w:tc>
          <w:tcPr>
            <w:tcW w:w="4535" w:type="dxa"/>
          </w:tcPr>
          <w:p w14:paraId="272E77B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QLoRA 训练</w:t>
            </w:r>
          </w:p>
        </w:tc>
      </w:tr>
      <w:tr w14:paraId="1934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04D1FBC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Transformers</w:t>
            </w:r>
          </w:p>
        </w:tc>
        <w:tc>
          <w:tcPr>
            <w:tcW w:w="2268" w:type="dxa"/>
          </w:tcPr>
          <w:p w14:paraId="0A80E7A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5.6.0</w:t>
            </w:r>
          </w:p>
        </w:tc>
        <w:tc>
          <w:tcPr>
            <w:tcW w:w="4535" w:type="dxa"/>
          </w:tcPr>
          <w:p w14:paraId="32E97DA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模型加载与生成</w:t>
            </w:r>
          </w:p>
        </w:tc>
      </w:tr>
      <w:tr w14:paraId="0795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1D5B4A6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PEFT</w:t>
            </w:r>
          </w:p>
        </w:tc>
        <w:tc>
          <w:tcPr>
            <w:tcW w:w="2268" w:type="dxa"/>
          </w:tcPr>
          <w:p w14:paraId="2E8B9B6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0.18.1</w:t>
            </w:r>
          </w:p>
        </w:tc>
        <w:tc>
          <w:tcPr>
            <w:tcW w:w="4535" w:type="dxa"/>
          </w:tcPr>
          <w:p w14:paraId="707B6E4E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LoRA adapter 加载</w:t>
            </w:r>
          </w:p>
        </w:tc>
      </w:tr>
      <w:tr w14:paraId="28418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3524BB9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ModelScope</w:t>
            </w:r>
          </w:p>
        </w:tc>
        <w:tc>
          <w:tcPr>
            <w:tcW w:w="2268" w:type="dxa"/>
          </w:tcPr>
          <w:p w14:paraId="258EFD9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最新稳定版</w:t>
            </w:r>
          </w:p>
        </w:tc>
        <w:tc>
          <w:tcPr>
            <w:tcW w:w="4535" w:type="dxa"/>
          </w:tcPr>
          <w:p w14:paraId="6285D92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下载 Qwen3-4B 模型</w:t>
            </w:r>
          </w:p>
        </w:tc>
      </w:tr>
    </w:tbl>
    <w:p w14:paraId="239E2B92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版本不必完全一致，如果使用更新版本，先确认单步训练能正常启动，再开始完整训练。</w:t>
      </w:r>
    </w:p>
    <w:p w14:paraId="7DF0C6DE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</w:p>
    <w:p w14:paraId="394A14D3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路径约定</w:t>
      </w:r>
    </w:p>
    <w:p w14:paraId="703DB22F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本指导书用两个占位符表示本机路径。使用时请替换成自己的实际路径；路径中尽量不要有空格和中文，以免 Windows 下的编码与转义问题。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48"/>
        <w:gridCol w:w="6269"/>
      </w:tblGrid>
      <w:tr w14:paraId="3676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E2F3"/>
          </w:tcPr>
          <w:p w14:paraId="48FDE17E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占位符</w:t>
            </w:r>
          </w:p>
        </w:tc>
        <w:tc>
          <w:tcPr>
            <w:tcW w:w="6520" w:type="dxa"/>
            <w:shd w:val="clear" w:color="auto" w:fill="D9E2F3"/>
          </w:tcPr>
          <w:p w14:paraId="75F77D0D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说明</w:t>
            </w:r>
          </w:p>
        </w:tc>
      </w:tr>
      <w:tr w14:paraId="7F48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6110D15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&lt;PROJECT_ROOT&gt;</w:t>
            </w:r>
          </w:p>
        </w:tc>
        <w:tc>
          <w:tcPr>
            <w:tcW w:w="6520" w:type="dxa"/>
          </w:tcPr>
          <w:p w14:paraId="21B84C9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项目根目录，放数据、模型、脚本、训练产物</w:t>
            </w:r>
          </w:p>
        </w:tc>
      </w:tr>
      <w:tr w14:paraId="4285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268" w:type="dxa"/>
          </w:tcPr>
          <w:p w14:paraId="1940A667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&lt;CONDA_ENV&gt;</w:t>
            </w:r>
          </w:p>
        </w:tc>
        <w:tc>
          <w:tcPr>
            <w:tcW w:w="6520" w:type="dxa"/>
          </w:tcPr>
          <w:p w14:paraId="4297E5B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conda 虚拟环境目录</w:t>
            </w:r>
          </w:p>
        </w:tc>
      </w:tr>
    </w:tbl>
    <w:p w14:paraId="45069844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</w:p>
    <w:p w14:paraId="3BE6B56C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  <w:t>GPU 与 CUDA 自检</w:t>
      </w:r>
    </w:p>
    <w:p w14:paraId="59E70382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在 PowerShell 中先确认驱动和显卡可见，再创建环境。RTX 50 系列（5060/5070 等）是 sm120，必须安装 CUDA 12.8 及以上的 PyTorch 版本；cu126 可能缺少 sm120 内核。</w:t>
      </w:r>
    </w:p>
    <w:p w14:paraId="694121D8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nvidia-smi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期望看到 GPU 名称、显存、Driver Version</w:t>
      </w:r>
    </w:p>
    <w:p w14:paraId="20575258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安装 PyTorch 后必须做三项验收：CUDA 可用、CUDA 构建版本、算力。三项都正确才继续。</w:t>
      </w:r>
    </w:p>
    <w:p w14:paraId="59FFC918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-c "import torch; print(torch.__version__); print(torch.version.cuda); print(torch.cuda.is_available()); print(torch.cuda.get_device_capability())"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参考输出：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2.7.1+cu128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12.8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True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(12, 0)   # RTX 5060 为 sm120</w:t>
      </w:r>
    </w:p>
    <w:p w14:paraId="1ADAE17C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1AA10FE6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  <w:t>Anaconda / Miniconda</w:t>
      </w:r>
    </w:p>
    <w:p w14:paraId="25B77A89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如果本机已经安装 Anaconda，可跳过本节。否则从 Anaconda 官网或国内镜像安装 Miniconda/Anaconda，安装后打开 Anaconda Prompt 或 PowerShell，确认 conda 可用。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61"/>
        <w:gridCol w:w="4767"/>
        <w:gridCol w:w="2189"/>
      </w:tblGrid>
      <w:tr w14:paraId="34285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2F3"/>
          </w:tcPr>
          <w:p w14:paraId="36D07BEE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内容</w:t>
            </w:r>
          </w:p>
        </w:tc>
        <w:tc>
          <w:tcPr>
            <w:tcW w:w="4819" w:type="dxa"/>
            <w:shd w:val="clear" w:color="auto" w:fill="D9E2F3"/>
          </w:tcPr>
          <w:p w14:paraId="68346789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地址/方式</w:t>
            </w:r>
          </w:p>
        </w:tc>
        <w:tc>
          <w:tcPr>
            <w:tcW w:w="2551" w:type="dxa"/>
            <w:shd w:val="clear" w:color="auto" w:fill="D9E2F3"/>
          </w:tcPr>
          <w:p w14:paraId="0AD1E8EF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验证</w:t>
            </w:r>
          </w:p>
        </w:tc>
      </w:tr>
      <w:tr w14:paraId="7CE5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576078E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Anaconda</w:t>
            </w:r>
          </w:p>
        </w:tc>
        <w:tc>
          <w:tcPr>
            <w:tcW w:w="4819" w:type="dxa"/>
          </w:tcPr>
          <w:p w14:paraId="6FA7635B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https://www.anaconda.com/download</w:t>
            </w:r>
          </w:p>
        </w:tc>
        <w:tc>
          <w:tcPr>
            <w:tcW w:w="2551" w:type="dxa"/>
          </w:tcPr>
          <w:p w14:paraId="76DEF19F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conda --version</w:t>
            </w:r>
          </w:p>
        </w:tc>
      </w:tr>
      <w:tr w14:paraId="4B29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65AD6D0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Miniconda</w:t>
            </w:r>
          </w:p>
        </w:tc>
        <w:tc>
          <w:tcPr>
            <w:tcW w:w="4819" w:type="dxa"/>
          </w:tcPr>
          <w:p w14:paraId="664E1AE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https://docs.conda.io/en/latest/miniconda.html</w:t>
            </w:r>
          </w:p>
        </w:tc>
        <w:tc>
          <w:tcPr>
            <w:tcW w:w="2551" w:type="dxa"/>
          </w:tcPr>
          <w:p w14:paraId="1A54AAC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conda --version</w:t>
            </w:r>
          </w:p>
        </w:tc>
      </w:tr>
      <w:tr w14:paraId="6B968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7E51CD1B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国内镜像</w:t>
            </w:r>
          </w:p>
        </w:tc>
        <w:tc>
          <w:tcPr>
            <w:tcW w:w="4819" w:type="dxa"/>
          </w:tcPr>
          <w:p w14:paraId="671FAB8F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https://mirrors.tuna.tsinghua.edu.cn/anaconda/miniconda/</w:t>
            </w:r>
          </w:p>
        </w:tc>
        <w:tc>
          <w:tcPr>
            <w:tcW w:w="2551" w:type="dxa"/>
          </w:tcPr>
          <w:p w14:paraId="57181679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安装后 conda init</w:t>
            </w:r>
          </w:p>
        </w:tc>
      </w:tr>
    </w:tbl>
    <w:p w14:paraId="4B35B388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建议使用 conda 的 --prefix 参数把环境建在空间充足的位置，而不是依赖默认 envs_dirs。下面的命令以 &lt;CONDA_ENV&gt; 为例：</w:t>
      </w:r>
    </w:p>
    <w:p w14:paraId="22872439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conda create --prefix &lt;CONDA_ENV&gt; python=3.11 -y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conda activate &lt;CONDA_ENV&gt;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where python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必须指向 &lt;CONDA_ENV&gt;\python.exe</w:t>
      </w:r>
    </w:p>
    <w:p w14:paraId="343B7B5E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如果 conda activate 报错，先在 PowerShell 执行 conda init powershell 并重开终端，或直接使用 Anaconda Prompt。不要把环境建到 C 盘用户目录，后面模型和数据会占用较多空间。</w:t>
      </w:r>
    </w:p>
    <w:p w14:paraId="27554FB0">
      <w:pPr>
        <w:pStyle w:val="12"/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ind w:left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</w:p>
    <w:p w14:paraId="409DF9F1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PyTorch（GPU 版）</w:t>
      </w:r>
    </w:p>
    <w:p w14:paraId="62CD3DA6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在已激活的 &lt;CONDA_ENV&gt; 中，根据显卡安装对应的 GPU 版 PyTorch。RTX 50 系列使用 cu128；其它显卡选择与驱动匹配的 CUDA 版本。参考实现使用 PyTorch 2.7.1 + cu128。</w:t>
      </w:r>
    </w:p>
    <w:p w14:paraId="14E5D079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-m pip install --upgrade pip setuptools wheel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-m pip install torch torchvision torchaudio --index-url https://download.pytorch.org/whl/cu128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-c "import torch; print(torch.__version__, torch.version.cuda, torch.cuda.is_available(), torch.cuda.get_device_capability())"</w:t>
      </w:r>
    </w:p>
    <w:p w14:paraId="7B9CE2E1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安装包约 3GB，官方源较慢时可以换用镜像或稍后重试。</w:t>
      </w:r>
    </w:p>
    <w:p w14:paraId="33719CA2">
      <w:pPr>
        <w:pStyle w:val="12"/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ind w:left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</w:p>
    <w:p w14:paraId="108A6E9D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Python 依赖</w:t>
      </w:r>
    </w:p>
    <w:p w14:paraId="0F46F8AE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依次安装 bitsandbytes、LLaMA-Factory、ModelScope 和评测依赖。LLaMA-Factory 直接从 PyPI 安装即可，不必克隆 GitHub；如果后续需要查看源码或自定义，再参考官方仓库。</w:t>
      </w:r>
    </w:p>
    <w:p w14:paraId="29226F01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-m pip install bitsandbytes==0.50.2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-m pip install "llamafactory==0.9.5"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-m pip install modelscope rouge-chinese jieba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-c "import bitsandbytes as bnb; print('bnb', bnb.__version__)"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llamafactory-cli version</w:t>
      </w:r>
    </w:p>
    <w:p w14:paraId="2467CA6E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如果 bitsandbytes 导入时报 DLL 缺失或找不到 GPU，说明它与 CUDA 版本不匹配，需要换用支持 CUDA 12.8/12.9 的版本。</w:t>
      </w:r>
    </w:p>
    <w:p w14:paraId="2B34818F">
      <w:pPr>
        <w:pStyle w:val="12"/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ind w:left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</w:p>
    <w:p w14:paraId="7E1E01B9">
      <w:pPr>
        <w:pStyle w:val="12"/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ind w:left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</w:p>
    <w:p w14:paraId="75377980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基座模型 Qwen3-4B-Instruct-2507</w:t>
      </w:r>
    </w:p>
    <w:p w14:paraId="4D5179C2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使用 ModelScope 下载模型，--local_dir 指向自己的模型目录；下面的命令以 &lt;PROJECT_ROOT&gt;\models 为例。模型约 7.5GB，包含 3 个 safetensors 分片；下载中断后重新执行同一条命令会续传。</w:t>
      </w:r>
    </w:p>
    <w:p w14:paraId="3643A5A4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modelscope download --model Qwen/Qwen3-4B-Instruct-2507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--local_dir &lt;PROJECT_ROOT&gt;\models\Qwen3-4B-Instruct-2507</w:t>
      </w:r>
    </w:p>
    <w:p w14:paraId="6DB84E86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下载后检查目录中至少有 config.json、tokenizer.json、tokenizer_config.json、model.safetensors.index.json 和 3 个 .safetensors 文件；分片总大小应在 7.4GiB 左右。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247"/>
        <w:gridCol w:w="4270"/>
      </w:tblGrid>
      <w:tr w14:paraId="49FE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E2F3"/>
          </w:tcPr>
          <w:p w14:paraId="6C475236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文件/检查项</w:t>
            </w:r>
          </w:p>
        </w:tc>
        <w:tc>
          <w:tcPr>
            <w:tcW w:w="4535" w:type="dxa"/>
            <w:shd w:val="clear" w:color="auto" w:fill="D9E2F3"/>
          </w:tcPr>
          <w:p w14:paraId="381B252C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期望</w:t>
            </w:r>
          </w:p>
        </w:tc>
      </w:tr>
      <w:tr w14:paraId="7B46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4535" w:type="dxa"/>
          </w:tcPr>
          <w:p w14:paraId="0E9F1D4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config.json</w:t>
            </w:r>
          </w:p>
        </w:tc>
        <w:tc>
          <w:tcPr>
            <w:tcW w:w="4535" w:type="dxa"/>
          </w:tcPr>
          <w:p w14:paraId="493601D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architectures 包含 Qwen3ForCausalLM</w:t>
            </w:r>
          </w:p>
        </w:tc>
      </w:tr>
      <w:tr w14:paraId="6000B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4535" w:type="dxa"/>
          </w:tcPr>
          <w:p w14:paraId="3E8624D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model-00001-of-00003.safetensors</w:t>
            </w:r>
          </w:p>
        </w:tc>
        <w:tc>
          <w:tcPr>
            <w:tcW w:w="4535" w:type="dxa"/>
          </w:tcPr>
          <w:p w14:paraId="7AB9671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约 3.69GiB</w:t>
            </w:r>
          </w:p>
        </w:tc>
      </w:tr>
      <w:tr w14:paraId="2CD7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4535" w:type="dxa"/>
          </w:tcPr>
          <w:p w14:paraId="07C8512D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model-00002-of-00003.safetensors</w:t>
            </w:r>
          </w:p>
        </w:tc>
        <w:tc>
          <w:tcPr>
            <w:tcW w:w="4535" w:type="dxa"/>
          </w:tcPr>
          <w:p w14:paraId="1FC7BD5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约 3.71GiB</w:t>
            </w:r>
          </w:p>
        </w:tc>
      </w:tr>
      <w:tr w14:paraId="42B5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4535" w:type="dxa"/>
          </w:tcPr>
          <w:p w14:paraId="1F80993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model-00003-of-00003.safetensors</w:t>
            </w:r>
          </w:p>
        </w:tc>
        <w:tc>
          <w:tcPr>
            <w:tcW w:w="4535" w:type="dxa"/>
          </w:tcPr>
          <w:p w14:paraId="3459791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约 0.09GiB</w:t>
            </w:r>
          </w:p>
        </w:tc>
      </w:tr>
      <w:tr w14:paraId="5F88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4535" w:type="dxa"/>
          </w:tcPr>
          <w:p w14:paraId="5782CD29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tokenizer.json</w:t>
            </w:r>
          </w:p>
        </w:tc>
        <w:tc>
          <w:tcPr>
            <w:tcW w:w="4535" w:type="dxa"/>
          </w:tcPr>
          <w:p w14:paraId="341D832E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约 11MB</w:t>
            </w:r>
          </w:p>
        </w:tc>
      </w:tr>
    </w:tbl>
    <w:p w14:paraId="2D1F1271">
      <w:pPr>
        <w:pStyle w:val="12"/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ind w:leftChars="0"/>
        <w:outlineLvl w:val="1"/>
        <w:rPr>
          <w:rFonts w:hint="default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</w:p>
    <w:p w14:paraId="36765EF3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数据集</w:t>
      </w:r>
    </w:p>
    <w:p w14:paraId="13AFDA75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三个数据集都从百度飞桨 AI Studio 的公开数据集页面下载，下载前需要登录百度账号。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67"/>
        <w:gridCol w:w="1706"/>
        <w:gridCol w:w="4244"/>
      </w:tblGrid>
      <w:tr w14:paraId="22F4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E2F3"/>
          </w:tcPr>
          <w:p w14:paraId="58E55AF9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数据集</w:t>
            </w:r>
          </w:p>
        </w:tc>
        <w:tc>
          <w:tcPr>
            <w:tcW w:w="2268" w:type="dxa"/>
            <w:shd w:val="clear" w:color="auto" w:fill="D9E2F3"/>
          </w:tcPr>
          <w:p w14:paraId="702C1831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用途</w:t>
            </w:r>
          </w:p>
        </w:tc>
        <w:tc>
          <w:tcPr>
            <w:tcW w:w="3969" w:type="dxa"/>
            <w:shd w:val="clear" w:color="auto" w:fill="D9E2F3"/>
          </w:tcPr>
          <w:p w14:paraId="74F30458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下载地址</w:t>
            </w:r>
          </w:p>
        </w:tc>
      </w:tr>
      <w:tr w14:paraId="31B40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47B2427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DISC-Med-SFT</w:t>
            </w:r>
          </w:p>
        </w:tc>
        <w:tc>
          <w:tcPr>
            <w:tcW w:w="2268" w:type="dxa"/>
          </w:tcPr>
          <w:p w14:paraId="0443BA1E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训练与验证</w:t>
            </w:r>
          </w:p>
        </w:tc>
        <w:tc>
          <w:tcPr>
            <w:tcW w:w="3969" w:type="dxa"/>
          </w:tcPr>
          <w:p w14:paraId="7462729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begin"/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instrText xml:space="preserve"> HYPERLINK "https://aistudio.baidu.com/dataset/detail/323449/intro" </w:instrText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b w:val="0"/>
                <w:snapToGrid/>
                <w:color w:val="0000FF"/>
                <w:sz w:val="19"/>
                <w:szCs w:val="22"/>
                <w:u w:val="single"/>
              </w:rPr>
              <w:t>https://aistudio.baidu.com/dataset/detail/323449/intro</w:t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end"/>
            </w:r>
          </w:p>
        </w:tc>
      </w:tr>
      <w:tr w14:paraId="5545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38ABF0D9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Chinese-medical-dialogue</w:t>
            </w:r>
          </w:p>
        </w:tc>
        <w:tc>
          <w:tcPr>
            <w:tcW w:w="2268" w:type="dxa"/>
          </w:tcPr>
          <w:p w14:paraId="5570C0D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医疗对话测试集</w:t>
            </w:r>
          </w:p>
        </w:tc>
        <w:tc>
          <w:tcPr>
            <w:tcW w:w="3969" w:type="dxa"/>
          </w:tcPr>
          <w:p w14:paraId="237036E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begin"/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instrText xml:space="preserve"> HYPERLINK "https://aistudio.baidu.com/dataset/detail/323370/intro" </w:instrText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b w:val="0"/>
                <w:snapToGrid/>
                <w:color w:val="0000FF"/>
                <w:sz w:val="19"/>
                <w:szCs w:val="22"/>
                <w:u w:val="single"/>
              </w:rPr>
              <w:t>https://aistudio.baidu.com/dataset/detail/323370/intro</w:t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end"/>
            </w:r>
          </w:p>
        </w:tc>
      </w:tr>
      <w:tr w14:paraId="18C6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74DA467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CMMLU（computer_science）</w:t>
            </w:r>
          </w:p>
        </w:tc>
        <w:tc>
          <w:tcPr>
            <w:tcW w:w="2268" w:type="dxa"/>
          </w:tcPr>
          <w:p w14:paraId="416853A4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通用知识测试集</w:t>
            </w:r>
          </w:p>
        </w:tc>
        <w:tc>
          <w:tcPr>
            <w:tcW w:w="3969" w:type="dxa"/>
          </w:tcPr>
          <w:p w14:paraId="20ADBA7F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begin"/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instrText xml:space="preserve"> HYPERLINK "https://aistudio.baidu.com/dataset/detail/340353/intro" </w:instrText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separate"/>
            </w:r>
            <w:r>
              <w:rPr>
                <w:rFonts w:ascii="Times New Roman" w:hAnsi="Times New Roman" w:eastAsia="宋体" w:cs="Times New Roman"/>
                <w:b w:val="0"/>
                <w:snapToGrid/>
                <w:color w:val="800080"/>
                <w:sz w:val="19"/>
                <w:szCs w:val="22"/>
                <w:u w:val="single"/>
              </w:rPr>
              <w:t>https://aistudio.baidu.com/dataset/detail/340353/intro</w:t>
            </w: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fldChar w:fldCharType="end"/>
            </w:r>
          </w:p>
        </w:tc>
      </w:tr>
    </w:tbl>
    <w:p w14:paraId="20403B00">
      <w:pPr>
        <w:pStyle w:val="12"/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ind w:leftChars="0"/>
        <w:outlineLvl w:val="1"/>
        <w:rPr>
          <w:rFonts w:hint="default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</w:p>
    <w:p w14:paraId="0DB0288C">
      <w:pPr>
        <w:pStyle w:val="12"/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ind w:leftChars="0"/>
        <w:outlineLvl w:val="1"/>
        <w:rPr>
          <w:rFonts w:hint="default" w:asciiTheme="minorEastAsia" w:hAnsiTheme="minorEastAsia" w:eastAsiaTheme="minorEastAsia" w:cstheme="minorEastAsia"/>
          <w:b/>
          <w:spacing w:val="-6"/>
          <w:sz w:val="24"/>
          <w:szCs w:val="24"/>
          <w:lang w:val="en-US" w:eastAsia="zh-CN"/>
        </w:rPr>
      </w:pPr>
    </w:p>
    <w:p w14:paraId="57492AF7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准备训练集和验证集</w:t>
      </w:r>
    </w:p>
    <w:p w14:paraId="5DDCF9F3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 xml:space="preserve">参考脚本 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prepare_sharegpt.py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 xml:space="preserve"> 。读取 DISC-Med-SFT 原始 JSONL，完成过滤、对话级 9:1 切分、单轮化、抽样，输出数据集文件和 dataset_info.json。输入文件与输出目录换成自己的实际路径。</w:t>
      </w:r>
    </w:p>
    <w:p w14:paraId="756DCA96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cd &lt;PROJECT_ROOT&gt;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scripts\prepare_sharegpt.py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--src data\raw\DISC-Med-SFT_released.jsonl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--out-dir data\processed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--train-n 20000 --val-n 1000 --subset-n 2000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45"/>
        <w:gridCol w:w="1585"/>
        <w:gridCol w:w="3687"/>
      </w:tblGrid>
      <w:tr w14:paraId="6BE3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D9E2F3"/>
          </w:tcPr>
          <w:p w14:paraId="60685431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输出文件</w:t>
            </w:r>
          </w:p>
        </w:tc>
        <w:tc>
          <w:tcPr>
            <w:tcW w:w="1701" w:type="dxa"/>
            <w:shd w:val="clear" w:color="auto" w:fill="D9E2F3"/>
          </w:tcPr>
          <w:p w14:paraId="4D792E41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条数</w:t>
            </w:r>
          </w:p>
        </w:tc>
        <w:tc>
          <w:tcPr>
            <w:tcW w:w="3969" w:type="dxa"/>
            <w:shd w:val="clear" w:color="auto" w:fill="D9E2F3"/>
          </w:tcPr>
          <w:p w14:paraId="7C132AA4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用途</w:t>
            </w:r>
          </w:p>
        </w:tc>
      </w:tr>
      <w:tr w14:paraId="241D8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52F1B0A7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train_2k_sharegpt.json</w:t>
            </w:r>
          </w:p>
        </w:tc>
        <w:tc>
          <w:tcPr>
            <w:tcW w:w="1701" w:type="dxa"/>
          </w:tcPr>
          <w:p w14:paraId="5E6431B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2,000</w:t>
            </w:r>
          </w:p>
        </w:tc>
        <w:tc>
          <w:tcPr>
            <w:tcW w:w="3969" w:type="dxa"/>
          </w:tcPr>
          <w:p w14:paraId="57040EF4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100 步主实验，100×16=1,600 条</w:t>
            </w:r>
          </w:p>
        </w:tc>
      </w:tr>
      <w:tr w14:paraId="63B6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6A49DB27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val_1k_sharegpt.json</w:t>
            </w:r>
          </w:p>
        </w:tc>
        <w:tc>
          <w:tcPr>
            <w:tcW w:w="1701" w:type="dxa"/>
          </w:tcPr>
          <w:p w14:paraId="309E8D2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1,000</w:t>
            </w:r>
          </w:p>
        </w:tc>
        <w:tc>
          <w:tcPr>
            <w:tcW w:w="3969" w:type="dxa"/>
          </w:tcPr>
          <w:p w14:paraId="79E6E51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验证/监控用</w:t>
            </w:r>
          </w:p>
        </w:tc>
      </w:tr>
      <w:tr w14:paraId="55AEF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3402" w:type="dxa"/>
          </w:tcPr>
          <w:p w14:paraId="7E4E4AE7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dataset_info.json</w:t>
            </w:r>
          </w:p>
        </w:tc>
        <w:tc>
          <w:tcPr>
            <w:tcW w:w="1701" w:type="dxa"/>
          </w:tcPr>
          <w:p w14:paraId="5582D2A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2 个条目</w:t>
            </w:r>
          </w:p>
        </w:tc>
        <w:tc>
          <w:tcPr>
            <w:tcW w:w="3969" w:type="dxa"/>
          </w:tcPr>
          <w:p w14:paraId="07268C0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LLaMA-Factory 数据集注册</w:t>
            </w:r>
          </w:p>
        </w:tc>
      </w:tr>
    </w:tbl>
    <w:p w14:paraId="6E95C35A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准备两个测试集</w:t>
      </w:r>
    </w:p>
    <w:p w14:paraId="1AD5B3FC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Chinese-medical-dialogue 与 CMMLU 下载后是原始评测格式，需要转换为评测文件，参考脚本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prepare_medical.py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prepare_cmmlu.py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。--src 与 --out-dir 换成自己的实际路径：</w:t>
      </w:r>
    </w:p>
    <w:p w14:paraId="1FD257B8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cd &lt;PROJECT_ROOT&gt;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scripts\prepare_medical.py --src data\raw\train_0001_of_0001.json --out-dir data\eval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scripts\prepare_cmmlu.py --src data\raw\computer_science.csv --out-dir data\eval</w:t>
      </w:r>
    </w:p>
    <w:p w14:paraId="7C7E27C5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prepare_medical.py 取前 100 条，输出 medical_100.jsonl；prepare_cmmlu.py 转换 computer_science 的全部 204 题，输出 cmmlu_computer_science.jsonl。</w:t>
      </w:r>
    </w:p>
    <w:p w14:paraId="55016A81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1BDAE917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输出格式与 dataset_info.json</w:t>
      </w:r>
    </w:p>
    <w:p w14:paraId="7E39272A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两个数据文件都是 JSON 数组，每个元素是一条 ShareGPT 样本；human 对应用户提问，gpt 对应医生回复。LLaMA-Factory 通过 dataset_info.json 中的 formatting、columns 和 tags 读取这些字段。</w:t>
      </w:r>
    </w:p>
    <w:p w14:paraId="109EC45D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{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"conversations": [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  {"from": "human", "value": "有血压高史 可控制 有时候头疼"},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  {"from": "gpt", "value": "您好，很高兴为您提供帮助。请问除了头疼之外……"}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]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}</w:t>
      </w:r>
    </w:p>
    <w:p w14:paraId="5B30C8CC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46878E48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启动 100 步训练</w:t>
      </w:r>
    </w:p>
    <w:p w14:paraId="00E7506F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本实验参考配置为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qwen3_4b_qlora_align100.yaml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：使用 train_2k 数据集中的 2,000 条样本，等效批 16，共训练 1,600 条样本；LoRA rank 8，学习率 1e-4，cosine 调度，warmup 20，seed 23。参考机器上 100 步约 12 分钟，整卡峰值约 7.5GB。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26"/>
        <w:gridCol w:w="3175"/>
        <w:gridCol w:w="2616"/>
      </w:tblGrid>
      <w:tr w14:paraId="5CB6B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E2F3"/>
          </w:tcPr>
          <w:p w14:paraId="3CF32E70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参数</w:t>
            </w:r>
          </w:p>
        </w:tc>
        <w:tc>
          <w:tcPr>
            <w:tcW w:w="3402" w:type="dxa"/>
            <w:shd w:val="clear" w:color="auto" w:fill="D9E2F3"/>
          </w:tcPr>
          <w:p w14:paraId="388799FC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取值</w:t>
            </w:r>
          </w:p>
        </w:tc>
        <w:tc>
          <w:tcPr>
            <w:tcW w:w="2835" w:type="dxa"/>
            <w:shd w:val="clear" w:color="auto" w:fill="D9E2F3"/>
          </w:tcPr>
          <w:p w14:paraId="5DF7F4C0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说明</w:t>
            </w:r>
          </w:p>
        </w:tc>
      </w:tr>
      <w:tr w14:paraId="2985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59290836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dataset</w:t>
            </w:r>
          </w:p>
        </w:tc>
        <w:tc>
          <w:tcPr>
            <w:tcW w:w="3402" w:type="dxa"/>
          </w:tcPr>
          <w:p w14:paraId="0A43CEE4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med_train_2k</w:t>
            </w:r>
          </w:p>
        </w:tc>
        <w:tc>
          <w:tcPr>
            <w:tcW w:w="2835" w:type="dxa"/>
          </w:tcPr>
          <w:p w14:paraId="4977601B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2,000 条训练子集</w:t>
            </w:r>
          </w:p>
        </w:tc>
      </w:tr>
      <w:tr w14:paraId="7AE5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4CFF55E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max_samples</w:t>
            </w:r>
          </w:p>
        </w:tc>
        <w:tc>
          <w:tcPr>
            <w:tcW w:w="3402" w:type="dxa"/>
          </w:tcPr>
          <w:p w14:paraId="4DDA5F6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2000</w:t>
            </w:r>
          </w:p>
        </w:tc>
        <w:tc>
          <w:tcPr>
            <w:tcW w:w="2835" w:type="dxa"/>
          </w:tcPr>
          <w:p w14:paraId="330A28AD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使用全部 2,000 条</w:t>
            </w:r>
          </w:p>
        </w:tc>
      </w:tr>
      <w:tr w14:paraId="6E05B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64F9A819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max_steps</w:t>
            </w:r>
          </w:p>
        </w:tc>
        <w:tc>
          <w:tcPr>
            <w:tcW w:w="3402" w:type="dxa"/>
          </w:tcPr>
          <w:p w14:paraId="2D70476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100</w:t>
            </w:r>
          </w:p>
        </w:tc>
        <w:tc>
          <w:tcPr>
            <w:tcW w:w="2835" w:type="dxa"/>
          </w:tcPr>
          <w:p w14:paraId="7133964B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100 步 × 等效批 16 = 1,600 条样本</w:t>
            </w:r>
          </w:p>
        </w:tc>
      </w:tr>
      <w:tr w14:paraId="27A6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274CC136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save_steps</w:t>
            </w:r>
          </w:p>
        </w:tc>
        <w:tc>
          <w:tcPr>
            <w:tcW w:w="3402" w:type="dxa"/>
          </w:tcPr>
          <w:p w14:paraId="64D2EA7E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50</w:t>
            </w:r>
          </w:p>
        </w:tc>
        <w:tc>
          <w:tcPr>
            <w:tcW w:w="2835" w:type="dxa"/>
          </w:tcPr>
          <w:p w14:paraId="31ABC92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第 50、100 步保存 adapter</w:t>
            </w:r>
          </w:p>
        </w:tc>
      </w:tr>
      <w:tr w14:paraId="6F22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0A2EDFC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warmup_steps</w:t>
            </w:r>
          </w:p>
        </w:tc>
        <w:tc>
          <w:tcPr>
            <w:tcW w:w="3402" w:type="dxa"/>
          </w:tcPr>
          <w:p w14:paraId="217A987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20</w:t>
            </w:r>
          </w:p>
        </w:tc>
        <w:tc>
          <w:tcPr>
            <w:tcW w:w="2835" w:type="dxa"/>
          </w:tcPr>
          <w:p w14:paraId="58C7FD6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学习率预热</w:t>
            </w:r>
          </w:p>
        </w:tc>
      </w:tr>
      <w:tr w14:paraId="26D4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63839F6F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output_dir</w:t>
            </w:r>
          </w:p>
        </w:tc>
        <w:tc>
          <w:tcPr>
            <w:tcW w:w="3402" w:type="dxa"/>
          </w:tcPr>
          <w:p w14:paraId="51DC086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自定义</w:t>
            </w:r>
          </w:p>
        </w:tc>
        <w:tc>
          <w:tcPr>
            <w:tcW w:w="2835" w:type="dxa"/>
          </w:tcPr>
          <w:p w14:paraId="7302F0B6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训练输出目录，由自己指定</w:t>
            </w:r>
          </w:p>
        </w:tc>
      </w:tr>
      <w:tr w14:paraId="74AE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1ECF914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overwrite_output_dir</w:t>
            </w:r>
          </w:p>
        </w:tc>
        <w:tc>
          <w:tcPr>
            <w:tcW w:w="3402" w:type="dxa"/>
          </w:tcPr>
          <w:p w14:paraId="6B3E469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false</w:t>
            </w:r>
          </w:p>
        </w:tc>
        <w:tc>
          <w:tcPr>
            <w:tcW w:w="2835" w:type="dxa"/>
          </w:tcPr>
          <w:p w14:paraId="68B10E9F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保留每次 run</w:t>
            </w:r>
          </w:p>
        </w:tc>
      </w:tr>
    </w:tbl>
    <w:p w14:paraId="0DD37790">
      <w:pPr>
        <w:kinsoku/>
        <w:autoSpaceDE/>
        <w:autoSpaceDN/>
        <w:adjustRightInd/>
        <w:snapToGrid/>
        <w:spacing w:after="0" w:line="360" w:lineRule="auto"/>
        <w:textAlignment w:val="auto"/>
        <w:rPr>
          <w:rFonts w:ascii="Times New Roman" w:hAnsi="Times New Roman" w:eastAsia="宋体" w:cs="Times New Roman"/>
          <w:snapToGrid/>
          <w:sz w:val="22"/>
          <w:szCs w:val="22"/>
        </w:rPr>
      </w:pPr>
    </w:p>
    <w:p w14:paraId="3575A597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cd &lt;PROJECT_ROOT&gt;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llamafactory-cli train configs\qwen3_4b_qlora_align100.yaml 2&gt;&amp;1 | Tee-Object -FilePath align100.log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echo "exit=$LASTEXITCODE"</w:t>
      </w:r>
    </w:p>
    <w:p w14:paraId="2DB68666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6F9BA2A7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45A8059B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7004CBD4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训练参数解释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772"/>
        <w:gridCol w:w="2182"/>
        <w:gridCol w:w="3563"/>
      </w:tblGrid>
      <w:tr w14:paraId="4F9F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E2F3"/>
          </w:tcPr>
          <w:p w14:paraId="7D322B79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参数</w:t>
            </w:r>
          </w:p>
        </w:tc>
        <w:tc>
          <w:tcPr>
            <w:tcW w:w="2268" w:type="dxa"/>
            <w:shd w:val="clear" w:color="auto" w:fill="D9E2F3"/>
          </w:tcPr>
          <w:p w14:paraId="23A8A3D6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取值</w:t>
            </w:r>
          </w:p>
        </w:tc>
        <w:tc>
          <w:tcPr>
            <w:tcW w:w="3969" w:type="dxa"/>
            <w:shd w:val="clear" w:color="auto" w:fill="D9E2F3"/>
          </w:tcPr>
          <w:p w14:paraId="15E0DBE0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作用/说明</w:t>
            </w:r>
          </w:p>
        </w:tc>
      </w:tr>
      <w:tr w14:paraId="0664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38F458E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quantization_bit / method</w:t>
            </w:r>
          </w:p>
        </w:tc>
        <w:tc>
          <w:tcPr>
            <w:tcW w:w="2268" w:type="dxa"/>
          </w:tcPr>
          <w:p w14:paraId="118D0934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4 / bnb</w:t>
            </w:r>
          </w:p>
        </w:tc>
        <w:tc>
          <w:tcPr>
            <w:tcW w:w="3969" w:type="dxa"/>
          </w:tcPr>
          <w:p w14:paraId="12B0FD6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基座用 bitsandbytes NF4 量化</w:t>
            </w:r>
          </w:p>
        </w:tc>
      </w:tr>
      <w:tr w14:paraId="1DA4A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04C5BBB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quantization_type</w:t>
            </w:r>
          </w:p>
        </w:tc>
        <w:tc>
          <w:tcPr>
            <w:tcW w:w="2268" w:type="dxa"/>
          </w:tcPr>
          <w:p w14:paraId="321B458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nf4</w:t>
            </w:r>
          </w:p>
        </w:tc>
        <w:tc>
          <w:tcPr>
            <w:tcW w:w="3969" w:type="dxa"/>
          </w:tcPr>
          <w:p w14:paraId="1B1EA7D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正态分布权重的最优 4-bit 类型</w:t>
            </w:r>
          </w:p>
        </w:tc>
      </w:tr>
      <w:tr w14:paraId="78E2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323AF31D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double_quantization</w:t>
            </w:r>
          </w:p>
        </w:tc>
        <w:tc>
          <w:tcPr>
            <w:tcW w:w="2268" w:type="dxa"/>
          </w:tcPr>
          <w:p w14:paraId="26BF503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true</w:t>
            </w:r>
          </w:p>
        </w:tc>
        <w:tc>
          <w:tcPr>
            <w:tcW w:w="3969" w:type="dxa"/>
          </w:tcPr>
          <w:p w14:paraId="262FB9AD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再量化量化常数，进一步省显存</w:t>
            </w:r>
          </w:p>
        </w:tc>
      </w:tr>
      <w:tr w14:paraId="5008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69D12FFE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lora_rank / alpha</w:t>
            </w:r>
          </w:p>
        </w:tc>
        <w:tc>
          <w:tcPr>
            <w:tcW w:w="2268" w:type="dxa"/>
          </w:tcPr>
          <w:p w14:paraId="246548C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8 / 16</w:t>
            </w:r>
          </w:p>
        </w:tc>
        <w:tc>
          <w:tcPr>
            <w:tcW w:w="3969" w:type="dxa"/>
          </w:tcPr>
          <w:p w14:paraId="0C8A86E9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低秩矩阵大小；8GB 上不建议调到 16</w:t>
            </w:r>
          </w:p>
        </w:tc>
      </w:tr>
      <w:tr w14:paraId="38B9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6353FEE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lora_target</w:t>
            </w:r>
          </w:p>
        </w:tc>
        <w:tc>
          <w:tcPr>
            <w:tcW w:w="2268" w:type="dxa"/>
          </w:tcPr>
          <w:p w14:paraId="78FC108D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all</w:t>
            </w:r>
          </w:p>
        </w:tc>
        <w:tc>
          <w:tcPr>
            <w:tcW w:w="3969" w:type="dxa"/>
          </w:tcPr>
          <w:p w14:paraId="5493040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所有线性层注入 LoRA</w:t>
            </w:r>
          </w:p>
        </w:tc>
      </w:tr>
      <w:tr w14:paraId="6024A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0F265781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cutoff_len</w:t>
            </w:r>
          </w:p>
        </w:tc>
        <w:tc>
          <w:tcPr>
            <w:tcW w:w="2268" w:type="dxa"/>
          </w:tcPr>
          <w:p w14:paraId="77EC6897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1024</w:t>
            </w:r>
          </w:p>
        </w:tc>
        <w:tc>
          <w:tcPr>
            <w:tcW w:w="3969" w:type="dxa"/>
          </w:tcPr>
          <w:p w14:paraId="465C6BF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最大序列长度；OOM 时降到 512</w:t>
            </w:r>
          </w:p>
        </w:tc>
      </w:tr>
      <w:tr w14:paraId="1CDA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6F1BF35F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per_device_train_batch_size</w:t>
            </w:r>
          </w:p>
        </w:tc>
        <w:tc>
          <w:tcPr>
            <w:tcW w:w="2268" w:type="dxa"/>
          </w:tcPr>
          <w:p w14:paraId="702E3343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1</w:t>
            </w:r>
          </w:p>
        </w:tc>
        <w:tc>
          <w:tcPr>
            <w:tcW w:w="3969" w:type="dxa"/>
          </w:tcPr>
          <w:p w14:paraId="10D5A5C8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8GB 上保持 1</w:t>
            </w:r>
          </w:p>
        </w:tc>
      </w:tr>
      <w:tr w14:paraId="7F39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7216F10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gradient_accumulation_steps</w:t>
            </w:r>
          </w:p>
        </w:tc>
        <w:tc>
          <w:tcPr>
            <w:tcW w:w="2268" w:type="dxa"/>
          </w:tcPr>
          <w:p w14:paraId="120AC7C6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16</w:t>
            </w:r>
          </w:p>
        </w:tc>
        <w:tc>
          <w:tcPr>
            <w:tcW w:w="3969" w:type="dxa"/>
          </w:tcPr>
          <w:p w14:paraId="5863EA1E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等效批 16，不增加激活显存</w:t>
            </w:r>
          </w:p>
        </w:tc>
      </w:tr>
      <w:tr w14:paraId="6FDC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7E56587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optim</w:t>
            </w:r>
          </w:p>
        </w:tc>
        <w:tc>
          <w:tcPr>
            <w:tcW w:w="2268" w:type="dxa"/>
          </w:tcPr>
          <w:p w14:paraId="1915E8B6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paged_adamw_8bit</w:t>
            </w:r>
          </w:p>
        </w:tc>
        <w:tc>
          <w:tcPr>
            <w:tcW w:w="3969" w:type="dxa"/>
          </w:tcPr>
          <w:p w14:paraId="11AC328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分页 8-bit 优化器，缓解显存尖峰</w:t>
            </w:r>
          </w:p>
        </w:tc>
      </w:tr>
      <w:tr w14:paraId="10836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5B1BBAA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gradient_checkpointing</w:t>
            </w:r>
          </w:p>
        </w:tc>
        <w:tc>
          <w:tcPr>
            <w:tcW w:w="2268" w:type="dxa"/>
          </w:tcPr>
          <w:p w14:paraId="50BF5EBB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true</w:t>
            </w:r>
          </w:p>
        </w:tc>
        <w:tc>
          <w:tcPr>
            <w:tcW w:w="3969" w:type="dxa"/>
          </w:tcPr>
          <w:p w14:paraId="4CD402DB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用重算换激活显存</w:t>
            </w:r>
          </w:p>
        </w:tc>
      </w:tr>
      <w:tr w14:paraId="7698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18F654F4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bf16 / fp16</w:t>
            </w:r>
          </w:p>
        </w:tc>
        <w:tc>
          <w:tcPr>
            <w:tcW w:w="2268" w:type="dxa"/>
          </w:tcPr>
          <w:p w14:paraId="40C0A5A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true / false</w:t>
            </w:r>
          </w:p>
        </w:tc>
        <w:tc>
          <w:tcPr>
            <w:tcW w:w="3969" w:type="dxa"/>
          </w:tcPr>
          <w:p w14:paraId="35A51E5A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RTX 5060 支持 bf16；老卡按硬件调整</w:t>
            </w:r>
          </w:p>
        </w:tc>
      </w:tr>
      <w:tr w14:paraId="3B66F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2835" w:type="dxa"/>
          </w:tcPr>
          <w:p w14:paraId="25030DC4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flash_attn</w:t>
            </w:r>
          </w:p>
        </w:tc>
        <w:tc>
          <w:tcPr>
            <w:tcW w:w="2268" w:type="dxa"/>
          </w:tcPr>
          <w:p w14:paraId="36C100F6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sdpa</w:t>
            </w:r>
          </w:p>
        </w:tc>
        <w:tc>
          <w:tcPr>
            <w:tcW w:w="3969" w:type="dxa"/>
          </w:tcPr>
          <w:p w14:paraId="41CBD380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Windows 不装 flash-attn，用 PyTorch SDPA</w:t>
            </w:r>
          </w:p>
        </w:tc>
      </w:tr>
    </w:tbl>
    <w:p w14:paraId="4406B746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53279837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Base 与 LoRA 的关系</w:t>
      </w:r>
    </w:p>
    <w:p w14:paraId="3557A0A5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训练产出的是 LoRA adapter，不是完整模型。推理时加载同一个 4-bit Qwen3-4B 基座：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Base 组不加载 adapter，LoRA 组加载 adapter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。两组必须使用同一基座、同一 prompt、同一解码参数。不要把 adapter 合并进 4-bit 基座，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本实验不需要合并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511"/>
        <w:gridCol w:w="2326"/>
        <w:gridCol w:w="2835"/>
        <w:gridCol w:w="1845"/>
      </w:tblGrid>
      <w:tr w14:paraId="2E5D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E2F3"/>
          </w:tcPr>
          <w:p w14:paraId="03CD2883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组别</w:t>
            </w:r>
          </w:p>
        </w:tc>
        <w:tc>
          <w:tcPr>
            <w:tcW w:w="2835" w:type="dxa"/>
            <w:shd w:val="clear" w:color="auto" w:fill="D9E2F3"/>
          </w:tcPr>
          <w:p w14:paraId="3032486F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基座</w:t>
            </w:r>
          </w:p>
        </w:tc>
        <w:tc>
          <w:tcPr>
            <w:tcW w:w="3402" w:type="dxa"/>
            <w:shd w:val="clear" w:color="auto" w:fill="D9E2F3"/>
          </w:tcPr>
          <w:p w14:paraId="26B1C190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adapter</w:t>
            </w:r>
          </w:p>
        </w:tc>
        <w:tc>
          <w:tcPr>
            <w:tcW w:w="2268" w:type="dxa"/>
            <w:shd w:val="clear" w:color="auto" w:fill="D9E2F3"/>
          </w:tcPr>
          <w:p w14:paraId="578A28C8">
            <w:pPr>
              <w:kinsoku/>
              <w:autoSpaceDE/>
              <w:autoSpaceDN/>
              <w:adjustRightInd/>
              <w:snapToGrid/>
              <w:spacing w:after="120" w:line="360" w:lineRule="auto"/>
              <w:jc w:val="center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微软雅黑" w:cs="Times New Roman"/>
                <w:b/>
                <w:snapToGrid/>
                <w:color w:val="1F3864"/>
                <w:sz w:val="19"/>
                <w:szCs w:val="22"/>
              </w:rPr>
              <w:t>用途</w:t>
            </w:r>
          </w:p>
        </w:tc>
      </w:tr>
      <w:tr w14:paraId="23884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398B58CD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Base</w:t>
            </w:r>
          </w:p>
        </w:tc>
        <w:tc>
          <w:tcPr>
            <w:tcW w:w="2835" w:type="dxa"/>
          </w:tcPr>
          <w:p w14:paraId="07B59A25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4-bit Qwen3-4B</w:t>
            </w:r>
          </w:p>
        </w:tc>
        <w:tc>
          <w:tcPr>
            <w:tcW w:w="3402" w:type="dxa"/>
          </w:tcPr>
          <w:p w14:paraId="70C35754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不加载</w:t>
            </w:r>
          </w:p>
        </w:tc>
        <w:tc>
          <w:tcPr>
            <w:tcW w:w="2268" w:type="dxa"/>
          </w:tcPr>
          <w:p w14:paraId="5452A55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微调前基线</w:t>
            </w:r>
          </w:p>
        </w:tc>
      </w:tr>
      <w:tr w14:paraId="196C6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701" w:type="dxa"/>
          </w:tcPr>
          <w:p w14:paraId="2E9E904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LoRA100</w:t>
            </w:r>
          </w:p>
        </w:tc>
        <w:tc>
          <w:tcPr>
            <w:tcW w:w="2835" w:type="dxa"/>
          </w:tcPr>
          <w:p w14:paraId="1F167582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4-bit Qwen3-4B</w:t>
            </w:r>
          </w:p>
        </w:tc>
        <w:tc>
          <w:tcPr>
            <w:tcW w:w="3402" w:type="dxa"/>
          </w:tcPr>
          <w:p w14:paraId="78A8872D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ascii="Times New Roman" w:hAnsi="Times New Roman" w:eastAsia="宋体" w:cs="Times New Roman"/>
                <w:snapToGrid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训练输出目录\checkpoint-100</w:t>
            </w:r>
          </w:p>
        </w:tc>
        <w:tc>
          <w:tcPr>
            <w:tcW w:w="2268" w:type="dxa"/>
          </w:tcPr>
          <w:p w14:paraId="60492ACC">
            <w:pPr>
              <w:kinsoku/>
              <w:autoSpaceDE/>
              <w:autoSpaceDN/>
              <w:adjustRightInd/>
              <w:snapToGrid/>
              <w:spacing w:after="0" w:line="360" w:lineRule="auto"/>
              <w:textAlignment w:val="auto"/>
              <w:rPr>
                <w:rFonts w:hint="default" w:ascii="Times New Roman" w:hAnsi="Times New Roman" w:eastAsia="宋体" w:cs="Times New Roman"/>
                <w:snapToGrid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snapToGrid/>
                <w:sz w:val="19"/>
                <w:szCs w:val="22"/>
              </w:rPr>
              <w:t>微调后</w:t>
            </w:r>
            <w:r>
              <w:rPr>
                <w:rFonts w:hint="eastAsia" w:ascii="Times New Roman" w:hAnsi="Times New Roman" w:eastAsia="宋体" w:cs="Times New Roman"/>
                <w:b w:val="0"/>
                <w:snapToGrid/>
                <w:sz w:val="19"/>
                <w:szCs w:val="22"/>
                <w:lang w:val="en-US" w:eastAsia="zh-CN"/>
              </w:rPr>
              <w:t>qlora检查点</w:t>
            </w:r>
          </w:p>
        </w:tc>
      </w:tr>
    </w:tbl>
    <w:p w14:paraId="27636349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00D341C3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批量推理</w:t>
      </w:r>
    </w:p>
    <w:p w14:paraId="630DD170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 xml:space="preserve">批量推理参考 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gen_peft.py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 xml:space="preserve"> 。它读取测试集文件中的题目与参考答案，套用 Qwen3 的 chat template，关闭 thinking，4-bit NF4 加载，可选加载 PEFT adapter，贪心生成并写出预测结果。模型、测试集与输出路径换成自己的目录。</w:t>
      </w:r>
    </w:p>
    <w:p w14:paraId="13F7F115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Base：不加载 adapter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python scripts\gen_peft.py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--model &lt;PROJECT_ROOT&gt;\models\Qwen3-4B-Instruct-2507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--adapter none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--input data\eval\medical_100.jsonl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--output outputs\eval\base\medical_100.jsonl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--max-new-tokens 256 --batch-size 4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LoRA：加载训练好的 adapter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python scripts\gen_peft.py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--model &lt;PROJECT_ROOT&gt;\models\Qwen3-4B-Instruct-2507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--adapter &lt;训练输出目录&gt;\checkpoint-100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--input data\eval\medical_100.jsonl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--output outputs\eval\lora100\medical_100.jsonl 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--max-new-tokens 256 --batch-size 4</w:t>
      </w:r>
    </w:p>
    <w:p w14:paraId="037651EB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batch-size 4 在 8GB 上可用；如果 OOM，降到 2 或 1。</w:t>
      </w:r>
    </w:p>
    <w:p w14:paraId="6DD83124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1D8B184C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CMMLU 的统一作答约束</w:t>
      </w:r>
    </w:p>
    <w:p w14:paraId="5ECBC70C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Qwen3-4B 在原始题干下倾向于输出长篇解释，旧解析器会把题干里的选项字母误当成答案，导致大量“未解析”。本实验给 Base 和 LoRA 使用同一条 system prompt，要求只输出选项字母：</w:t>
      </w:r>
    </w:p>
    <w:p w14:paraId="1801ECEB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你是一名计算机科学考试助手。只输出正确选项的字母（A/B/C/D），不要解释，不要重复题干。</w:t>
      </w:r>
    </w:p>
    <w:p w14:paraId="60882099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在参考脚本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gen_peft.py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>中，系统提示词通过 --system-prompt 参数直接传入，下面的命令以 Base 组为例：</w:t>
      </w:r>
    </w:p>
    <w:p w14:paraId="1A1B0B84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hint="eastAsia" w:ascii="宋体" w:hAnsi="宋体" w:eastAsia="宋体" w:cs="宋体"/>
          <w:spacing w:val="-6"/>
          <w:sz w:val="24"/>
          <w:szCs w:val="24"/>
          <w:lang w:val="en-US" w:eastAsia="en-US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scripts\gen_peft.py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--model &lt;PROJECT_ROOT&gt;\models\Qwen3-4B-Instruct-2507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--adapter none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--input data\eval\cmmlu_computer_science.jsonl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--output outputs\eval\base\cmmlu.jsonl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--max-new-tokens 32 --batch-size 4 `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 xml:space="preserve">  --system-prompt "你是一名计算机科学考试助手。只输出正确选项的字母（A/B/C/D），不要解释，不要重复题干。"</w:t>
      </w:r>
    </w:p>
    <w:p w14:paraId="0FE7E0A5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en-US"/>
        </w:rPr>
      </w:pPr>
    </w:p>
    <w:p w14:paraId="62FF6554">
      <w:pPr>
        <w:pStyle w:val="12"/>
        <w:keepNext w:val="0"/>
        <w:keepLines w:val="0"/>
        <w:pageBreakBefore w:val="0"/>
        <w:numPr>
          <w:ilvl w:val="1"/>
          <w:numId w:val="5"/>
        </w:numPr>
        <w:wordWrap w:val="0"/>
        <w:overflowPunct/>
        <w:topLinePunct w:val="0"/>
        <w:bidi w:val="0"/>
        <w:spacing w:line="240" w:lineRule="auto"/>
        <w:ind w:left="0" w:leftChars="0" w:firstLine="0" w:firstLineChars="0"/>
        <w:outlineLvl w:val="1"/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</w:pPr>
      <w:r>
        <w:rPr>
          <w:rFonts w:hint="eastAsia" w:asciiTheme="minorEastAsia" w:hAnsiTheme="minorEastAsia" w:eastAsiaTheme="minorEastAsia" w:cstheme="minorEastAsia"/>
          <w:b/>
          <w:spacing w:val="-6"/>
          <w:sz w:val="24"/>
          <w:szCs w:val="24"/>
          <w:lang w:val="en-US" w:eastAsia="en-US"/>
        </w:rPr>
        <w:t>指标统计</w:t>
      </w:r>
    </w:p>
    <w:p w14:paraId="673BF6E0">
      <w:pPr>
        <w:pStyle w:val="12"/>
        <w:keepNext w:val="0"/>
        <w:keepLines w:val="0"/>
        <w:pageBreakBefore w:val="0"/>
        <w:numPr>
          <w:ilvl w:val="0"/>
          <w:numId w:val="0"/>
        </w:numPr>
        <w:wordWrap w:val="0"/>
        <w:overflowPunct/>
        <w:topLinePunct w:val="0"/>
        <w:bidi w:val="0"/>
        <w:spacing w:line="240" w:lineRule="auto"/>
        <w:ind w:leftChars="0" w:firstLine="456" w:firstLineChars="200"/>
        <w:outlineLvl w:val="1"/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 xml:space="preserve">医疗对话计算 ROUGE-1/2/L，参考脚本为 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evaluate_medical.py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 xml:space="preserve"> 。CMMLU计算正确率，参考脚本为 </w:t>
      </w:r>
      <w:r>
        <w:rPr>
          <w:rFonts w:hint="eastAsia" w:ascii="宋体" w:hAnsi="宋体" w:eastAsia="宋体" w:cs="宋体"/>
          <w:b/>
          <w:bCs/>
          <w:spacing w:val="-6"/>
          <w:sz w:val="24"/>
          <w:szCs w:val="24"/>
          <w:lang w:val="en-US" w:eastAsia="zh-CN"/>
        </w:rPr>
        <w:t>evaluate_cmmlu.py</w:t>
      </w:r>
      <w:r>
        <w:rPr>
          <w:rFonts w:hint="eastAsia" w:ascii="宋体" w:hAnsi="宋体" w:eastAsia="宋体" w:cs="宋体"/>
          <w:spacing w:val="-6"/>
          <w:sz w:val="24"/>
          <w:szCs w:val="24"/>
          <w:lang w:val="en-US" w:eastAsia="zh-CN"/>
        </w:rPr>
        <w:t xml:space="preserve"> 。下面的输出路径换成自己的目录：</w:t>
      </w:r>
    </w:p>
    <w:p w14:paraId="20989EA5">
      <w:pPr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val="clear" w:fill="F2F2F2"/>
        <w:spacing w:before="40" w:after="40" w:line="240" w:lineRule="auto"/>
        <w:ind w:left="120"/>
        <w:rPr>
          <w:rFonts w:ascii="Courier New" w:hAnsi="Courier New" w:eastAsia="宋体" w:cs="Times New Roman"/>
          <w:sz w:val="17"/>
          <w:szCs w:val="22"/>
          <w:lang w:val="en-US" w:eastAsia="en-US" w:bidi="ar-SA"/>
        </w:rPr>
      </w:pP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医疗：ROUGE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scripts\evaluate_medical.py --pred outputs\eval\base\medical_100.jsonl --save outputs\reports\base_medical.json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scripts\evaluate_medical.py --pred outputs\eval\lora100\medical_100.jsonl --save outputs\reports\lora_medical.json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# CMMLU：正确率 + 错例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scripts\evaluate_cmmlu.py --pred outputs\eval\base\cmmlu.jsonl --save outputs\reports\base_cmmlu.json --wrong-file outputs\reports\base_cmmlu_wrong.jsonl</w:t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br w:type="textWrapping"/>
      </w:r>
      <w:r>
        <w:rPr>
          <w:rFonts w:ascii="Courier New" w:hAnsi="Courier New" w:eastAsia="宋体" w:cs="Times New Roman"/>
          <w:sz w:val="17"/>
          <w:szCs w:val="22"/>
          <w:lang w:val="en-US" w:eastAsia="en-US" w:bidi="ar-SA"/>
        </w:rPr>
        <w:t>python scripts\evaluate_cmmlu.py --pred outputs\eval\lora100\cmmlu.jsonl --save outputs\reports\lora_cmmlu.json --wrong-file outputs\reports\lora_cmmlu_wrong.jsonl</w:t>
      </w:r>
    </w:p>
    <w:p w14:paraId="072F4E2F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0E2C1B67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</w:p>
    <w:p w14:paraId="19D6FB04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1D10A28B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65E16D91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0FBFF836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4F103B73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6F8AACC0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61343B2D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49E42640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49C0D51B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jc w:val="both"/>
        <w:rPr>
          <w:rFonts w:hint="default" w:eastAsia="宋体"/>
          <w:lang w:val="en-US" w:eastAsia="zh-CN"/>
        </w:rPr>
      </w:pPr>
    </w:p>
    <w:p w14:paraId="325CFD28">
      <w:pPr>
        <w:keepNext w:val="0"/>
        <w:keepLines w:val="0"/>
        <w:pageBreakBefore w:val="0"/>
        <w:numPr>
          <w:ilvl w:val="0"/>
          <w:numId w:val="4"/>
        </w:numPr>
        <w:wordWrap w:val="0"/>
        <w:overflowPunct/>
        <w:topLinePunct w:val="0"/>
        <w:bidi w:val="0"/>
        <w:spacing w:line="240" w:lineRule="auto"/>
        <w:outlineLvl w:val="1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rPr>
          <w:rFonts w:ascii="楷体" w:hAnsi="楷体" w:eastAsia="楷体" w:cs="楷体"/>
          <w:b/>
          <w:bCs/>
          <w:spacing w:val="-6"/>
          <w:sz w:val="28"/>
          <w:szCs w:val="28"/>
        </w:rPr>
        <w:t>实验</w:t>
      </w:r>
      <w:r>
        <w:rPr>
          <w:rFonts w:hint="eastAsia" w:ascii="楷体" w:hAnsi="楷体" w:eastAsia="楷体" w:cs="楷体"/>
          <w:b/>
          <w:bCs/>
          <w:spacing w:val="-6"/>
          <w:sz w:val="28"/>
          <w:szCs w:val="28"/>
        </w:rPr>
        <w:t>报告{计5/2</w:t>
      </w:r>
      <w:r>
        <w:rPr>
          <w:rFonts w:ascii="楷体" w:hAnsi="楷体" w:eastAsia="楷体" w:cs="楷体"/>
          <w:b/>
          <w:bCs/>
          <w:spacing w:val="-6"/>
          <w:sz w:val="28"/>
          <w:szCs w:val="28"/>
        </w:rPr>
        <w:t>0</w:t>
      </w:r>
      <w:r>
        <w:rPr>
          <w:rFonts w:hint="eastAsia" w:ascii="楷体" w:hAnsi="楷体" w:eastAsia="楷体" w:cs="楷体"/>
          <w:b/>
          <w:bCs/>
          <w:spacing w:val="-6"/>
          <w:sz w:val="28"/>
          <w:szCs w:val="28"/>
        </w:rPr>
        <w:t>分}</w:t>
      </w:r>
    </w:p>
    <w:p w14:paraId="3468B203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按照学术论文标准撰写梳理自己的工作，凝练自己的核心发现（贡献），巧妙的将上述实验结果，包括的实现及评估过程总结、心得，融入其中；</w:t>
      </w:r>
    </w:p>
    <w:p w14:paraId="2F81E5B2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8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避免流水账，4页左右为好，最长不应超过8页</w:t>
      </w:r>
    </w:p>
    <w:p w14:paraId="647C00E3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    实验报告在说明问题时建议加入实例作为辅助说明；</w:t>
      </w:r>
    </w:p>
    <w:p w14:paraId="6BEBCCAE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8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请确保实验报告格式清晰、一致，内容的条理性和完整性。</w:t>
      </w:r>
    </w:p>
    <w:p w14:paraId="6F98FE60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252D5CEA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8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4526E1F6">
      <w:pPr>
        <w:keepNext w:val="0"/>
        <w:keepLines w:val="0"/>
        <w:pageBreakBefore w:val="0"/>
        <w:numPr>
          <w:ilvl w:val="0"/>
          <w:numId w:val="4"/>
        </w:numPr>
        <w:wordWrap w:val="0"/>
        <w:overflowPunct/>
        <w:topLinePunct w:val="0"/>
        <w:bidi w:val="0"/>
        <w:spacing w:line="240" w:lineRule="auto"/>
        <w:outlineLvl w:val="1"/>
        <w:rPr>
          <w:rFonts w:ascii="楷体" w:hAnsi="楷体" w:eastAsia="楷体" w:cs="楷体"/>
          <w:b/>
          <w:bCs/>
          <w:spacing w:val="-6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pacing w:val="-6"/>
          <w:sz w:val="28"/>
          <w:szCs w:val="28"/>
        </w:rPr>
        <w:t>评分方式</w:t>
      </w:r>
    </w:p>
    <w:p w14:paraId="7FB7849D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lang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1）该实验成绩满分20分：代码成绩15分，报告成绩5分；</w:t>
      </w:r>
    </w:p>
    <w:p w14:paraId="3E67819B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2）实现LoRA微调基础大模型，分析所用到的LoRA各项参数，并对LoRA微调后的模型和原模型的实验结果进行比对分析：记为12分；</w:t>
      </w:r>
    </w:p>
    <w:p w14:paraId="23E3F9D7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3）采用调整LoRA参数的方式，不改变训练语料，提升微调后的大模型水平，记为13分；</w:t>
      </w:r>
    </w:p>
    <w:p w14:paraId="7BF48179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备注：调参次数应该提供的算力额度内完成，请预先调研相关资料，制订调参计划。</w:t>
      </w:r>
    </w:p>
    <w:p w14:paraId="6E17ED06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4）查阅文献，利用除LoRA微调外的其他大模型微调方法，实现该实验，并提升大模型水平，计满15分；</w:t>
      </w:r>
    </w:p>
    <w:p w14:paraId="26ECF8F1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备注：注意在算力额度限制内完成。</w:t>
      </w:r>
    </w:p>
    <w:p w14:paraId="6C16EF78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5）报告成绩:5分。</w:t>
      </w:r>
    </w:p>
    <w:p w14:paraId="46EDB818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ab/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学术论文写作风格，避免实验过程堆砌；</w:t>
      </w:r>
    </w:p>
    <w:p w14:paraId="28BC40F8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内容完整、格式规范；</w:t>
      </w:r>
    </w:p>
    <w:p w14:paraId="5915322C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包含所使用的参考文献[重要]。</w:t>
      </w:r>
    </w:p>
    <w:p w14:paraId="1D32B826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left="420"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3DCF4E71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注意：如果不提交实验报告，或者只有实验报告而无代码，本次实验成绩清零；在完成该实验后，如果实验报告表述和实验内容严重不一致，缺少关键内容，本次实验总成绩直接降为12分。</w:t>
      </w:r>
    </w:p>
    <w:p w14:paraId="55010736">
      <w:pPr>
        <w:keepNext w:val="0"/>
        <w:keepLines w:val="0"/>
        <w:pageBreakBefore w:val="0"/>
        <w:numPr>
          <w:numId w:val="0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="楷体" w:hAnsi="楷体" w:eastAsia="楷体" w:cs="楷体"/>
          <w:b/>
          <w:bCs/>
          <w:spacing w:val="-6"/>
          <w:sz w:val="28"/>
          <w:szCs w:val="28"/>
          <w:lang w:eastAsia="zh-CN"/>
        </w:rPr>
      </w:pPr>
    </w:p>
    <w:p w14:paraId="20929929">
      <w:pPr>
        <w:keepNext w:val="0"/>
        <w:keepLines w:val="0"/>
        <w:pageBreakBefore w:val="0"/>
        <w:numPr>
          <w:ilvl w:val="0"/>
          <w:numId w:val="4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="楷体" w:hAnsi="楷体" w:eastAsia="楷体" w:cs="楷体"/>
          <w:b/>
          <w:bCs/>
          <w:spacing w:val="-6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  <w:t>提交内容</w:t>
      </w:r>
    </w:p>
    <w:p w14:paraId="6EAB4E9D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实验三需提交的材料如下，全部放入一个压缩包（压缩包内含实验报告与 code 文件夹）：</w:t>
      </w:r>
    </w:p>
    <w:p w14:paraId="41051913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数据准备：训练数据处理脚本、医疗测试集处理脚本、CMMLU处理脚本</w:t>
      </w:r>
    </w:p>
    <w:p w14:paraId="35B50D89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训练：训练配置文件、训练运行截图</w:t>
      </w:r>
    </w:p>
    <w:p w14:paraId="5B31F667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推理与评测：批量推理脚本、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推理运行截图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、Chinese-medical-dialogue评测脚本、CMMLU评测脚本，评测结果文件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及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截图</w:t>
      </w:r>
    </w:p>
    <w:p w14:paraId="042180CF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报告：实验报告（截图放进报告里）</w:t>
      </w:r>
    </w:p>
    <w:p w14:paraId="0E976FAD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</w:p>
    <w:p w14:paraId="6DB3B089">
      <w:pPr>
        <w:keepNext w:val="0"/>
        <w:keepLines w:val="0"/>
        <w:pageBreakBefore w:val="0"/>
        <w:numPr>
          <w:ilvl w:val="0"/>
          <w:numId w:val="4"/>
        </w:numPr>
        <w:wordWrap w:val="0"/>
        <w:overflowPunct/>
        <w:topLinePunct w:val="0"/>
        <w:bidi w:val="0"/>
        <w:spacing w:line="240" w:lineRule="auto"/>
        <w:outlineLvl w:val="1"/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pacing w:val="-6"/>
          <w:sz w:val="28"/>
          <w:szCs w:val="28"/>
          <w:lang w:val="en-US" w:eastAsia="zh-CN"/>
        </w:rPr>
        <w:t>提交方式</w:t>
      </w:r>
    </w:p>
    <w:p w14:paraId="461464DD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="楷体" w:hAnsi="楷体" w:eastAsia="楷体" w:cs="楷体"/>
          <w:b/>
          <w:bCs/>
          <w:spacing w:val="-6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实验采用金山云文档（WPS）的方式进行实验文件的提交，链接如下：</w:t>
      </w:r>
    </w:p>
    <w:p w14:paraId="740EA340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 HYPERLINK "https://yunbiz.wps.cn/c/collect/cfGrAxSXKoB"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separate"/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https://yunbiz.wps.cn/c/collect/cfGrAxSXKoB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 </w:t>
      </w:r>
    </w:p>
    <w:p w14:paraId="3BA9DB4C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提交内容为每个实验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单独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一个压缩包，在表单内正确填写“实验x、姓名、学号”会自动命名。</w:t>
      </w:r>
    </w:p>
    <w:p w14:paraId="60157D34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由于有三个实验，所以需要上传三次文件，分别为实验一、实验二、实验三的压缩包。</w:t>
      </w:r>
    </w:p>
    <w:p w14:paraId="06B05375">
      <w:pPr>
        <w:keepNext w:val="0"/>
        <w:keepLines w:val="0"/>
        <w:pageBreakBefore w:val="0"/>
        <w:wordWrap w:val="0"/>
        <w:overflowPunct/>
        <w:topLinePunct w:val="0"/>
        <w:bidi w:val="0"/>
        <w:spacing w:line="240" w:lineRule="auto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压缩包内包含实验报告和命名为code的文件夹，code文件夹用于存放代码文件。</w:t>
      </w:r>
    </w:p>
    <w:sectPr>
      <w:pgSz w:w="11907" w:h="16839"/>
      <w:pgMar w:top="1428" w:right="1785" w:bottom="0" w:left="1785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3C85F"/>
    <w:multiLevelType w:val="singleLevel"/>
    <w:tmpl w:val="0743C85F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4B6B687A"/>
    <w:multiLevelType w:val="singleLevel"/>
    <w:tmpl w:val="4B6B687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A964FC8"/>
    <w:multiLevelType w:val="multilevel"/>
    <w:tmpl w:val="5A964FC8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5D3A9AD5"/>
    <w:multiLevelType w:val="singleLevel"/>
    <w:tmpl w:val="5D3A9AD5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4">
    <w:nsid w:val="60D76CEE"/>
    <w:multiLevelType w:val="multilevel"/>
    <w:tmpl w:val="60D76CEE"/>
    <w:lvl w:ilvl="0" w:tentative="0">
      <w:start w:val="1"/>
      <w:numFmt w:val="decimal"/>
      <w:lvlText w:val="%1."/>
      <w:lvlJc w:val="left"/>
      <w:pPr>
        <w:ind w:left="382" w:hanging="360"/>
      </w:pPr>
      <w:rPr>
        <w:rFonts w:hint="default" w:ascii="Times New Roman" w:hAnsi="Times New Roman" w:cs="Times New Roman"/>
        <w:b w:val="0"/>
        <w:bCs w:val="0"/>
        <w:color w:val="auto"/>
      </w:rPr>
    </w:lvl>
    <w:lvl w:ilvl="1" w:tentative="0">
      <w:start w:val="1"/>
      <w:numFmt w:val="lowerLetter"/>
      <w:lvlText w:val="%2)"/>
      <w:lvlJc w:val="left"/>
      <w:pPr>
        <w:ind w:left="862" w:hanging="420"/>
      </w:pPr>
    </w:lvl>
    <w:lvl w:ilvl="2" w:tentative="0">
      <w:start w:val="1"/>
      <w:numFmt w:val="lowerRoman"/>
      <w:lvlText w:val="%3."/>
      <w:lvlJc w:val="right"/>
      <w:pPr>
        <w:ind w:left="1282" w:hanging="420"/>
      </w:pPr>
    </w:lvl>
    <w:lvl w:ilvl="3" w:tentative="0">
      <w:start w:val="1"/>
      <w:numFmt w:val="decimal"/>
      <w:lvlText w:val="%4."/>
      <w:lvlJc w:val="left"/>
      <w:pPr>
        <w:ind w:left="1702" w:hanging="420"/>
      </w:pPr>
    </w:lvl>
    <w:lvl w:ilvl="4" w:tentative="0">
      <w:start w:val="1"/>
      <w:numFmt w:val="lowerLetter"/>
      <w:lvlText w:val="%5)"/>
      <w:lvlJc w:val="left"/>
      <w:pPr>
        <w:ind w:left="2122" w:hanging="420"/>
      </w:pPr>
    </w:lvl>
    <w:lvl w:ilvl="5" w:tentative="0">
      <w:start w:val="1"/>
      <w:numFmt w:val="lowerRoman"/>
      <w:lvlText w:val="%6."/>
      <w:lvlJc w:val="right"/>
      <w:pPr>
        <w:ind w:left="2542" w:hanging="420"/>
      </w:pPr>
    </w:lvl>
    <w:lvl w:ilvl="6" w:tentative="0">
      <w:start w:val="1"/>
      <w:numFmt w:val="decimal"/>
      <w:lvlText w:val="%7."/>
      <w:lvlJc w:val="left"/>
      <w:pPr>
        <w:ind w:left="2962" w:hanging="420"/>
      </w:pPr>
    </w:lvl>
    <w:lvl w:ilvl="7" w:tentative="0">
      <w:start w:val="1"/>
      <w:numFmt w:val="lowerLetter"/>
      <w:lvlText w:val="%8)"/>
      <w:lvlJc w:val="left"/>
      <w:pPr>
        <w:ind w:left="3382" w:hanging="420"/>
      </w:pPr>
    </w:lvl>
    <w:lvl w:ilvl="8" w:tentative="0">
      <w:start w:val="1"/>
      <w:numFmt w:val="lowerRoman"/>
      <w:lvlText w:val="%9."/>
      <w:lvlJc w:val="right"/>
      <w:pPr>
        <w:ind w:left="3802" w:hanging="42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0"/>
  <w:displayVerticalDrawingGridEvery w:val="2"/>
  <w:characterSpacingControl w:val="doNotCompress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645714"/>
    <w:rsid w:val="00037200"/>
    <w:rsid w:val="0013201D"/>
    <w:rsid w:val="00256A26"/>
    <w:rsid w:val="004C6F89"/>
    <w:rsid w:val="0064101B"/>
    <w:rsid w:val="00645714"/>
    <w:rsid w:val="00770956"/>
    <w:rsid w:val="0085540E"/>
    <w:rsid w:val="00B06B3E"/>
    <w:rsid w:val="00B50058"/>
    <w:rsid w:val="00B92181"/>
    <w:rsid w:val="00D6297F"/>
    <w:rsid w:val="00DC21D4"/>
    <w:rsid w:val="00DC3840"/>
    <w:rsid w:val="00F907CF"/>
    <w:rsid w:val="00FD2ADA"/>
    <w:rsid w:val="012F57C6"/>
    <w:rsid w:val="016245C6"/>
    <w:rsid w:val="01DA23AF"/>
    <w:rsid w:val="024E68F9"/>
    <w:rsid w:val="02B349AE"/>
    <w:rsid w:val="02EB05EB"/>
    <w:rsid w:val="02F54FC6"/>
    <w:rsid w:val="02F87301"/>
    <w:rsid w:val="03100052"/>
    <w:rsid w:val="037C7055"/>
    <w:rsid w:val="03E272F9"/>
    <w:rsid w:val="04252B69"/>
    <w:rsid w:val="047C599F"/>
    <w:rsid w:val="048E122E"/>
    <w:rsid w:val="04FC43EA"/>
    <w:rsid w:val="04FF212C"/>
    <w:rsid w:val="05205135"/>
    <w:rsid w:val="05263B5D"/>
    <w:rsid w:val="0526590B"/>
    <w:rsid w:val="053E4A03"/>
    <w:rsid w:val="066466EB"/>
    <w:rsid w:val="06AE6F82"/>
    <w:rsid w:val="06C62BEE"/>
    <w:rsid w:val="072C389C"/>
    <w:rsid w:val="07593D76"/>
    <w:rsid w:val="076648B2"/>
    <w:rsid w:val="07A5520D"/>
    <w:rsid w:val="07D33702"/>
    <w:rsid w:val="08275C22"/>
    <w:rsid w:val="08A81A4D"/>
    <w:rsid w:val="08C90A87"/>
    <w:rsid w:val="090B1AAE"/>
    <w:rsid w:val="0A326B00"/>
    <w:rsid w:val="0A6C4AA8"/>
    <w:rsid w:val="0B9F3D21"/>
    <w:rsid w:val="0BD240F7"/>
    <w:rsid w:val="0BEC365D"/>
    <w:rsid w:val="0CE340E1"/>
    <w:rsid w:val="0D110C4F"/>
    <w:rsid w:val="0D1C3556"/>
    <w:rsid w:val="0D554FDF"/>
    <w:rsid w:val="0D841102"/>
    <w:rsid w:val="0DA970D9"/>
    <w:rsid w:val="0DC9020F"/>
    <w:rsid w:val="0DE72448"/>
    <w:rsid w:val="0E0A52FD"/>
    <w:rsid w:val="0E884F40"/>
    <w:rsid w:val="0EB47057"/>
    <w:rsid w:val="0EFB1BB6"/>
    <w:rsid w:val="0F034E7D"/>
    <w:rsid w:val="0F2A424A"/>
    <w:rsid w:val="0F5F5CA1"/>
    <w:rsid w:val="0F9B0CA3"/>
    <w:rsid w:val="0FA81D18"/>
    <w:rsid w:val="0FB0474F"/>
    <w:rsid w:val="0FDD12BC"/>
    <w:rsid w:val="10CD1330"/>
    <w:rsid w:val="111F2C3C"/>
    <w:rsid w:val="112137C2"/>
    <w:rsid w:val="11BD5F35"/>
    <w:rsid w:val="11C24F05"/>
    <w:rsid w:val="11C70156"/>
    <w:rsid w:val="133A668F"/>
    <w:rsid w:val="133B07D3"/>
    <w:rsid w:val="13586FA8"/>
    <w:rsid w:val="13637D2A"/>
    <w:rsid w:val="141A2ADF"/>
    <w:rsid w:val="15003A82"/>
    <w:rsid w:val="15160239"/>
    <w:rsid w:val="154C1DE6"/>
    <w:rsid w:val="15A5462A"/>
    <w:rsid w:val="15BB5BFB"/>
    <w:rsid w:val="15C34AB0"/>
    <w:rsid w:val="15CC69E5"/>
    <w:rsid w:val="16094BB9"/>
    <w:rsid w:val="162B04DF"/>
    <w:rsid w:val="167B53D5"/>
    <w:rsid w:val="16B014D8"/>
    <w:rsid w:val="16CB6312"/>
    <w:rsid w:val="16D61FC6"/>
    <w:rsid w:val="170D06D9"/>
    <w:rsid w:val="172E6ECD"/>
    <w:rsid w:val="17A0779F"/>
    <w:rsid w:val="17FD10EA"/>
    <w:rsid w:val="17FD24FB"/>
    <w:rsid w:val="18027B12"/>
    <w:rsid w:val="18273A1C"/>
    <w:rsid w:val="18351C95"/>
    <w:rsid w:val="185365BF"/>
    <w:rsid w:val="189806EE"/>
    <w:rsid w:val="18C1177B"/>
    <w:rsid w:val="18D314AE"/>
    <w:rsid w:val="190569DB"/>
    <w:rsid w:val="192F0515"/>
    <w:rsid w:val="199B021E"/>
    <w:rsid w:val="19AD1CFF"/>
    <w:rsid w:val="19F606D3"/>
    <w:rsid w:val="1A240213"/>
    <w:rsid w:val="1A5A3C35"/>
    <w:rsid w:val="1AF771ED"/>
    <w:rsid w:val="1BEA3C14"/>
    <w:rsid w:val="1C177904"/>
    <w:rsid w:val="1CF739BD"/>
    <w:rsid w:val="1D491BBC"/>
    <w:rsid w:val="1D5C0ACA"/>
    <w:rsid w:val="1E1E766F"/>
    <w:rsid w:val="1E6A4663"/>
    <w:rsid w:val="1E876B60"/>
    <w:rsid w:val="1EA2204E"/>
    <w:rsid w:val="1EB449C0"/>
    <w:rsid w:val="1F1078F7"/>
    <w:rsid w:val="1F884DA0"/>
    <w:rsid w:val="20685E17"/>
    <w:rsid w:val="206D21E8"/>
    <w:rsid w:val="20A21E92"/>
    <w:rsid w:val="20AE6A88"/>
    <w:rsid w:val="20C462AC"/>
    <w:rsid w:val="20C55B80"/>
    <w:rsid w:val="223D2CFB"/>
    <w:rsid w:val="22580AB5"/>
    <w:rsid w:val="22625D7D"/>
    <w:rsid w:val="2265718F"/>
    <w:rsid w:val="22992E1E"/>
    <w:rsid w:val="22B14323"/>
    <w:rsid w:val="22D5628D"/>
    <w:rsid w:val="2309444A"/>
    <w:rsid w:val="234E03AA"/>
    <w:rsid w:val="23AD1279"/>
    <w:rsid w:val="23C967FE"/>
    <w:rsid w:val="23FF75FB"/>
    <w:rsid w:val="24521E21"/>
    <w:rsid w:val="248D47ED"/>
    <w:rsid w:val="24DB5972"/>
    <w:rsid w:val="251B0465"/>
    <w:rsid w:val="257858B7"/>
    <w:rsid w:val="258567C1"/>
    <w:rsid w:val="25E87C00"/>
    <w:rsid w:val="25F52A64"/>
    <w:rsid w:val="278E4F1E"/>
    <w:rsid w:val="27F82CDF"/>
    <w:rsid w:val="28A37247"/>
    <w:rsid w:val="2920604A"/>
    <w:rsid w:val="29AD39A7"/>
    <w:rsid w:val="29BD655B"/>
    <w:rsid w:val="29F4478A"/>
    <w:rsid w:val="2A2E4796"/>
    <w:rsid w:val="2A5266D7"/>
    <w:rsid w:val="2A9211C9"/>
    <w:rsid w:val="2ACC32B2"/>
    <w:rsid w:val="2B002F9A"/>
    <w:rsid w:val="2B39211A"/>
    <w:rsid w:val="2B406E77"/>
    <w:rsid w:val="2B522706"/>
    <w:rsid w:val="2B88081E"/>
    <w:rsid w:val="2C025EDA"/>
    <w:rsid w:val="2C2E4F21"/>
    <w:rsid w:val="2D6A1F89"/>
    <w:rsid w:val="2DA65CB7"/>
    <w:rsid w:val="2DB509D7"/>
    <w:rsid w:val="2DB6793F"/>
    <w:rsid w:val="2E110657"/>
    <w:rsid w:val="2E2B2C2B"/>
    <w:rsid w:val="2E4E4527"/>
    <w:rsid w:val="2EC851B9"/>
    <w:rsid w:val="2F0E4B96"/>
    <w:rsid w:val="2F167856"/>
    <w:rsid w:val="2F2464C0"/>
    <w:rsid w:val="2F4A489A"/>
    <w:rsid w:val="2FC614BF"/>
    <w:rsid w:val="30395C43"/>
    <w:rsid w:val="307B45FF"/>
    <w:rsid w:val="30B01EF0"/>
    <w:rsid w:val="30E262DA"/>
    <w:rsid w:val="314A78E9"/>
    <w:rsid w:val="32004C6A"/>
    <w:rsid w:val="32080C2B"/>
    <w:rsid w:val="32214018"/>
    <w:rsid w:val="327A2C6E"/>
    <w:rsid w:val="330469DC"/>
    <w:rsid w:val="330B5675"/>
    <w:rsid w:val="33181C13"/>
    <w:rsid w:val="33244988"/>
    <w:rsid w:val="33430544"/>
    <w:rsid w:val="33490893"/>
    <w:rsid w:val="337C76E9"/>
    <w:rsid w:val="33FD3B57"/>
    <w:rsid w:val="34767465"/>
    <w:rsid w:val="34884FD5"/>
    <w:rsid w:val="34C26DED"/>
    <w:rsid w:val="34E00D83"/>
    <w:rsid w:val="35325A82"/>
    <w:rsid w:val="353A4E84"/>
    <w:rsid w:val="3579545F"/>
    <w:rsid w:val="3598340C"/>
    <w:rsid w:val="359B675B"/>
    <w:rsid w:val="35A82C7F"/>
    <w:rsid w:val="35EF65B8"/>
    <w:rsid w:val="35F40894"/>
    <w:rsid w:val="36413AA3"/>
    <w:rsid w:val="366B6B24"/>
    <w:rsid w:val="369D6F2B"/>
    <w:rsid w:val="36E20DE2"/>
    <w:rsid w:val="36F02178"/>
    <w:rsid w:val="376143FD"/>
    <w:rsid w:val="37661A13"/>
    <w:rsid w:val="38167121"/>
    <w:rsid w:val="383920D9"/>
    <w:rsid w:val="38910D12"/>
    <w:rsid w:val="39447B32"/>
    <w:rsid w:val="3958122D"/>
    <w:rsid w:val="398B5761"/>
    <w:rsid w:val="39DA483B"/>
    <w:rsid w:val="3AE57350"/>
    <w:rsid w:val="3B316710"/>
    <w:rsid w:val="3B712562"/>
    <w:rsid w:val="3B984165"/>
    <w:rsid w:val="3B9D352A"/>
    <w:rsid w:val="3BC35686"/>
    <w:rsid w:val="3BE948EC"/>
    <w:rsid w:val="3CA20800"/>
    <w:rsid w:val="3CB91AA9"/>
    <w:rsid w:val="3D231CD4"/>
    <w:rsid w:val="3D331C6F"/>
    <w:rsid w:val="3D347EBE"/>
    <w:rsid w:val="3DBF59D9"/>
    <w:rsid w:val="3DD11BB1"/>
    <w:rsid w:val="3E4B3711"/>
    <w:rsid w:val="3E76426F"/>
    <w:rsid w:val="3ED37CEE"/>
    <w:rsid w:val="3EE527B8"/>
    <w:rsid w:val="3F793F5A"/>
    <w:rsid w:val="3FCA37A3"/>
    <w:rsid w:val="40DC3976"/>
    <w:rsid w:val="414D77A0"/>
    <w:rsid w:val="42FA74B4"/>
    <w:rsid w:val="432033BE"/>
    <w:rsid w:val="438214BF"/>
    <w:rsid w:val="43E51F12"/>
    <w:rsid w:val="44625310"/>
    <w:rsid w:val="44B26298"/>
    <w:rsid w:val="44EB3558"/>
    <w:rsid w:val="451C1963"/>
    <w:rsid w:val="453F5652"/>
    <w:rsid w:val="45790B64"/>
    <w:rsid w:val="4597723C"/>
    <w:rsid w:val="46B56C0C"/>
    <w:rsid w:val="46E26BDC"/>
    <w:rsid w:val="474159AA"/>
    <w:rsid w:val="474E12E9"/>
    <w:rsid w:val="475204D7"/>
    <w:rsid w:val="47627C2D"/>
    <w:rsid w:val="47BC11DC"/>
    <w:rsid w:val="47F6649C"/>
    <w:rsid w:val="481631E9"/>
    <w:rsid w:val="48381ED1"/>
    <w:rsid w:val="48671506"/>
    <w:rsid w:val="48E1714C"/>
    <w:rsid w:val="48F74BC1"/>
    <w:rsid w:val="49380D36"/>
    <w:rsid w:val="493E2707"/>
    <w:rsid w:val="495743A3"/>
    <w:rsid w:val="4A233794"/>
    <w:rsid w:val="4A315EB1"/>
    <w:rsid w:val="4A443E36"/>
    <w:rsid w:val="4A6F69D9"/>
    <w:rsid w:val="4AB8212E"/>
    <w:rsid w:val="4AE578D0"/>
    <w:rsid w:val="4AF15640"/>
    <w:rsid w:val="4BBD5522"/>
    <w:rsid w:val="4BC32B39"/>
    <w:rsid w:val="4BDE7972"/>
    <w:rsid w:val="4C325F10"/>
    <w:rsid w:val="4C4857E6"/>
    <w:rsid w:val="4DC64B62"/>
    <w:rsid w:val="4DCA28A4"/>
    <w:rsid w:val="4DD059E1"/>
    <w:rsid w:val="4DFE254E"/>
    <w:rsid w:val="4E4B32B9"/>
    <w:rsid w:val="4E64679B"/>
    <w:rsid w:val="4E750B80"/>
    <w:rsid w:val="4F770D97"/>
    <w:rsid w:val="4FD7020F"/>
    <w:rsid w:val="500B71A4"/>
    <w:rsid w:val="50650662"/>
    <w:rsid w:val="50BB0282"/>
    <w:rsid w:val="51031C29"/>
    <w:rsid w:val="516B5CAE"/>
    <w:rsid w:val="5190487A"/>
    <w:rsid w:val="51984966"/>
    <w:rsid w:val="51ED3749"/>
    <w:rsid w:val="52A5743C"/>
    <w:rsid w:val="52F61A46"/>
    <w:rsid w:val="531B415F"/>
    <w:rsid w:val="534A043A"/>
    <w:rsid w:val="538C2DD7"/>
    <w:rsid w:val="53B446B2"/>
    <w:rsid w:val="54C85450"/>
    <w:rsid w:val="54D67D81"/>
    <w:rsid w:val="557430F6"/>
    <w:rsid w:val="558053C1"/>
    <w:rsid w:val="55854ECE"/>
    <w:rsid w:val="55D12837"/>
    <w:rsid w:val="5630526E"/>
    <w:rsid w:val="565262BB"/>
    <w:rsid w:val="5689497F"/>
    <w:rsid w:val="56AF11CC"/>
    <w:rsid w:val="57572F0A"/>
    <w:rsid w:val="57723665"/>
    <w:rsid w:val="57783371"/>
    <w:rsid w:val="57790E97"/>
    <w:rsid w:val="579B0E0D"/>
    <w:rsid w:val="57A32E83"/>
    <w:rsid w:val="57BA024D"/>
    <w:rsid w:val="57D91AD4"/>
    <w:rsid w:val="58C7008C"/>
    <w:rsid w:val="58CB2A28"/>
    <w:rsid w:val="592E180D"/>
    <w:rsid w:val="59315793"/>
    <w:rsid w:val="593B28A8"/>
    <w:rsid w:val="59457283"/>
    <w:rsid w:val="59B564A1"/>
    <w:rsid w:val="5A9A35FE"/>
    <w:rsid w:val="5B222A36"/>
    <w:rsid w:val="5BBE7366"/>
    <w:rsid w:val="5C58747E"/>
    <w:rsid w:val="5C6965C3"/>
    <w:rsid w:val="5C76181A"/>
    <w:rsid w:val="5C7F72A3"/>
    <w:rsid w:val="5CBA1D36"/>
    <w:rsid w:val="5CF733E4"/>
    <w:rsid w:val="5D4635C9"/>
    <w:rsid w:val="5D9E51B4"/>
    <w:rsid w:val="5E070FAB"/>
    <w:rsid w:val="5F2142EE"/>
    <w:rsid w:val="5F2772CF"/>
    <w:rsid w:val="5FBF7663"/>
    <w:rsid w:val="5FC15189"/>
    <w:rsid w:val="5FF4730D"/>
    <w:rsid w:val="60695F4D"/>
    <w:rsid w:val="60B612C5"/>
    <w:rsid w:val="6162564A"/>
    <w:rsid w:val="61761FA3"/>
    <w:rsid w:val="61F335F4"/>
    <w:rsid w:val="62034400"/>
    <w:rsid w:val="627B26B2"/>
    <w:rsid w:val="627C183B"/>
    <w:rsid w:val="631A1780"/>
    <w:rsid w:val="638210D3"/>
    <w:rsid w:val="63950E07"/>
    <w:rsid w:val="63E15DFA"/>
    <w:rsid w:val="640F004C"/>
    <w:rsid w:val="64887113"/>
    <w:rsid w:val="64A84B6A"/>
    <w:rsid w:val="64AC28AC"/>
    <w:rsid w:val="64B21544"/>
    <w:rsid w:val="654377EE"/>
    <w:rsid w:val="65A62534"/>
    <w:rsid w:val="65DB210E"/>
    <w:rsid w:val="65DC0A02"/>
    <w:rsid w:val="6669754C"/>
    <w:rsid w:val="668F1B3D"/>
    <w:rsid w:val="66984178"/>
    <w:rsid w:val="66E71567"/>
    <w:rsid w:val="6799749C"/>
    <w:rsid w:val="68572713"/>
    <w:rsid w:val="68881711"/>
    <w:rsid w:val="688F051A"/>
    <w:rsid w:val="68E5013A"/>
    <w:rsid w:val="68E97C1C"/>
    <w:rsid w:val="690F3409"/>
    <w:rsid w:val="696D617A"/>
    <w:rsid w:val="69C04704"/>
    <w:rsid w:val="6B064398"/>
    <w:rsid w:val="6B4849B1"/>
    <w:rsid w:val="6B9B71D6"/>
    <w:rsid w:val="6C0A4A08"/>
    <w:rsid w:val="6C2B5141"/>
    <w:rsid w:val="6C7812C6"/>
    <w:rsid w:val="6D0A71F4"/>
    <w:rsid w:val="6D550DC8"/>
    <w:rsid w:val="6DDB6E2E"/>
    <w:rsid w:val="6DFD1A82"/>
    <w:rsid w:val="6E717D74"/>
    <w:rsid w:val="6EDD1905"/>
    <w:rsid w:val="6F0D2199"/>
    <w:rsid w:val="6F6124E5"/>
    <w:rsid w:val="6F662215"/>
    <w:rsid w:val="6FD40790"/>
    <w:rsid w:val="70223A22"/>
    <w:rsid w:val="705B6F34"/>
    <w:rsid w:val="70765B1C"/>
    <w:rsid w:val="70814BED"/>
    <w:rsid w:val="709D64C5"/>
    <w:rsid w:val="718E5396"/>
    <w:rsid w:val="719864E8"/>
    <w:rsid w:val="72455AFF"/>
    <w:rsid w:val="72FA0C86"/>
    <w:rsid w:val="734C0DB6"/>
    <w:rsid w:val="7358775B"/>
    <w:rsid w:val="736B1B84"/>
    <w:rsid w:val="73870645"/>
    <w:rsid w:val="739A5FC5"/>
    <w:rsid w:val="73C80D84"/>
    <w:rsid w:val="740A4EF9"/>
    <w:rsid w:val="743261FE"/>
    <w:rsid w:val="746B1A6A"/>
    <w:rsid w:val="74734C4D"/>
    <w:rsid w:val="74DF0134"/>
    <w:rsid w:val="74FA4F6E"/>
    <w:rsid w:val="761B163F"/>
    <w:rsid w:val="76A75B56"/>
    <w:rsid w:val="76F8372F"/>
    <w:rsid w:val="77365B92"/>
    <w:rsid w:val="77483C32"/>
    <w:rsid w:val="775D7A36"/>
    <w:rsid w:val="779E59F4"/>
    <w:rsid w:val="77BC650A"/>
    <w:rsid w:val="77FC2DAB"/>
    <w:rsid w:val="782065E5"/>
    <w:rsid w:val="783267CC"/>
    <w:rsid w:val="78557BBB"/>
    <w:rsid w:val="78826765"/>
    <w:rsid w:val="788A485A"/>
    <w:rsid w:val="789631FF"/>
    <w:rsid w:val="789E20B4"/>
    <w:rsid w:val="79F16451"/>
    <w:rsid w:val="79F3642F"/>
    <w:rsid w:val="7A3C3932"/>
    <w:rsid w:val="7A65414E"/>
    <w:rsid w:val="7A74131E"/>
    <w:rsid w:val="7AE21CAA"/>
    <w:rsid w:val="7AF27648"/>
    <w:rsid w:val="7B1D3764"/>
    <w:rsid w:val="7B62619A"/>
    <w:rsid w:val="7C6B212E"/>
    <w:rsid w:val="7C8E2C44"/>
    <w:rsid w:val="7CA13F21"/>
    <w:rsid w:val="7E867872"/>
    <w:rsid w:val="7EA0590B"/>
    <w:rsid w:val="7ED04CF2"/>
    <w:rsid w:val="7ED66BEF"/>
    <w:rsid w:val="7EF15D45"/>
    <w:rsid w:val="7F0D25F0"/>
    <w:rsid w:val="7F1A294E"/>
    <w:rsid w:val="7F1B445E"/>
    <w:rsid w:val="7F6D27E0"/>
    <w:rsid w:val="7F9935D5"/>
    <w:rsid w:val="7FDC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8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4">
    <w:name w:val="页脚 字符"/>
    <w:basedOn w:val="8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58</Words>
  <Characters>82</Characters>
  <Lines>1</Lines>
  <Paragraphs>1</Paragraphs>
  <TotalTime>46</TotalTime>
  <ScaleCrop>false</ScaleCrop>
  <LinksUpToDate>false</LinksUpToDate>
  <CharactersWithSpaces>86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2024-03-28T21:20:00Z</dcterms:created>
  <dc:creator>楸峰 丛</dc:creator>
  <cp:lastModifiedBy>肖族源</cp:lastModifiedBy>
  <cp:lastPrinted>2025-11-15T03:22:00Z</cp:lastPrinted>
  <dcterms:modified xsi:type="dcterms:W3CDTF">2026-10-27T12:02:36Z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2025-10-25T16:02:25Z</vt:filetime>
  </property>
  <property fmtid="{D5CDD505-2E9C-101B-9397-08002B2CF9AE}" pid="4" name="KSOTemplateDocerSaveRecord">
    <vt:lpwstr>eyJoZGlkIjoiYzBkNmI0NGU1YWZlNWQyNzdhY2I5ODE2ODE1NDhmOWUiLCJ1c2VySWQiOiIxOTIyMjYzNzQ5In0=</vt:lpwstr>
  </property>
  <property fmtid="{D5CDD505-2E9C-101B-9397-08002B2CF9AE}" pid="5" name="KSOProductBuildVer">
    <vt:lpwstr>2052-12.1.0.29161</vt:lpwstr>
  </property>
  <property fmtid="{D5CDD505-2E9C-101B-9397-08002B2CF9AE}" pid="6" name="ICV">
    <vt:lpwstr>CC374BADC81040619E6F2F516D7967C3_13</vt:lpwstr>
  </property>
</Properties>
</file>