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pacing w:val="20"/>
          <w:sz w:val="22"/>
          <w:szCs w:val="22"/>
        </w:rPr>
        <w:t xml:space="preserve">SECUREAGENTNET</w:t>
      </w:r>
    </w:p>
    <w:p>
      <w:pPr>
        <w:pStyle w:val="Title"/>
        <w:spacing w:after="80"/>
      </w:pPr>
      <w:r>
        <w:t xml:space="preserve">Current Workflow</w:t>
      </w:r>
    </w:p>
    <w:p>
      <w:pPr>
        <w:spacing w:after="400"/>
      </w:pPr>
      <w:r>
        <w:rPr>
          <w:i/>
          <w:iCs/>
          <w:color w:val="5B6670"/>
        </w:rPr>
        <w:t xml:space="preserve">How a prompt moves through the GUI pipeline today — role detection, five-signal fusion, and the conditional red-team/unlearn stages.</w:t>
      </w:r>
    </w:p>
    <w:p>
      <w:pPr>
        <w:pStyle w:val="Heading1"/>
        <w:spacing w:after="200" w:before="400"/>
      </w:pPr>
      <w:r>
        <w:t xml:space="preserve">1. End-to-End Flow</w:t>
      </w:r>
    </w:p>
    <w:p>
      <w:pPr>
        <w:spacing w:after="160"/>
      </w:pPr>
      <w:r>
        <w:t xml:space="preserve">A single prompt runs through role detection, a five-signal fused risk decision, and two conditional follow-on stages that only appear when the pipeline actually needs them.</w:t>
      </w:r>
    </w:p>
    <w:p>
      <w:pPr>
        <w:spacing w:after="200"/>
      </w:pPr>
      <w:r>
        <w:rPr>
          <w:b/>
          <w:bCs/>
          <w:color w:val="1F4E5F"/>
        </w:rPr>
        <w:t xml:space="preserve">1. </w:t>
      </w:r>
      <w:r>
        <w:rPr>
          <w:b/>
          <w:bCs/>
        </w:rPr>
        <w:t xml:space="preserve">Submit — </w:t>
      </w:r>
      <w:r>
        <w:t xml:space="preserve">The user enters a prompt and clicks Submit. This calls /api/analyze only — no red-teaming or unlearning happens yet, and nothing reaches a real agent until the decision below clears it.</w:t>
      </w:r>
    </w:p>
    <w:p>
      <w:pPr>
        <w:spacing w:after="200"/>
      </w:pPr>
      <w:r>
        <w:rPr>
          <w:b/>
          <w:bCs/>
          <w:color w:val="1F4E5F"/>
        </w:rPr>
        <w:t xml:space="preserve">2. </w:t>
      </w:r>
      <w:r>
        <w:rPr>
          <w:b/>
          <w:bCs/>
        </w:rPr>
        <w:t xml:space="preserve">Role auto-detection — </w:t>
      </w:r>
      <w:r>
        <w:t xml:space="preserve">detect_role() matches the prompt against six role keyword sets (email, file, research, calendar, code-exec, support) using left-word-boundary regex to avoid substring collisions (e.g. "mail" no longer matches inside "blackmail"). If nothing matches, the response honestly reports role_matched=false instead of silently guessing a role.</w:t>
      </w:r>
    </w:p>
    <w:p>
      <w:pPr>
        <w:spacing w:after="200"/>
      </w:pPr>
      <w:r>
        <w:rPr>
          <w:b/>
          <w:bCs/>
          <w:color w:val="1F4E5F"/>
        </w:rPr>
        <w:t xml:space="preserve">3. </w:t>
      </w:r>
      <w:r>
        <w:rPr>
          <w:b/>
          <w:bCs/>
        </w:rPr>
        <w:t xml:space="preserve">Fused decision — </w:t>
      </w:r>
      <w:r>
        <w:t xml:space="preserve">Five signals are computed and blended by FusionEngine.fuse_signals(): the DistilBERT injection score, an ABAC privilege check, a digital-twin sandbox simulation of the requested tool call, a provenance trust score, and a behavioral anomaly score. The blend routes to Allow, Flag, or Block, with a plain-language reason (e.g. "Blocked before reaching the agent: risk_score 0.94 &gt; block_risk_threshold 0.85").</w:t>
      </w:r>
    </w:p>
    <w:p>
      <w:pPr>
        <w:spacing w:after="200"/>
      </w:pPr>
      <w:r>
        <w:rPr>
          <w:b/>
          <w:bCs/>
          <w:color w:val="1F4E5F"/>
        </w:rPr>
        <w:t xml:space="preserve">4. </w:t>
      </w:r>
      <w:r>
        <w:rPr>
          <w:b/>
          <w:bCs/>
        </w:rPr>
        <w:t xml:space="preserve">Red-team loop (conditional) — </w:t>
      </w:r>
      <w:r>
        <w:t xml:space="preserve">A "Run Red-Team Loop" button appears only when the decision is Block or Flag. It calls /api/redteam, which prefers the real LLMAttackGenerator (via TOKENROUTER credentials) and falls back automatically to a RuleBasedAttackGenerator if the LLM call is unavailable or times out. It runs 3 rounds x 8 variants against the live detector and calibration threshold, and reports which generator actually ran plus how many variants evaded per round.</w:t>
      </w:r>
    </w:p>
    <w:p>
      <w:pPr>
        <w:spacing w:after="200"/>
      </w:pPr>
      <w:r>
        <w:rPr>
          <w:b/>
          <w:bCs/>
          <w:color w:val="1F4E5F"/>
        </w:rPr>
        <w:t xml:space="preserve">5. </w:t>
      </w:r>
      <w:r>
        <w:rPr>
          <w:b/>
          <w:bCs/>
        </w:rPr>
        <w:t xml:space="preserve">Unlearn (conditional) — </w:t>
      </w:r>
      <w:r>
        <w:t xml:space="preserve">After red-teaming completes, an "Unlearn This Red-Team Session" button appears. It calls /api/unlearn, which reverts exactly that session's calibration threshold (CalibrationLayer.restore()) and removes the memory-index entries it added (AttackMemoryIndex.remove_texts()) — confirmed via /api/status returning to the pre-session baseline. If no evasions were found, this is effectively a no-op confirmation.</w:t>
      </w:r>
    </w:p>
    <w:p>
      <w:pPr>
        <w:pStyle w:val="Heading1"/>
        <w:spacing w:after="200" w:before="400"/>
      </w:pPr>
      <w:r>
        <w:t xml:space="preserve">2. The Five Signals Behind Step 3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1600"/>
      </w:tblGrid>
      <w:tr>
        <w:trPr>
          <w:tblHeader/>
        </w:trPr>
        <w:tc>
          <w:tcPr>
            <w:tcW w:type="dxa" w:w="3200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Signal</w:t>
            </w:r>
          </w:p>
        </w:tc>
        <w:tc>
          <w:tcPr>
            <w:tcW w:type="dxa" w:w="4800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What it checks</w:t>
            </w:r>
          </w:p>
        </w:tc>
        <w:tc>
          <w:tcPr>
            <w:tcW w:type="dxa" w:w="1600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Blend weight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Injection score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DistilBERT detector's raw risk score on the prompt text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0.86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Behavioral anomaly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Deviation from this session's established behavior baseline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0.06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Source trust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Provenance-tracked trust score of where the request originated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0.05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Privilege deviation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Whether the requested tool call is out of scope for the detected role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0.01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Session history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Recent flag rate for this session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0.005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Digital twin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Whether a sandboxed simulation of the tool call flagged the outcome unsafe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0.015</w:t>
            </w:r>
          </w:p>
        </w:tc>
      </w:tr>
    </w:tbl>
    <w:p>
      <w:pPr>
        <w:spacing w:after="300" w:before="200"/>
      </w:pPr>
    </w:p>
    <w:p>
      <w:pPr>
        <w:spacing w:after="160"/>
      </w:pPr>
      <w:r>
        <w:t xml:space="preserve">Privilege and digital-twin each carry a small blend weight deliberately — their real power is a separate hard gate (an out-of-scope call combined with a raw injection score above 0.4 blocks outright regardless of the blended total), not this weighted sum. This avoids double-counting the same signal through two paths.</w:t>
      </w:r>
    </w:p>
    <w:p>
      <w:pPr>
        <w:pStyle w:val="Heading1"/>
        <w:spacing w:after="200" w:before="400"/>
      </w:pPr>
      <w:r>
        <w:t xml:space="preserve">3. Fusion Decision Rule (current defaults)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Block — blended risk score &gt; 0.85, or the request is out-of-scope for the role AND the raw injection score &gt; 0.40 (the combo-risk branch, unaffected by the threshold above).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Flag — blended risk score &gt; 0.30 and not already blocked. Flag still lets the tool call execute; it's logged for review, not held.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Allow — everything else.</w:t>
      </w:r>
    </w:p>
    <w:p>
      <w:pPr>
        <w:spacing w:after="300" w:before="100"/>
      </w:pPr>
    </w:p>
    <w:p>
      <w:pPr>
        <w:spacing w:after="160"/>
      </w:pPr>
      <w:r>
        <w:rPr>
          <w:color w:val="5B6670"/>
        </w:rPr>
        <w:t xml:space="preserve">The block threshold was raised from 0.70 to 0.85 after measuring that 0.70 was blocking about half of all legitimate requests on held-out data (Utility=0.507) — the detector's raw score distribution overlaps heavily between benign and attack text at that operating point. 0.85 measurably improves Utility across every configuration (+8-12 points), at a real, accepted cost: attacks that used to be caught only via the blended score crossing 0.70 now slip through more often, so the full five-signal stack's chained-attack catch rate (C-ASR) reverted from 79.8% to 87.2%, matching the simpler two-signal baseline. This was a deliberate usability/security tradeoff, not an oversight.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2026-08-14T04:03:18.442Z</dcterms:created>
  <dcterms:modified xsi:type="dcterms:W3CDTF">2026-08-14T04:03:18.443Z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