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pacing w:val="20"/>
          <w:sz w:val="22"/>
          <w:szCs w:val="22"/>
        </w:rPr>
        <w:t xml:space="preserve">SECUREAGENTNET</w:t>
      </w:r>
    </w:p>
    <w:p>
      <w:pPr>
        <w:pStyle w:val="Title"/>
        <w:spacing w:after="80"/>
      </w:pPr>
      <w:r>
        <w:t xml:space="preserve">Workflow &amp; Detector Benchmarks</w:t>
      </w:r>
    </w:p>
    <w:p>
      <w:pPr>
        <w:spacing w:after="400"/>
      </w:pPr>
      <w:r>
        <w:rPr>
          <w:i/>
          <w:iCs/>
          <w:color w:val="5B6670"/>
        </w:rPr>
        <w:t xml:space="preserve">How a prompt moves through the GUI pipeline, and the detector's real accuracy numbers in-distribution vs. held-out.</w:t>
      </w:r>
    </w:p>
    <w:p>
      <w:pPr>
        <w:pStyle w:val="Heading1"/>
        <w:spacing w:after="200" w:before="400"/>
      </w:pPr>
      <w:r>
        <w:t xml:space="preserve">1. Workflow</w:t>
      </w:r>
    </w:p>
    <w:p>
      <w:pPr>
        <w:spacing w:after="160"/>
      </w:pPr>
      <w:r>
        <w:t xml:space="preserve">The GUI runs a single prompt through role detection, a five-signal fused risk decision, and two conditional follow-on stages that only appear when the pipeline actually needs them.</w:t>
      </w:r>
    </w:p>
    <w:p>
      <w:pPr>
        <w:spacing w:after="200"/>
      </w:pPr>
      <w:r>
        <w:rPr>
          <w:b/>
          <w:bCs/>
          <w:color w:val="1F4E5F"/>
        </w:rPr>
        <w:t xml:space="preserve">1. </w:t>
      </w:r>
      <w:r>
        <w:rPr>
          <w:b/>
          <w:bCs/>
        </w:rPr>
        <w:t xml:space="preserve">Submit — </w:t>
      </w:r>
      <w:r>
        <w:t xml:space="preserve">The user enters a prompt and clicks Submit. This calls /api/analyze only — no red-teaming or unlearning happens yet.</w:t>
      </w:r>
    </w:p>
    <w:p>
      <w:pPr>
        <w:spacing w:after="200"/>
      </w:pPr>
      <w:r>
        <w:rPr>
          <w:b/>
          <w:bCs/>
          <w:color w:val="1F4E5F"/>
        </w:rPr>
        <w:t xml:space="preserve">2. </w:t>
      </w:r>
      <w:r>
        <w:rPr>
          <w:b/>
          <w:bCs/>
        </w:rPr>
        <w:t xml:space="preserve">Role auto-detection — </w:t>
      </w:r>
      <w:r>
        <w:t xml:space="preserve">detect_role() matches the prompt against six role keyword sets (email, file, research, calendar, code-exec, support) using left-word-boundary regex to avoid substring collisions (e.g. "mail" no longer matches inside "blackmail"). If nothing matches, the response honestly reports role_matched=false instead of silently guessing.</w:t>
      </w:r>
    </w:p>
    <w:p>
      <w:pPr>
        <w:spacing w:after="200"/>
      </w:pPr>
      <w:r>
        <w:rPr>
          <w:b/>
          <w:bCs/>
          <w:color w:val="1F4E5F"/>
        </w:rPr>
        <w:t xml:space="preserve">3. </w:t>
      </w:r>
      <w:r>
        <w:rPr>
          <w:b/>
          <w:bCs/>
        </w:rPr>
        <w:t xml:space="preserve">Fused decision — </w:t>
      </w:r>
      <w:r>
        <w:t xml:space="preserve">Five signals are computed and blended by FusionEngine.fuse_signals(): the DistilBERT injection score, an ABAC privilege check, a digital-twin sandbox simulation of the requested tool call, a provenance trust score, and a behavioral anomaly score. The result is Allow, Flag, or Block, with a plain-language reason (e.g. "Blocked before reaching the agent: ...").</w:t>
      </w:r>
    </w:p>
    <w:p>
      <w:pPr>
        <w:spacing w:after="200"/>
      </w:pPr>
      <w:r>
        <w:rPr>
          <w:b/>
          <w:bCs/>
          <w:color w:val="1F4E5F"/>
        </w:rPr>
        <w:t xml:space="preserve">4. </w:t>
      </w:r>
      <w:r>
        <w:rPr>
          <w:b/>
          <w:bCs/>
        </w:rPr>
        <w:t xml:space="preserve">Red-team loop (conditional) — </w:t>
      </w:r>
      <w:r>
        <w:t xml:space="preserve">A "Run Red-Team Loop" button appears only when the decision is Block or Flag. It calls /api/redteam, which prefers the real LLMAttackGenerator (via TOKENROUTER credentials) and falls back automatically to a RuleBasedAttackGenerator if the LLM call is unavailable or times out. It runs 3 rounds × 8 variants against the live detector and calibration threshold, and reports which generator actually ran.</w:t>
      </w:r>
    </w:p>
    <w:p>
      <w:pPr>
        <w:spacing w:after="200"/>
      </w:pPr>
      <w:r>
        <w:rPr>
          <w:b/>
          <w:bCs/>
          <w:color w:val="1F4E5F"/>
        </w:rPr>
        <w:t xml:space="preserve">5. </w:t>
      </w:r>
      <w:r>
        <w:rPr>
          <w:b/>
          <w:bCs/>
        </w:rPr>
        <w:t xml:space="preserve">Unlearn (conditional) — </w:t>
      </w:r>
      <w:r>
        <w:t xml:space="preserve">After red-teaming completes, an "Unlearn This Red-Team Session" button appears. It calls /api/unlearn, which reverts exactly that session's calibration threshold (CalibrationLayer.restore()) and removes the memory-index entries it added (AttackMemoryIndex.remove_texts()) — confirmed via /api/status returning to the pre-session baseline.</w:t>
      </w:r>
    </w:p>
    <w:p>
      <w:pPr>
        <w:pStyle w:val="Heading2"/>
        <w:spacing w:after="150" w:before="300"/>
      </w:pPr>
      <w:r>
        <w:t xml:space="preserve">Fusion decision rule</w:t>
      </w:r>
    </w:p>
    <w:p>
      <w:pPr>
        <w:spacing w:after="160"/>
      </w:pPr>
      <w:r>
        <w:t xml:space="preserve">The blended risk score routes to one of three outcomes: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Block — risk score &gt; 0.70, or the request is out-of-scope for the role AND the raw injection score &gt; 0.40 (the combo-risk branch).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Flag — risk score &gt; 0.30 and not already blocked.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 — everything else.</w:t>
      </w:r>
    </w:p>
    <w:p>
      <w:pPr>
        <w:pStyle w:val="Heading1"/>
        <w:spacing w:after="200" w:before="400"/>
      </w:pPr>
      <w:r>
        <w:t xml:space="preserve">2. Detector Accuracy Benchmarks</w:t>
      </w:r>
    </w:p>
    <w:p>
      <w:pPr>
        <w:spacing w:after="160"/>
      </w:pPr>
      <w:r>
        <w:t xml:space="preserve">Metrics for the v3 DistilBERT checkpoint, comparing in-distribution validation data against the held-out qualifire test set (never seen during training).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00"/>
        <w:gridCol w:w="3900"/>
      </w:tblGrid>
      <w:tr>
        <w:trPr>
          <w:tblHeader/>
        </w:trPr>
        <w:tc>
          <w:tcPr>
            <w:tcW w:type="dxa" w:w="42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9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Validation (in-distribution)</w:t>
            </w:r>
          </w:p>
        </w:tc>
        <w:tc>
          <w:tcPr>
            <w:tcW w:type="dxa" w:w="39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Held-out test (qualifire)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Accuracy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95.2%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59.7%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Precision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49.8%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Recall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91.7%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F1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96.6%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64.6%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AUC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98.95%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74.6%</w:t>
            </w:r>
          </w:p>
        </w:tc>
      </w:tr>
    </w:tbl>
    <w:p>
      <w:pPr>
        <w:spacing w:after="300" w:before="200"/>
      </w:pPr>
    </w:p>
    <w:p>
      <w:pPr>
        <w:spacing w:after="160"/>
      </w:pPr>
      <w:r>
        <w:t xml:space="preserve">This is a real generalization gap, not glossed over: recall stays high on the held-out set (91.7% — it still catches most attacks) but precision drops to 49.8%, meaning close to half of what it flags on qualifire is a false positive. Accuracy and F1 fall accordingly. This is exactly why the pipeline never relies on the detector score alone — it is one of five fused signals, and the ABAC privilege check and digital-twin sandbox are what keep the overall block rate on legitimate traffic in check.</w:t>
      </w:r>
    </w:p>
    <w:p>
      <w:pPr>
        <w:pStyle w:val="Heading1"/>
        <w:spacing w:after="200" w:before="400"/>
      </w:pPr>
      <w:r>
        <w:t xml:space="preserve">3. Fusion-Level Pipeline Metrics</w:t>
      </w:r>
    </w:p>
    <w:p>
      <w:pPr>
        <w:spacing w:after="160"/>
      </w:pPr>
      <w:r>
        <w:t xml:space="preserve">Measured against 5,000 qualifire examples with the v3 detector, after fixing the C-ASR combo-branch calibration bug. Columns: Attack Success Rate, Calibrated-ASR (in-scope attacks only), False Positive Rate, False Negative Rate, and Utility (legitimate requests correctly allowed).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15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ASR</w:t>
            </w:r>
          </w:p>
        </w:tc>
        <w:tc>
          <w:tcPr>
            <w:tcW w:type="dxa" w:w="15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C-ASR</w:t>
            </w:r>
          </w:p>
        </w:tc>
        <w:tc>
          <w:tcPr>
            <w:tcW w:type="dxa" w:w="15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FPR</w:t>
            </w:r>
          </w:p>
        </w:tc>
        <w:tc>
          <w:tcPr>
            <w:tcW w:type="dxa" w:w="15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FNR</w:t>
            </w:r>
          </w:p>
        </w:tc>
        <w:tc>
          <w:tcPr>
            <w:tcW w:type="dxa" w:w="1500"/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Utility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2-signal (original)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8.74%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87.16%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61.70%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8.34%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45.51%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+ digital twin alone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12.88%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87.16%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61.70%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8.34%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63.80%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+ provenance alone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10.48%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87.16%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61.70%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8.34%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55.99%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+ behavioral + twin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12.08%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87.16%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61.70%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8.34%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56.86%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+ behavioral + twin + provenance (full stack)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9.29%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7A46"/>
              </w:rPr>
              <w:t xml:space="preserve">79.82%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61.70%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8.34%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</w:rPr>
              <w:t xml:space="preserve">50.68%</w:t>
            </w:r>
          </w:p>
        </w:tc>
      </w:tr>
    </w:tbl>
    <w:p>
      <w:pPr>
        <w:spacing w:after="300" w:before="200"/>
      </w:pPr>
    </w:p>
    <w:p>
      <w:pPr>
        <w:spacing w:after="160"/>
      </w:pPr>
      <w:r>
        <w:t xml:space="preserve">C-ASR only improves when all three additional signals combine — any one of them added alone leaves it unchanged at 87.16%. The full stack brings C-ASR down to 79.82%, a genuine improvement over the 2-signal baseline. (An earlier internal note described C-ASR as "identical across every configuration" — that was true only for the partial configurations; the full-stack number is corrected here.)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2026-08-12T06:14:58.572Z</dcterms:created>
  <dcterms:modified xsi:type="dcterms:W3CDTF">2026-08-12T06:14:58.573Z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