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Default Extension="gif" ContentType="image/gif"/>
  <Default Extension="bmp" ContentType="image/bmp"/>
  <Default Extension="svg" ContentType="image/sv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9638"/>
      </w:tblGrid>
      <w:tr>
        <w:tc>
          <w:tcPr>
            <w:tcW w:w="9638" w:type="dxa"/>
            <w:shd w:val="clear" w:color="auto" w:fill="1F3864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PROCÉDURE OPÉRATOIRE</w:t>
            </w:r>
          </w:p>
          <w:p>
            <w:pPr>
              <w:spacing w:before="0" w:after="60"/>
            </w:pPr>
            <w:r>
              <w:rPr>
                <w:b/>
                <w:color w:val="FFFFFF"/>
                <w:sz w:val="36"/>
                <w:szCs w:val="36"/>
              </w:rPr>
              <w:t xml:space="preserve">Remplacement courroie convoyeur</w:t>
            </w:r>
          </w:p>
        </w:tc>
      </w:tr>
    </w:tbl>
    <w:p>
      <w:pPr/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3000"/>
        <w:gridCol w:w="6638"/>
      </w:tblGrid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Équipement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Convoyeur principal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Rédacteur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Jean-Marc Dupont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Date de rédaction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23/10/2026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Outillage / pièces nécessaires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Clé de 13, courroie réf. A-123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Durée estimée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45 min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Statut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rPr>
                <w:b/>
                <w:color w:val="C00000"/>
              </w:rPr>
              <w:t xml:space="preserve">BROUILLON – NON VALIDÉ</w:t>
            </w:r>
          </w:p>
        </w:tc>
      </w:tr>
    </w:tbl>
    <w:p>
      <w:pPr>
        <w:pStyle w:val="Titre1"/>
      </w:pPr>
      <w:r>
        <w:t xml:space="preserve">1. Sécurité</w:t>
      </w:r>
    </w:p>
    <w:p>
      <w:pPr>
        <w:pStyle w:val="SousTitre"/>
      </w:pPr>
      <w:r>
        <w:rPr>
          <w:b/>
        </w:rPr>
        <w:t xml:space="preserve">Équipements de protection individuelle (EPI) requis</w:t>
      </w:r>
    </w:p>
    <w:p>
      <w:pPr>
        <w:spacing w:before="0" w:after="40"/>
      </w:pPr>
      <w:r>
        <w:rPr>
          <w:color w:val="7F7F7F"/>
        </w:rPr>
        <w:t xml:space="preserve">Aucun EPI renseigné.</w:t>
      </w:r>
    </w:p>
    <w:p>
      <w:pPr>
        <w:pStyle w:val="SousTitre"/>
      </w:pPr>
      <w:r>
        <w:rPr>
          <w:b/>
        </w:rPr>
        <w:t xml:space="preserve">Conditions de sécurité</w:t>
      </w:r>
    </w:p>
    <w:p>
      <w:pPr>
        <w:spacing w:before="0" w:after="40"/>
      </w:pPr>
      <w:r>
        <w:rPr>
          <w:color w:val="7F7F7F"/>
        </w:rPr>
        <w:t xml:space="preserve">Aucune condition renseignée.</w:t>
      </w:r>
    </w:p>
    <w:p>
      <w:pPr>
        <w:pStyle w:val="SousTitre"/>
      </w:pPr>
      <w:r>
        <w:rPr>
          <w:b/>
        </w:rPr>
        <w:t xml:space="preserve">Autres risques / précautions</w:t>
      </w:r>
    </w:p>
    <w:p>
      <w:pPr>
        <w:spacing w:before="0" w:after="40"/>
      </w:pPr>
      <w:r>
        <w:t xml:space="preserve">Attention aux pièces chaudes</w:t>
      </w:r>
    </w:p>
    <w:p>
      <w:pPr>
        <w:pStyle w:val="Titre1"/>
      </w:pPr>
      <w:r>
        <w:t xml:space="preserve">2. Mode opératoire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850"/>
        <w:gridCol w:w="4650"/>
        <w:gridCol w:w="4138"/>
      </w:tblGrid>
      <w:tr>
        <w:trPr>
          <w:tblHeader/>
        </w:trPr>
        <w:tc>
          <w:tcPr>
            <w:tcW w:w="850" w:type="dxa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 xml:space="preserve">N°</w:t>
            </w:r>
          </w:p>
        </w:tc>
        <w:tc>
          <w:tcPr>
            <w:tcW w:w="4650" w:type="dxa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Photo(s)</w:t>
            </w:r>
          </w:p>
        </w:tc>
        <w:tc>
          <w:tcPr>
            <w:tcW w:w="4138" w:type="dxa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Description / consignes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  <w:jc w:val="center"/>
            </w:pPr>
            <w:r>
              <w:rPr>
                <w:b/>
                <w:sz w:val="28"/>
                <w:szCs w:val="28"/>
              </w:rPr>
              <w:t xml:space="preserve">1</w:t>
            </w:r>
          </w:p>
        </w:tc>
        <w:tc>
          <w:tcPr>
            <w:tcW w:w="4650" w:type="dxa"/>
          </w:tcPr>
          <w:p>
            <w:pPr>
              <w:spacing w:before="0" w:after="60"/>
            </w:pPr>
            <w:r>
              <w:drawing>
                <wp:inline distT="0" distB="0" distL="0" distR="0">
                  <wp:extent cx="2844000" cy="213300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000" cy="213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/>
            </w:pPr>
            <w:r>
              <w:drawing>
                <wp:inline distT="0" distB="0" distL="0" distR="0">
                  <wp:extent cx="2835000" cy="3780000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000" cy="37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  <w:r>
              <w:t xml:space="preserve">
                Consigner le convoyeur.
                <w:br/>
                Poser le cadenas.
              </w:t>
            </w:r>
          </w:p>
        </w:tc>
      </w:tr>
      <w:tr>
        <w:tc>
          <w:tcPr>
            <w:tcW w:w="850" w:type="dxa"/>
            <w:shd w:val="clear" w:color="auto" w:fill="C00000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36"/>
                <w:szCs w:val="36"/>
              </w:rPr>
              <w:t xml:space="preserve">⚠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w="4650" w:type="dxa"/>
            <w:shd w:val="clear" w:color="auto" w:fill="FDE2E2"/>
          </w:tcPr>
          <w:p>
            <w:pPr>
              <w:spacing w:before="0" w:after="60"/>
            </w:pPr>
            <w:r>
              <w:drawing>
                <wp:inline distT="0" distB="0" distL="0" distR="0">
                  <wp:extent cx="2844000" cy="2133000"/>
                  <wp:docPr id="3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000" cy="213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</w:p>
        </w:tc>
        <w:tc>
          <w:tcPr>
            <w:tcW w:w="4138" w:type="dxa"/>
            <w:shd w:val="clear" w:color="auto" w:fill="FDE2E2"/>
          </w:tcPr>
          <w:p>
            <w:pPr>
              <w:shd w:val="clear" w:color="auto" w:fill="C00000"/>
              <w:spacing w:before="0" w:after="80"/>
            </w:pPr>
            <w:r>
              <w:rPr>
                <w:b/>
                <w:color w:val="FFFFFF"/>
              </w:rPr>
              <w:t xml:space="preserve">⚠ POINT CRITIQUE / DANGER</w:t>
            </w:r>
          </w:p>
          <w:p>
            <w:pPr>
              <w:spacing w:before="0" w:after="0"/>
            </w:pPr>
            <w:r>
              <w:rPr>
                <w:b/>
              </w:rPr>
              <w:t xml:space="preserve">Détendre la courroie &amp; retirer &lt;ancienne&gt;.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  <w:jc w:val="center"/>
            </w:pPr>
            <w:r>
              <w:rPr>
                <w:b/>
                <w:sz w:val="28"/>
                <w:szCs w:val="28"/>
              </w:rPr>
              <w:t xml:space="preserve">3</w:t>
            </w:r>
          </w:p>
        </w:tc>
        <w:tc>
          <w:tcPr>
            <w:tcW w:w="4650" w:type="dxa"/>
          </w:tcPr>
          <w:p>
            <w:pPr>
              <w:spacing w:before="0" w:after="60"/>
            </w:pPr>
            <w:r>
              <w:drawing>
                <wp:inline distT="0" distB="0" distL="0" distR="0">
                  <wp:extent cx="2844000" cy="1896593"/>
                  <wp:docPr id="4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000" cy="1896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  <w:r>
              <w:t xml:space="preserve"> </w:t>
            </w:r>
          </w:p>
        </w:tc>
      </w:tr>
    </w:tbl>
    <w:p>
      <w:pPr>
        <w:pStyle w:val="Titre1"/>
      </w:pPr>
      <w:r>
        <w:t xml:space="preserve">3. Validation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1900"/>
        <w:gridCol w:w="2300"/>
        <w:gridCol w:w="2000"/>
        <w:gridCol w:w="1500"/>
        <w:gridCol w:w="1938"/>
      </w:tblGrid>
      <w:tr>
        <w:tc>
          <w:tcPr>
            <w:tcW w:w="19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Étape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Nom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Fonction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Date</w:t>
            </w:r>
          </w:p>
        </w:tc>
        <w:tc>
          <w:tcPr>
            <w:tcW w:w="1938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Visa</w:t>
            </w:r>
          </w:p>
        </w:tc>
      </w:tr>
      <w:tr>
        <w:trPr>
          <w:trHeight w:val="700"/>
        </w:trPr>
        <w:tc>
          <w:tcPr>
            <w:tcW w:w="1900" w:type="dxa"/>
          </w:tcPr>
          <w:p>
            <w:pPr>
              <w:spacing w:before="0" w:after="0"/>
            </w:pPr>
            <w:r>
              <w:t xml:space="preserve">Rédaction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t xml:space="preserve">Jean-Marc Dupont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t xml:space="preserve">23/10/2026</w:t>
            </w:r>
          </w:p>
        </w:tc>
        <w:tc>
          <w:tcPr>
            <w:tcW w:w="1938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trHeight w:val="700"/>
        </w:trPr>
        <w:tc>
          <w:tcPr>
            <w:tcW w:w="1900" w:type="dxa"/>
          </w:tcPr>
          <w:p>
            <w:pPr>
              <w:spacing w:before="0" w:after="0"/>
            </w:pPr>
            <w:r>
              <w:t xml:space="preserve">Vérification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938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trHeight w:val="700"/>
        </w:trPr>
        <w:tc>
          <w:tcPr>
            <w:tcW w:w="1900" w:type="dxa"/>
          </w:tcPr>
          <w:p>
            <w:pPr>
              <w:spacing w:before="0" w:after="0"/>
            </w:pPr>
            <w:r>
              <w:t xml:space="preserve">Approbation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938" w:type="dxa"/>
          </w:tcPr>
          <w:p>
            <w:pPr>
              <w:spacing w:before="0" w:after="0"/>
            </w:pPr>
            <w:r>
              <w:t xml:space="preserve"/>
            </w:r>
          </w:p>
        </w:tc>
      </w:tr>
    </w:tbl>
    <w:sectPr>
      <w:headerReference w:type="default" r:id="rIdEntete"/>
      <w:footerReference w:type="default" r:id="rIdPied"/>
      <w:pgSz w:w="11906" w:h="16838"/>
      <w:pgMar w:top="1418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>
  <w:p>
    <w:pPr>
      <w:pStyle w:val="PiedPage"/>
      <w:tabs>
        <w:tab w:val="right" w:pos="9638"/>
      </w:tabs>
    </w:pPr>
    <w:r>
      <w:rPr>
        <w:color w:val="7F7F7F"/>
        <w:sz w:val="16"/>
        <w:szCs w:val="16"/>
      </w:rPr>
      <w:t xml:space="preserve">Remplacement courroie convoyeur</w:t>
      <w:t xml:space="preserve"> – BROUILLON du </w:t>
      <w:t xml:space="preserve">23/10/2026</w:t>
    </w:r>
    <w:r>
      <w:rPr>
        <w:color w:val="7F7F7F"/>
        <w:sz w:val="16"/>
      </w:rPr>
      <w:tab/>
      <w:t xml:space="preserve">Page </w:t>
    </w:r>
    <w:fldSimple w:instr=" PAGE ">
      <w:r>
        <w:rPr>
          <w:color w:val="7F7F7F"/>
          <w:sz w:val="16"/>
        </w:rPr>
        <w:t xml:space="preserve">1</w:t>
      </w:r>
    </w:fldSimple>
    <w:r>
      <w:rPr>
        <w:color w:val="7F7F7F"/>
        <w:sz w:val="16"/>
        <w:szCs w:val="16"/>
      </w:rPr>
      <w:t xml:space="preserve"> / </w:t>
    </w:r>
    <w:fldSimple w:instr=" NUMPAGES ">
      <w:r>
        <w:rPr>
          <w:color w:val="7F7F7F"/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>
  <w:p>
    <w:pPr>
      <w:pStyle w:val="EnTete"/>
      <w:pBdr>
        <w:bottom w:val="single" w:sz="12" w:space="4" w:color="C00000"/>
      </w:pBdr>
      <w:jc w:val="center"/>
    </w:pPr>
    <w:r>
      <w:rPr>
        <w:b/>
        <w:color w:val="C00000"/>
        <w:sz w:val="28"/>
        <w:szCs w:val="28"/>
      </w:rPr>
      <w:t xml:space="preserve">BROUILLON – NON VALIDÉ</w:t>
    </w:r>
    <w:r>
      <w:rPr>
        <w:color w:val="7F7F7F"/>
        <w:sz w:val="16"/>
        <w:szCs w:val="16"/>
      </w:rPr>
      <w:t xml:space="preserve">   ·   Ne pas appliquer avant validation</w:t>
    </w:r>
  </w:p>
  <w:p>
    <w:pPr>
      <w:pStyle w:val="EnTe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5" o:spid="_x0000_s2049" type="#_x0000_t136" style="position:absolute;margin-left:0;margin-top:0;width:480pt;height:120pt;rotation:315;z-index:-251657216;mso-position-horizontal:center;mso-position-horizontal-relative:margin;mso-position-vertical:center;mso-position-vertical-relative:margin" o:allowincell="f" fillcolor="#ff7c80" stroked="f">
          <v:fill opacity=".3"/>
          <v:textpath style="font-family:&quot;Calibri&quot;;font-size:1pt" string="BROUILLON"/>
          <w10:wrap anchorx="margin" anchory="margin"/>
        </v:shape>
      </w:pict>
    </w:r>
  </w:p>
</w:hdr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fr-FR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pBdr>
        <w:bottom w:val="single" w:sz="8" w:space="2" w:color="1F3864"/>
      </w:pBdr>
      <w:spacing w:before="360" w:after="160"/>
      <w:outlineLvl w:val="0"/>
    </w:pPr>
    <w:rPr>
      <w:b/>
      <w:color w:val="1F3864"/>
      <w:sz w:val="28"/>
      <w:szCs w:val="28"/>
    </w:rPr>
  </w:style>
  <w:style w:type="paragraph" w:styleId="SousTitre">
    <w:name w:val="heading 2"/>
    <w:basedOn w:val="Normal"/>
    <w:next w:val="Normal"/>
    <w:qFormat/>
    <w:pPr>
      <w:keepNext/>
      <w:spacing w:before="160" w:after="60"/>
      <w:outlineLvl w:val="1"/>
    </w:pPr>
    <w:rPr>
      <w:color w:val="1F3864"/>
    </w:rPr>
  </w:style>
  <w:style w:type="paragraph" w:styleId="EnTete">
    <w:name w:val="header"/>
    <w:basedOn w:val="Normal"/>
    <w:pPr>
      <w:spacing w:after="0"/>
    </w:pPr>
  </w:style>
  <w:style w:type="paragraph" w:styleId="PiedPage">
    <w:name w:val="footer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
  <Relationship Id="rIdStyles" Type="http://schemas.openxmlformats.org/officeDocument/2006/relationships/styles" Target="styles.xml"/>

  <Relationship Id="rIdSettings" Type="http://schemas.openxmlformats.org/officeDocument/2006/relationships/settings" Target="settings.xml"/>

  <Relationship Id="rIdEntete" Type="http://schemas.openxmlformats.org/officeDocument/2006/relationships/header" Target="header1.xml"/>

  <Relationship Id="rIdPied" Type="http://schemas.openxmlformats.org/officeDocument/2006/relationships/footer" Target="footer1.xml"/>
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Modèle de procédure (démonstration)</dc:title>
  <dc:creator>Procédures terrain</dc:creator>
</cp:coreProperties>
</file>