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Electricity and industrial production nowcasting in India</w:t>
      </w:r>
    </w:p>
    <w:p>
      <w:pPr>
        <w:pStyle w:val="Subtitle"/>
      </w:pPr>
      <w:r>
        <w:t>Integrated research draft for Professor Thiru</w:t>
        <w:br/>
        <w:t>National manufacturing and three industry groups</w:t>
        <w:br/>
        <w:t>MS Economics and Data Analytics  |  IIT Kanpur</w:t>
        <w:br/>
        <w:t>22 October 2026</w:t>
      </w:r>
    </w:p>
    <w:p>
      <w:pPr>
        <w:pStyle w:val="Heading1"/>
        <w:pageBreakBefore w:val="0"/>
      </w:pPr>
      <w:r>
        <w:t>Main conclusion</w:t>
      </w:r>
    </w:p>
    <w:p>
      <w:r>
        <w:t>This study does not establish a dependable forecasting gain from adding national grid electricity to the selected IIP forecasting models. In the 2024–2025 extension, the IIP-only benchmark outperforms every electricity setup in the full-history case. Strict removal of COVID-period fitting observations and all directly exposed annual bases and lags reduces errors substantially for every method, including the benchmark. Electricity then adds little: adjusted ridge is slightly worse for manufacturing, basic metals and non-metallic minerals, and only 0.033 percentage points better for apparel. The apparel interval includes both a gain and a loss.</w:t>
      </w:r>
    </w:p>
    <w:p>
      <w:r>
        <w:t>The contribution is an audited test of a plausible economic indicator, together with evidence that shock handling changes the forecasting exercise. The results support caution about the specific aggregate proxy, target groups, models and forecast dates studied. They do not establish that electricity contains no economic information or that the pandemic caused every forecasting failure.</w:t>
      </w:r>
    </w:p>
    <w:p>
      <w:pPr>
        <w:pStyle w:val="Heading1"/>
        <w:pageBreakBefore w:val="0"/>
      </w:pPr>
      <w:r>
        <w:t>1 Research question and contribution</w:t>
      </w:r>
    </w:p>
    <w:p>
      <w:r>
        <w:t>Can daily national electricity energy met improve a nowcast of manufacturing output growth before that month’s official IIP release? The original study addressed national manufacturing. The extension asks whether results differ for basic metals, other non-metallic mineral products and wearing apparel, while retaining national manufacturing as a reference. A second question asks whether conclusions survive a strict exclusion of observations directly exposed to the chosen systemic-shock block.</w:t>
      </w:r>
    </w:p>
    <w:p>
      <w:r>
        <w:t>A nowcast estimates a recent month whose production has already occurred but whose official statistic is still unpublished. Electricity is timely and is used in production, so it may help bridge the gap between daily information and monthly output. National demand also reflects cooling, households, irrigation and other activities. The target is therefore an empirical prediction question, not a measurement identity. Earlier research motivates the indicator but does not determine its usefulness in this Indian sample. [S5, S9, S10]</w:t>
      </w:r>
    </w:p>
    <w:p>
      <w:r>
        <w:t>The three candidates were fixed for economic contrast and source feasibility before extension test errors were examined. Basic metals contains iron and steel and other metal production. Other non-metallic mineral products includes cement as well as other products; it is not a cement-only index. BEE identifies iron and steel and cement among energy-intensive activities. Wearing apparel provides a contrasting production group. These facts motivate hypotheses; they do not supply a measured electricity-intensity ranking of the three complete IIP groups. [S2, S9]</w:t>
      </w:r>
    </w:p>
    <w:p>
      <w:pPr>
        <w:pStyle w:val="Heading1"/>
        <w:pageBreakBefore w:val="0"/>
      </w:pPr>
      <w:r>
        <w:t>2 Data and audit</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Pr>
      <w:tblGrid>
        <w:gridCol w:w="1800"/>
        <w:gridCol w:w="3672"/>
        <w:gridCol w:w="4320"/>
      </w:tblGrid>
      <w:tr>
        <w:trPr>
          <w:tblHeader/>
          <w:cantSplit/>
        </w:trPr>
        <w:tc>
          <w:tcPr>
            <w:tcW w:type="dxa" w:w="1800"/>
            <w:shd w:fill="EDEDED"/>
            <w:vAlign w:val="top"/>
          </w:tcPr>
          <w:p>
            <w:pPr>
              <w:spacing w:after="60" w:before="60" w:line="252" w:lineRule="auto"/>
            </w:pPr>
            <w:r>
              <w:rPr>
                <w:b/>
                <w:sz w:val="18"/>
              </w:rPr>
              <w:t>Input</w:t>
            </w:r>
          </w:p>
        </w:tc>
        <w:tc>
          <w:tcPr>
            <w:tcW w:type="dxa" w:w="3672"/>
            <w:shd w:fill="EDEDED"/>
            <w:vAlign w:val="top"/>
          </w:tcPr>
          <w:p>
            <w:pPr>
              <w:spacing w:after="60" w:before="60" w:line="252" w:lineRule="auto"/>
            </w:pPr>
            <w:r>
              <w:rPr>
                <w:b/>
                <w:sz w:val="18"/>
              </w:rPr>
              <w:t>Coverage and use</w:t>
            </w:r>
          </w:p>
        </w:tc>
        <w:tc>
          <w:tcPr>
            <w:tcW w:type="dxa" w:w="4320"/>
            <w:shd w:fill="EDEDED"/>
            <w:vAlign w:val="top"/>
          </w:tcPr>
          <w:p>
            <w:pPr>
              <w:spacing w:after="60" w:before="60" w:line="252" w:lineRule="auto"/>
            </w:pPr>
            <w:r>
              <w:rPr>
                <w:b/>
                <w:sz w:val="18"/>
              </w:rPr>
              <w:t>Evidence and qualification</w:t>
            </w:r>
          </w:p>
        </w:tc>
      </w:tr>
      <w:tr>
        <w:trPr>
          <w:cantSplit/>
        </w:trPr>
        <w:tc>
          <w:tcPr>
            <w:tcW w:type="dxa" w:w="1800"/>
            <w:vAlign w:val="top"/>
          </w:tcPr>
          <w:p>
            <w:pPr>
              <w:spacing w:after="60" w:before="60" w:line="252" w:lineRule="auto"/>
            </w:pPr>
            <w:r>
              <w:rPr>
                <w:b w:val="0"/>
                <w:sz w:val="18"/>
              </w:rPr>
              <w:t>IIP indices</w:t>
            </w:r>
          </w:p>
        </w:tc>
        <w:tc>
          <w:tcPr>
            <w:tcW w:type="dxa" w:w="3672"/>
            <w:vAlign w:val="top"/>
          </w:tcPr>
          <w:p>
            <w:pPr>
              <w:spacing w:after="60" w:before="60" w:line="252" w:lineRule="auto"/>
            </w:pPr>
            <w:r>
              <w:rPr>
                <w:b w:val="0"/>
                <w:sz w:val="18"/>
              </w:rPr>
              <w:t>Four targets, 144 monthly index values each from January 2014 to December 2025; 576 rows</w:t>
            </w:r>
          </w:p>
        </w:tc>
        <w:tc>
          <w:tcPr>
            <w:tcW w:type="dxa" w:w="4320"/>
            <w:vAlign w:val="top"/>
          </w:tcPr>
          <w:p>
            <w:pPr>
              <w:spacing w:after="60" w:before="60" w:line="252" w:lineRule="auto"/>
            </w:pPr>
            <w:r>
              <w:rPr>
                <w:b w:val="0"/>
                <w:sz w:val="18"/>
              </w:rPr>
              <w:t>Same historical 2011–12 base; revised values from frozen MoSPI API pages. Annual growth uses calendar-matched index ratios.</w:t>
            </w:r>
          </w:p>
        </w:tc>
      </w:tr>
      <w:tr>
        <w:trPr>
          <w:cantSplit/>
        </w:trPr>
        <w:tc>
          <w:tcPr>
            <w:tcW w:type="dxa" w:w="1800"/>
            <w:vAlign w:val="top"/>
          </w:tcPr>
          <w:p>
            <w:pPr>
              <w:spacing w:after="60" w:before="60" w:line="252" w:lineRule="auto"/>
            </w:pPr>
            <w:r>
              <w:rPr>
                <w:b w:val="0"/>
                <w:sz w:val="18"/>
              </w:rPr>
              <w:t>National energy met</w:t>
            </w:r>
          </w:p>
        </w:tc>
        <w:tc>
          <w:tcPr>
            <w:tcW w:type="dxa" w:w="3672"/>
            <w:vAlign w:val="top"/>
          </w:tcPr>
          <w:p>
            <w:pPr>
              <w:spacing w:after="60" w:before="60" w:line="252" w:lineRule="auto"/>
            </w:pPr>
            <w:r>
              <w:rPr>
                <w:b w:val="0"/>
                <w:sz w:val="18"/>
              </w:rPr>
              <w:t>Daily 2014–2025, MU or GWh; one MU is one million kWh</w:t>
            </w:r>
          </w:p>
        </w:tc>
        <w:tc>
          <w:tcPr>
            <w:tcW w:type="dxa" w:w="4320"/>
            <w:vAlign w:val="top"/>
          </w:tcPr>
          <w:p>
            <w:pPr>
              <w:spacing w:after="60" w:before="60" w:line="252" w:lineRule="auto"/>
            </w:pPr>
            <w:r>
              <w:rPr>
                <w:b w:val="0"/>
                <w:sz w:val="18"/>
              </w:rPr>
              <w:t>4383 calendar days, 4366 usable; 14 missing and 3 pre-existing quarantined days. All 731 added days have energy values.</w:t>
            </w:r>
          </w:p>
        </w:tc>
      </w:tr>
      <w:tr>
        <w:trPr>
          <w:cantSplit/>
        </w:trPr>
        <w:tc>
          <w:tcPr>
            <w:tcW w:type="dxa" w:w="1800"/>
            <w:vAlign w:val="top"/>
          </w:tcPr>
          <w:p>
            <w:pPr>
              <w:spacing w:after="60" w:before="60" w:line="252" w:lineRule="auto"/>
            </w:pPr>
            <w:r>
              <w:rPr>
                <w:b w:val="0"/>
                <w:sz w:val="18"/>
              </w:rPr>
              <w:t>Weather</w:t>
            </w:r>
          </w:p>
        </w:tc>
        <w:tc>
          <w:tcPr>
            <w:tcW w:type="dxa" w:w="3672"/>
            <w:vAlign w:val="top"/>
          </w:tcPr>
          <w:p>
            <w:pPr>
              <w:spacing w:after="60" w:before="60" w:line="252" w:lineRule="auto"/>
            </w:pPr>
            <w:r>
              <w:rPr>
                <w:b w:val="0"/>
                <w:sz w:val="18"/>
              </w:rPr>
              <w:t>Five fixed equally weighted points; daily mean, maximum and minimum temperatures</w:t>
            </w:r>
          </w:p>
        </w:tc>
        <w:tc>
          <w:tcPr>
            <w:tcW w:type="dxa" w:w="4320"/>
            <w:vAlign w:val="top"/>
          </w:tcPr>
          <w:p>
            <w:pPr>
              <w:spacing w:after="60" w:before="60" w:line="252" w:lineRule="auto"/>
            </w:pPr>
            <w:r>
              <w:rPr>
                <w:b w:val="0"/>
                <w:sz w:val="18"/>
              </w:rPr>
              <w:t>4383 complete days. Degree-day terms use each point’s daily mean. POWER UTC labels approximate grid IST labels.</w:t>
            </w:r>
          </w:p>
        </w:tc>
      </w:tr>
      <w:tr>
        <w:trPr>
          <w:cantSplit/>
        </w:trPr>
        <w:tc>
          <w:tcPr>
            <w:tcW w:type="dxa" w:w="1800"/>
            <w:vAlign w:val="top"/>
          </w:tcPr>
          <w:p>
            <w:pPr>
              <w:spacing w:after="60" w:before="60" w:line="252" w:lineRule="auto"/>
            </w:pPr>
            <w:r>
              <w:rPr>
                <w:b w:val="0"/>
                <w:sz w:val="18"/>
              </w:rPr>
              <w:t>Calendar</w:t>
            </w:r>
          </w:p>
        </w:tc>
        <w:tc>
          <w:tcPr>
            <w:tcW w:type="dxa" w:w="3672"/>
            <w:vAlign w:val="top"/>
          </w:tcPr>
          <w:p>
            <w:pPr>
              <w:spacing w:after="60" w:before="60" w:line="252" w:lineRule="auto"/>
            </w:pPr>
            <w:r>
              <w:rPr>
                <w:b w:val="0"/>
                <w:sz w:val="18"/>
              </w:rPr>
              <w:t>Republic Day, Independence Day, Gandhi Jayanti and a three-day Diwali window</w:t>
            </w:r>
          </w:p>
        </w:tc>
        <w:tc>
          <w:tcPr>
            <w:tcW w:type="dxa" w:w="4320"/>
            <w:vAlign w:val="top"/>
          </w:tcPr>
          <w:p>
            <w:pPr>
              <w:spacing w:after="60" w:before="60" w:line="252" w:lineRule="auto"/>
            </w:pPr>
            <w:r>
              <w:rPr>
                <w:b w:val="0"/>
                <w:sz w:val="18"/>
              </w:rPr>
              <w:t>Small checked proxy; not a calendar of every state or factory closure.</w:t>
            </w:r>
          </w:p>
        </w:tc>
      </w:tr>
      <w:tr>
        <w:trPr>
          <w:cantSplit/>
        </w:trPr>
        <w:tc>
          <w:tcPr>
            <w:tcW w:type="dxa" w:w="1800"/>
            <w:vAlign w:val="top"/>
          </w:tcPr>
          <w:p>
            <w:pPr>
              <w:spacing w:after="60" w:before="60" w:line="252" w:lineRule="auto"/>
            </w:pPr>
            <w:r>
              <w:rPr>
                <w:b w:val="0"/>
                <w:sz w:val="18"/>
              </w:rPr>
              <w:t>IIP publication dates</w:t>
            </w:r>
          </w:p>
        </w:tc>
        <w:tc>
          <w:tcPr>
            <w:tcW w:type="dxa" w:w="3672"/>
            <w:vAlign w:val="top"/>
          </w:tcPr>
          <w:p>
            <w:pPr>
              <w:spacing w:after="60" w:before="60" w:line="252" w:lineRule="auto"/>
            </w:pPr>
            <w:r>
              <w:rPr>
                <w:b w:val="0"/>
                <w:sz w:val="18"/>
              </w:rPr>
              <w:t>86 verified months from November 2018 through December 2025</w:t>
            </w:r>
          </w:p>
        </w:tc>
        <w:tc>
          <w:tcPr>
            <w:tcW w:type="dxa" w:w="4320"/>
            <w:vAlign w:val="top"/>
          </w:tcPr>
          <w:p>
            <w:pPr>
              <w:spacing w:after="60" w:before="60" w:line="252" w:lineRule="auto"/>
            </w:pPr>
            <w:r>
              <w:rPr>
                <w:b w:val="0"/>
                <w:sz w:val="18"/>
              </w:rPr>
              <w:t>61 original and 25 added primary releases. Legacy training dates use the nominal 12th of the second following month.</w:t>
            </w:r>
          </w:p>
        </w:tc>
      </w:tr>
      <w:tr>
        <w:trPr>
          <w:cantSplit/>
        </w:trPr>
        <w:tc>
          <w:tcPr>
            <w:tcW w:type="dxa" w:w="1800"/>
            <w:vAlign w:val="top"/>
          </w:tcPr>
          <w:p>
            <w:pPr>
              <w:spacing w:after="60" w:before="60" w:line="252" w:lineRule="auto"/>
            </w:pPr>
            <w:r>
              <w:rPr>
                <w:b w:val="0"/>
                <w:sz w:val="18"/>
              </w:rPr>
              <w:t>Original report audit</w:t>
            </w:r>
          </w:p>
        </w:tc>
        <w:tc>
          <w:tcPr>
            <w:tcW w:type="dxa" w:w="3672"/>
            <w:vAlign w:val="top"/>
          </w:tcPr>
          <w:p>
            <w:pPr>
              <w:spacing w:after="60" w:before="60" w:line="252" w:lineRule="auto"/>
            </w:pPr>
            <w:r>
              <w:rPr>
                <w:b w:val="0"/>
                <w:sz w:val="18"/>
              </w:rPr>
              <w:t>30 previously checked reports plus 16 added original MOP_E workbooks</w:t>
            </w:r>
          </w:p>
        </w:tc>
        <w:tc>
          <w:tcPr>
            <w:tcW w:type="dxa" w:w="4320"/>
            <w:vAlign w:val="top"/>
          </w:tcPr>
          <w:p>
            <w:pPr>
              <w:spacing w:after="60" w:before="60" w:line="252" w:lineRule="auto"/>
            </w:pPr>
            <w:r>
              <w:rPr>
                <w:b w:val="0"/>
                <w:sz w:val="18"/>
              </w:rPr>
              <w:t>Added sample spans both years, extremes and large daily changes. Original XLS national values match the extraction exactly.</w:t>
            </w:r>
          </w:p>
        </w:tc>
      </w:tr>
    </w:tbl>
    <w:p>
      <w:pPr>
        <w:spacing w:after="40"/>
      </w:pPr>
    </w:p>
    <w:p>
      <w:r>
        <w:t>National energy is taken from Robbie Andrew’s (CICERO) extraction of Grid India reports, not from a new redefinition of national load. The original source exceptions remain quarantined on 1–2 January 2014 and 15 February 2017. The extension reuses the frozen national extraction and IIP cache; it does not redownload a different IIP vintage for selected industries. [S1, S5, S6]</w:t>
      </w:r>
    </w:p>
    <w:p>
      <w:r>
        <w:t>Source access limitation  Grid India’s API and CDN repeatedly closed connections during the added audit. The 16 original NLDC XLS workbooks were therefore retrieved from a public archive at a frozen Git commit. Their printed previous-day reporting convention, dates, labelled national energy cells and regional totals were checked. The archive is a delivery route for original documents; its derived model dataset is unused. Byte identity against the currently hosted official copies could not be confirmed. A 0.12 MU regional-sum discrepancy on 15 September 2024 is retained in the ledger; the national XLS total still matches Andrew’s value. Rounded display totals and stored XLS precision are distinguished. [S7]</w:t>
      </w:r>
    </w:p>
    <w:p>
      <w:r>
        <w:t>These are pseudo-real-time experiments. Actual publication dates restrict which IIP months can enter, but the values are revised indices rather than first-release vintages. Weather is reanalysis, and a five-calendar-day availability lag is assumed for daily inputs. Audited later printed issue dates override that lag, but publication timing is not verified for every daily observation. UTC and IST daily windows differ by 5.5 hours and cannot be exactly realigned from daily aggregates. [S1, S8]</w:t>
      </w:r>
    </w:p>
    <w:p>
      <w:r>
        <w:t>A supplementary primary-source check covers October 2018, the older IIP lag at the first validation origin on 5 February 2019. Its actual release was 12 December 2018, matching the model date. This check is saved in extension/qa/release_boundary; the 86-month ledger and all frozen model inputs remain unchanged. Other legacy training releases retain the stated nominal-date limitation. [S13]</w:t>
      </w:r>
    </w:p>
    <w:p>
      <w:pPr>
        <w:pStyle w:val="Heading1"/>
        <w:pageBreakBefore w:val="0"/>
      </w:pPr>
      <w:r>
        <w:t>3 Target and forecast information</w:t>
      </w:r>
    </w:p>
    <w:p>
      <w:r>
        <w:t>The outcome is each target’s year-on-year IIP growth in percent: 100 times the current monthly index divided by the index twelve calendar months earlier, minus 100. Growth is computed from levels rather than from an unreliable twelve-row shift after exclusions. The prediction error and reported accuracy measures use percentage points. An error of 2 percentage points means a prediction of 6 percent when actual growth is 4 percent; it does not mean a 2 percent relative error.</w:t>
      </w:r>
    </w:p>
    <w:p>
      <w:r>
        <w:t>Every target month is forecast on the fifth day of the following month. A five-day daily-input lag normally permits the whole just-completed calendar month. Each window must have at least 90 percent jointly usable energy and weather days, both in the current month and its prior-year comparison. Recent and previous seven-day windows must each be complete, since six of seven days would fail 90 percent coverage. Monthly means, rather than sums, avoid mechanically adding an extra day in a leap-year February.</w:t>
      </w:r>
    </w:p>
    <w:p>
      <w:r>
        <w:t>The benchmark uses the two most recent released growth labels for that target, plus the target month’s sine and cosine calendar terms and Diwali share. The two labels are selected at each historical origin. Before the timetable change these are usually target lags two and three. From the April 2025 release, IIP can arrive within the following month; at the 5 May 2025 forecast for April, March and February are available. October 2025 was actually released on 1 December, so it is available at the 5 December origin. Scheduled release rules are not substituted for these actual dates. [S3, S4]</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Pr>
      <w:tblGrid>
        <w:gridCol w:w="2376"/>
        <w:gridCol w:w="4032"/>
        <w:gridCol w:w="3384"/>
      </w:tblGrid>
      <w:tr>
        <w:trPr>
          <w:tblHeader/>
          <w:cantSplit/>
        </w:trPr>
        <w:tc>
          <w:tcPr>
            <w:tcW w:type="dxa" w:w="2376"/>
            <w:shd w:fill="EDEDED"/>
            <w:vAlign w:val="top"/>
          </w:tcPr>
          <w:p>
            <w:pPr>
              <w:spacing w:after="60" w:before="60" w:line="252" w:lineRule="auto"/>
            </w:pPr>
            <w:r>
              <w:rPr>
                <w:b/>
                <w:sz w:val="18"/>
              </w:rPr>
              <w:t>Worked origin</w:t>
            </w:r>
          </w:p>
        </w:tc>
        <w:tc>
          <w:tcPr>
            <w:tcW w:type="dxa" w:w="4032"/>
            <w:shd w:fill="EDEDED"/>
            <w:vAlign w:val="top"/>
          </w:tcPr>
          <w:p>
            <w:pPr>
              <w:spacing w:after="60" w:before="60" w:line="252" w:lineRule="auto"/>
            </w:pPr>
            <w:r>
              <w:rPr>
                <w:b/>
                <w:sz w:val="18"/>
              </w:rPr>
              <w:t>Information used</w:t>
            </w:r>
          </w:p>
        </w:tc>
        <w:tc>
          <w:tcPr>
            <w:tcW w:type="dxa" w:w="3384"/>
            <w:shd w:fill="EDEDED"/>
            <w:vAlign w:val="top"/>
          </w:tcPr>
          <w:p>
            <w:pPr>
              <w:spacing w:after="60" w:before="60" w:line="252" w:lineRule="auto"/>
            </w:pPr>
            <w:r>
              <w:rPr>
                <w:b/>
                <w:sz w:val="18"/>
              </w:rPr>
              <w:t>Information unavailable</w:t>
            </w:r>
          </w:p>
        </w:tc>
      </w:tr>
      <w:tr>
        <w:trPr>
          <w:cantSplit/>
        </w:trPr>
        <w:tc>
          <w:tcPr>
            <w:tcW w:type="dxa" w:w="2376"/>
            <w:vAlign w:val="top"/>
          </w:tcPr>
          <w:p>
            <w:pPr>
              <w:spacing w:after="60" w:before="60" w:line="252" w:lineRule="auto"/>
            </w:pPr>
            <w:r>
              <w:rPr>
                <w:b w:val="0"/>
                <w:sz w:val="18"/>
              </w:rPr>
              <w:t>January 2024 target forecast on 5 February 2024</w:t>
            </w:r>
          </w:p>
        </w:tc>
        <w:tc>
          <w:tcPr>
            <w:tcW w:type="dxa" w:w="4032"/>
            <w:vAlign w:val="top"/>
          </w:tcPr>
          <w:p>
            <w:pPr>
              <w:spacing w:after="60" w:before="60" w:line="252" w:lineRule="auto"/>
            </w:pPr>
            <w:r>
              <w:rPr>
                <w:b w:val="0"/>
                <w:sz w:val="18"/>
              </w:rPr>
              <w:t>Electricity through 31 January; November 2023 IIP released 12 January and October 2023 IIP released 12 December</w:t>
            </w:r>
          </w:p>
        </w:tc>
        <w:tc>
          <w:tcPr>
            <w:tcW w:type="dxa" w:w="3384"/>
            <w:vAlign w:val="top"/>
          </w:tcPr>
          <w:p>
            <w:pPr>
              <w:spacing w:after="60" w:before="60" w:line="252" w:lineRule="auto"/>
            </w:pPr>
            <w:r>
              <w:rPr>
                <w:b w:val="0"/>
                <w:sz w:val="18"/>
              </w:rPr>
              <w:t>December 2023 IIP released 12 February; January 2024 outcome not yet released</w:t>
            </w:r>
          </w:p>
        </w:tc>
      </w:tr>
      <w:tr>
        <w:trPr>
          <w:cantSplit/>
        </w:trPr>
        <w:tc>
          <w:tcPr>
            <w:tcW w:type="dxa" w:w="2376"/>
            <w:vAlign w:val="top"/>
          </w:tcPr>
          <w:p>
            <w:pPr>
              <w:spacing w:after="60" w:before="60" w:line="252" w:lineRule="auto"/>
            </w:pPr>
            <w:r>
              <w:rPr>
                <w:b w:val="0"/>
                <w:sz w:val="18"/>
              </w:rPr>
              <w:t>April 2025 target forecast on 5 May 2025</w:t>
            </w:r>
          </w:p>
        </w:tc>
        <w:tc>
          <w:tcPr>
            <w:tcW w:type="dxa" w:w="4032"/>
            <w:vAlign w:val="top"/>
          </w:tcPr>
          <w:p>
            <w:pPr>
              <w:spacing w:after="60" w:before="60" w:line="252" w:lineRule="auto"/>
            </w:pPr>
            <w:r>
              <w:rPr>
                <w:b w:val="0"/>
                <w:sz w:val="18"/>
              </w:rPr>
              <w:t>March IIP released 28 April and February IIP released 11 April</w:t>
            </w:r>
          </w:p>
        </w:tc>
        <w:tc>
          <w:tcPr>
            <w:tcW w:type="dxa" w:w="3384"/>
            <w:vAlign w:val="top"/>
          </w:tcPr>
          <w:p>
            <w:pPr>
              <w:spacing w:after="60" w:before="60" w:line="252" w:lineRule="auto"/>
            </w:pPr>
            <w:r>
              <w:rPr>
                <w:b w:val="0"/>
                <w:sz w:val="18"/>
              </w:rPr>
              <w:t>April IIP outcome released later</w:t>
            </w:r>
          </w:p>
        </w:tc>
      </w:tr>
    </w:tbl>
    <w:p>
      <w:pPr>
        <w:spacing w:after="40"/>
      </w:pPr>
    </w:p>
    <w:p>
      <w:pPr>
        <w:pStyle w:val="Heading1"/>
        <w:pageBreakBefore/>
      </w:pPr>
      <w:r>
        <w:t>4 Statistical methods</w:t>
      </w:r>
    </w:p>
    <w:p>
      <w:r>
        <w:t>The project uses two estimator families, ordinary least squares and ridge regression, arranged in four forecasting setups. The weather adjustment is another OLS step applied to daily energy. No neural network, random forest or causal identification method is used. All four methods for a target and case fit on exactly the same monthly rows.</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Pr>
      <w:tblGrid>
        <w:gridCol w:w="2160"/>
        <w:gridCol w:w="4320"/>
        <w:gridCol w:w="3312"/>
      </w:tblGrid>
      <w:tr>
        <w:trPr>
          <w:tblHeader/>
          <w:cantSplit/>
        </w:trPr>
        <w:tc>
          <w:tcPr>
            <w:tcW w:type="dxa" w:w="2160"/>
            <w:shd w:fill="EDEDED"/>
            <w:vAlign w:val="top"/>
          </w:tcPr>
          <w:p>
            <w:pPr>
              <w:spacing w:after="60" w:before="60" w:line="252" w:lineRule="auto"/>
            </w:pPr>
            <w:r>
              <w:rPr>
                <w:b/>
                <w:sz w:val="18"/>
              </w:rPr>
              <w:t>Setup</w:t>
            </w:r>
          </w:p>
        </w:tc>
        <w:tc>
          <w:tcPr>
            <w:tcW w:type="dxa" w:w="4320"/>
            <w:shd w:fill="EDEDED"/>
            <w:vAlign w:val="top"/>
          </w:tcPr>
          <w:p>
            <w:pPr>
              <w:spacing w:after="60" w:before="60" w:line="252" w:lineRule="auto"/>
            </w:pPr>
            <w:r>
              <w:rPr>
                <w:b/>
                <w:sz w:val="18"/>
              </w:rPr>
              <w:t>Inputs and estimator</w:t>
            </w:r>
          </w:p>
        </w:tc>
        <w:tc>
          <w:tcPr>
            <w:tcW w:type="dxa" w:w="3312"/>
            <w:shd w:fill="EDEDED"/>
            <w:vAlign w:val="top"/>
          </w:tcPr>
          <w:p>
            <w:pPr>
              <w:spacing w:after="60" w:before="60" w:line="252" w:lineRule="auto"/>
            </w:pPr>
            <w:r>
              <w:rPr>
                <w:b/>
                <w:sz w:val="18"/>
              </w:rPr>
              <w:t>Role</w:t>
            </w:r>
          </w:p>
        </w:tc>
      </w:tr>
      <w:tr>
        <w:trPr>
          <w:cantSplit/>
        </w:trPr>
        <w:tc>
          <w:tcPr>
            <w:tcW w:type="dxa" w:w="2160"/>
            <w:vAlign w:val="top"/>
          </w:tcPr>
          <w:p>
            <w:pPr>
              <w:spacing w:after="60" w:before="60" w:line="252" w:lineRule="auto"/>
            </w:pPr>
            <w:r>
              <w:rPr>
                <w:b w:val="0"/>
                <w:sz w:val="18"/>
              </w:rPr>
              <w:t>IIP only OLS</w:t>
            </w:r>
          </w:p>
        </w:tc>
        <w:tc>
          <w:tcPr>
            <w:tcW w:type="dxa" w:w="4320"/>
            <w:vAlign w:val="top"/>
          </w:tcPr>
          <w:p>
            <w:pPr>
              <w:spacing w:after="60" w:before="60" w:line="252" w:lineRule="auto"/>
            </w:pPr>
            <w:r>
              <w:rPr>
                <w:b w:val="0"/>
                <w:sz w:val="18"/>
              </w:rPr>
              <w:t>Two released own-target IIP growth readings and three calendar terms</w:t>
            </w:r>
          </w:p>
        </w:tc>
        <w:tc>
          <w:tcPr>
            <w:tcW w:type="dxa" w:w="3312"/>
            <w:vAlign w:val="top"/>
          </w:tcPr>
          <w:p>
            <w:pPr>
              <w:spacing w:after="60" w:before="60" w:line="252" w:lineRule="auto"/>
            </w:pPr>
            <w:r>
              <w:rPr>
                <w:b w:val="0"/>
                <w:sz w:val="18"/>
              </w:rPr>
              <w:t>Benchmark for information already available without electricity</w:t>
            </w:r>
          </w:p>
        </w:tc>
      </w:tr>
      <w:tr>
        <w:trPr>
          <w:cantSplit/>
        </w:trPr>
        <w:tc>
          <w:tcPr>
            <w:tcW w:type="dxa" w:w="2160"/>
            <w:vAlign w:val="top"/>
          </w:tcPr>
          <w:p>
            <w:pPr>
              <w:spacing w:after="60" w:before="60" w:line="252" w:lineRule="auto"/>
            </w:pPr>
            <w:r>
              <w:rPr>
                <w:b w:val="0"/>
                <w:sz w:val="18"/>
              </w:rPr>
              <w:t>Raw electricity OLS</w:t>
            </w:r>
          </w:p>
        </w:tc>
        <w:tc>
          <w:tcPr>
            <w:tcW w:type="dxa" w:w="4320"/>
            <w:vAlign w:val="top"/>
          </w:tcPr>
          <w:p>
            <w:pPr>
              <w:spacing w:after="60" w:before="60" w:line="252" w:lineRule="auto"/>
            </w:pPr>
            <w:r>
              <w:rPr>
                <w:b w:val="0"/>
                <w:sz w:val="18"/>
              </w:rPr>
              <w:t>Benchmark inputs plus raw electricity annual mean growth and weekly momentum</w:t>
            </w:r>
          </w:p>
        </w:tc>
        <w:tc>
          <w:tcPr>
            <w:tcW w:type="dxa" w:w="3312"/>
            <w:vAlign w:val="top"/>
          </w:tcPr>
          <w:p>
            <w:pPr>
              <w:spacing w:after="60" w:before="60" w:line="252" w:lineRule="auto"/>
            </w:pPr>
            <w:r>
              <w:rPr>
                <w:b w:val="0"/>
                <w:sz w:val="18"/>
              </w:rPr>
              <w:t>Incremental electricity comparison holding the estimator family fixed</w:t>
            </w:r>
          </w:p>
        </w:tc>
      </w:tr>
      <w:tr>
        <w:trPr>
          <w:cantSplit/>
        </w:trPr>
        <w:tc>
          <w:tcPr>
            <w:tcW w:type="dxa" w:w="2160"/>
            <w:vAlign w:val="top"/>
          </w:tcPr>
          <w:p>
            <w:pPr>
              <w:spacing w:after="60" w:before="60" w:line="252" w:lineRule="auto"/>
            </w:pPr>
            <w:r>
              <w:rPr>
                <w:b w:val="0"/>
                <w:sz w:val="18"/>
              </w:rPr>
              <w:t>Adjusted electricity OLS</w:t>
            </w:r>
          </w:p>
        </w:tc>
        <w:tc>
          <w:tcPr>
            <w:tcW w:type="dxa" w:w="4320"/>
            <w:vAlign w:val="top"/>
          </w:tcPr>
          <w:p>
            <w:pPr>
              <w:spacing w:after="60" w:before="60" w:line="252" w:lineRule="auto"/>
            </w:pPr>
            <w:r>
              <w:rPr>
                <w:b w:val="0"/>
                <w:sz w:val="18"/>
              </w:rPr>
              <w:t>Benchmark inputs plus adjusted electricity annual mean growth and weekly momentum</w:t>
            </w:r>
          </w:p>
        </w:tc>
        <w:tc>
          <w:tcPr>
            <w:tcW w:type="dxa" w:w="3312"/>
            <w:vAlign w:val="top"/>
          </w:tcPr>
          <w:p>
            <w:pPr>
              <w:spacing w:after="60" w:before="60" w:line="252" w:lineRule="auto"/>
            </w:pPr>
            <w:r>
              <w:rPr>
                <w:b w:val="0"/>
                <w:sz w:val="18"/>
              </w:rPr>
              <w:t>OLS comparison of adjusted versus raw inputs</w:t>
            </w:r>
          </w:p>
        </w:tc>
      </w:tr>
      <w:tr>
        <w:trPr>
          <w:cantSplit/>
        </w:trPr>
        <w:tc>
          <w:tcPr>
            <w:tcW w:type="dxa" w:w="2160"/>
            <w:vAlign w:val="top"/>
          </w:tcPr>
          <w:p>
            <w:pPr>
              <w:spacing w:after="60" w:before="60" w:line="252" w:lineRule="auto"/>
            </w:pPr>
            <w:r>
              <w:rPr>
                <w:b w:val="0"/>
                <w:sz w:val="18"/>
              </w:rPr>
              <w:t>Adjusted electricity ridge</w:t>
            </w:r>
          </w:p>
        </w:tc>
        <w:tc>
          <w:tcPr>
            <w:tcW w:type="dxa" w:w="4320"/>
            <w:vAlign w:val="top"/>
          </w:tcPr>
          <w:p>
            <w:pPr>
              <w:spacing w:after="60" w:before="60" w:line="252" w:lineRule="auto"/>
            </w:pPr>
            <w:r>
              <w:rPr>
                <w:b w:val="0"/>
                <w:sz w:val="18"/>
              </w:rPr>
              <w:t>Same inputs as adjusted OLS; shrink standardized slopes</w:t>
            </w:r>
          </w:p>
        </w:tc>
        <w:tc>
          <w:tcPr>
            <w:tcW w:type="dxa" w:w="3312"/>
            <w:vAlign w:val="top"/>
          </w:tcPr>
          <w:p>
            <w:pPr>
              <w:spacing w:after="60" w:before="60" w:line="252" w:lineRule="auto"/>
            </w:pPr>
            <w:r>
              <w:rPr>
                <w:b w:val="0"/>
                <w:sz w:val="18"/>
              </w:rPr>
              <w:t>Primary comparison of complete methods against IIP-only OLS</w:t>
            </w:r>
          </w:p>
        </w:tc>
      </w:tr>
    </w:tbl>
    <w:p>
      <w:pPr>
        <w:spacing w:after="40"/>
      </w:pPr>
    </w:p>
    <w:p>
      <w:r>
        <w:t>The daily adjustment fits log energy to an intercept, linear time trend, two annual Fourier harmonics, six weekday indicators, fixed holidays, the Diwali window, and heating and cooling degree-day proxies. For each location, HDD18 is the positive part of 18 minus mean temperature and CDD24 is the positive part of mean temperature minus 24. The five pointwise values are then equally averaged. This order matters because taking a positive part is nonlinear.</w:t>
      </w:r>
    </w:p>
    <w:p>
      <w:r>
        <w:t>The fitted annual, weekday, holiday and temperature contributions are subtracted in log terms. The intercept, trend and residual remain. The result is a statistical adjusted series, not observed industrial electricity consumption. Adjustment coefficients are refitted inside each forecasting fold using usable past daily data through the end of the latest released IIP label month. In the strict case, shock-block daily dates are excluded. Other already observed post-shock daily dates remain usable even when a monthly growth row is excluded because its annual base touches the shock. This daily versus monthly distinction was fixed in the protocol.</w:t>
      </w:r>
    </w:p>
    <w:p>
      <w:r>
        <w:t>At each origin the transformation is applied to historical energy windows needed to fit the monthly model and to the current forecast window. Every historical window keeps its own original forecast cutoff and known issue-date restrictions, so later observations cannot repair a historical missing-data window. Monthly predictors are centered and divided by their population standard deviation within the current training fold. The forecast row never contributes to those means or scales.</w:t>
      </w:r>
    </w:p>
    <w:p>
      <w:r>
        <w:t>OLS minimizes the sum of squared training errors. Ridge minimizes that same sum plus alpha times the sum of squared standardized slope coefficients; the intercept is unpenalized. The sum is not divided by the training count, so a fixed alpha has a smaller relative effect as the training sample grows. The alpha grid is 0.1, 1, 10 and 100. Chronological validation chooses each target and case’s alpha by MAE, with smaller alpha breaking an exact tie. The four full-history selections are 100 and the four strict-case selections are 10. The full-history choice lies at the grid’s upper boundary; the grid was not expanded after observing holdout errors.</w:t>
      </w:r>
    </w:p>
    <w:p>
      <w:r>
        <w:t>Adjusted ridge versus IIP-only OLS changes both predictors and regularization. It therefore compares complete methods. Raw OLS versus benchmark OLS and adjusted OLS versus benchmark OLS address incremental electricity inputs within OLS. Adjusted OLS versus raw OLS addresses the adjustment while retaining OLS. The study has no IIP-only ridge setup, so it cannot isolate electricity’s incremental value under ridge regularization.</w:t>
      </w:r>
    </w:p>
    <w:p>
      <w:pPr>
        <w:pStyle w:val="Heading1"/>
        <w:pageBreakBefore w:val="0"/>
      </w:pPr>
      <w:r>
        <w:t>5 Strict COVID exposure rule</w:t>
      </w:r>
    </w:p>
    <w:p>
      <w:r>
        <w:t>The systemic-shock block is prospectively defined for this extension as March 2020 through June 2022. This is a conservative sensitivity window chosen for the experiment, not a claim that all pandemic effects began or ended on those month boundaries. The full case retains those observations. The strict case removes shock dates from daily adjustment fitting and removes an entire monthly fitting or validation row if any required component touches the block.</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Pr>
      <w:tblGrid>
        <w:gridCol w:w="3672"/>
        <w:gridCol w:w="6120"/>
      </w:tblGrid>
      <w:tr>
        <w:trPr>
          <w:tblHeader/>
          <w:cantSplit/>
        </w:trPr>
        <w:tc>
          <w:tcPr>
            <w:tcW w:type="dxa" w:w="3672"/>
            <w:shd w:fill="EDEDED"/>
            <w:vAlign w:val="top"/>
          </w:tcPr>
          <w:p>
            <w:pPr>
              <w:spacing w:after="60" w:before="60" w:line="252" w:lineRule="auto"/>
            </w:pPr>
            <w:r>
              <w:rPr>
                <w:b/>
                <w:sz w:val="18"/>
              </w:rPr>
              <w:t>Component checked</w:t>
            </w:r>
          </w:p>
        </w:tc>
        <w:tc>
          <w:tcPr>
            <w:tcW w:type="dxa" w:w="6120"/>
            <w:shd w:fill="EDEDED"/>
            <w:vAlign w:val="top"/>
          </w:tcPr>
          <w:p>
            <w:pPr>
              <w:spacing w:after="60" w:before="60" w:line="252" w:lineRule="auto"/>
            </w:pPr>
            <w:r>
              <w:rPr>
                <w:b/>
                <w:sz w:val="18"/>
              </w:rPr>
              <w:t>Reason it can remain exposed after the dated shock</w:t>
            </w:r>
          </w:p>
        </w:tc>
      </w:tr>
      <w:tr>
        <w:trPr>
          <w:cantSplit/>
        </w:trPr>
        <w:tc>
          <w:tcPr>
            <w:tcW w:type="dxa" w:w="3672"/>
            <w:vAlign w:val="top"/>
          </w:tcPr>
          <w:p>
            <w:pPr>
              <w:spacing w:after="60" w:before="60" w:line="252" w:lineRule="auto"/>
            </w:pPr>
            <w:r>
              <w:rPr>
                <w:b w:val="0"/>
                <w:sz w:val="18"/>
              </w:rPr>
              <w:t>Target index and its twelve-month annual base</w:t>
            </w:r>
          </w:p>
        </w:tc>
        <w:tc>
          <w:tcPr>
            <w:tcW w:type="dxa" w:w="6120"/>
            <w:vAlign w:val="top"/>
          </w:tcPr>
          <w:p>
            <w:pPr>
              <w:spacing w:after="60" w:before="60" w:line="252" w:lineRule="auto"/>
            </w:pPr>
            <w:r>
              <w:rPr>
                <w:b w:val="0"/>
                <w:sz w:val="18"/>
              </w:rPr>
              <w:t>A 2023 growth rate can still compare against a 2022 shock-period level.</w:t>
            </w:r>
          </w:p>
        </w:tc>
      </w:tr>
      <w:tr>
        <w:trPr>
          <w:cantSplit/>
        </w:trPr>
        <w:tc>
          <w:tcPr>
            <w:tcW w:type="dxa" w:w="3672"/>
            <w:vAlign w:val="top"/>
          </w:tcPr>
          <w:p>
            <w:pPr>
              <w:spacing w:after="60" w:before="60" w:line="252" w:lineRule="auto"/>
            </w:pPr>
            <w:r>
              <w:rPr>
                <w:b w:val="0"/>
                <w:sz w:val="18"/>
              </w:rPr>
              <w:t>Two released IIP growth inputs and both annual bases</w:t>
            </w:r>
          </w:p>
        </w:tc>
        <w:tc>
          <w:tcPr>
            <w:tcW w:type="dxa" w:w="6120"/>
            <w:vAlign w:val="top"/>
          </w:tcPr>
          <w:p>
            <w:pPr>
              <w:spacing w:after="60" w:before="60" w:line="252" w:lineRule="auto"/>
            </w:pPr>
            <w:r>
              <w:rPr>
                <w:b w:val="0"/>
                <w:sz w:val="18"/>
              </w:rPr>
              <w:t>A currently released growth input can itself contain a shock-period denominator.</w:t>
            </w:r>
          </w:p>
        </w:tc>
      </w:tr>
      <w:tr>
        <w:trPr>
          <w:cantSplit/>
        </w:trPr>
        <w:tc>
          <w:tcPr>
            <w:tcW w:type="dxa" w:w="3672"/>
            <w:vAlign w:val="top"/>
          </w:tcPr>
          <w:p>
            <w:pPr>
              <w:spacing w:after="60" w:before="60" w:line="252" w:lineRule="auto"/>
            </w:pPr>
            <w:r>
              <w:rPr>
                <w:b w:val="0"/>
                <w:sz w:val="18"/>
              </w:rPr>
              <w:t>Current and prior-year electricity monthly windows</w:t>
            </w:r>
          </w:p>
        </w:tc>
        <w:tc>
          <w:tcPr>
            <w:tcW w:type="dxa" w:w="6120"/>
            <w:vAlign w:val="top"/>
          </w:tcPr>
          <w:p>
            <w:pPr>
              <w:spacing w:after="60" w:before="60" w:line="252" w:lineRule="auto"/>
            </w:pPr>
            <w:r>
              <w:rPr>
                <w:b w:val="0"/>
                <w:sz w:val="18"/>
              </w:rPr>
              <w:t>The electricity growth comparison can use shock-period days.</w:t>
            </w:r>
          </w:p>
        </w:tc>
      </w:tr>
      <w:tr>
        <w:trPr>
          <w:cantSplit/>
        </w:trPr>
        <w:tc>
          <w:tcPr>
            <w:tcW w:type="dxa" w:w="3672"/>
            <w:vAlign w:val="top"/>
          </w:tcPr>
          <w:p>
            <w:pPr>
              <w:spacing w:after="60" w:before="60" w:line="252" w:lineRule="auto"/>
            </w:pPr>
            <w:r>
              <w:rPr>
                <w:b w:val="0"/>
                <w:sz w:val="18"/>
              </w:rPr>
              <w:t>Recent and previous weekly windows</w:t>
            </w:r>
          </w:p>
        </w:tc>
        <w:tc>
          <w:tcPr>
            <w:tcW w:type="dxa" w:w="6120"/>
            <w:vAlign w:val="top"/>
          </w:tcPr>
          <w:p>
            <w:pPr>
              <w:spacing w:after="60" w:before="60" w:line="252" w:lineRule="auto"/>
            </w:pPr>
            <w:r>
              <w:rPr>
                <w:b w:val="0"/>
                <w:sz w:val="18"/>
              </w:rPr>
              <w:t>Any required daily interval contacting the block excludes the row.</w:t>
            </w:r>
          </w:p>
        </w:tc>
      </w:tr>
    </w:tbl>
    <w:p>
      <w:pPr>
        <w:spacing w:after="40"/>
      </w:pPr>
    </w:p>
    <w:p>
      <w:r>
        <w:t>The strict rule never substitutes an older clean IIP reading for the latest released reading. It drops the row instead, and applies the same exclusions to the benchmark. September 2023 is still excluded because the older released input is June 2023 growth, whose annual base is June 2022. October 2023 is the first fully clear month under the historical release pattern. Dates remain on their real calendar; no row deletion is allowed to turn a twelve-month comparison into a twelve-surviving-row comparison.</w:t>
      </w:r>
    </w:p>
    <w:p>
      <w:r>
        <w:t>Strict exclusion does not create a world without COVID. Persistence, altered production structures, changed demand and revised statistics can still reflect the pandemic after the dated block. It also changes the training size and the tuned ridge penalty. Differences between cases describe sensitivity of the entire fitted procedure; they are not a causal estimate of the pandemic’s effect.</w:t>
      </w:r>
    </w:p>
    <w:p>
      <w:pPr>
        <w:pStyle w:val="Heading1"/>
        <w:pageBreakBefore/>
      </w:pPr>
      <w:r>
        <w:t>6 Chronological design and uncertainty</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Pr>
      <w:tblGrid>
        <w:gridCol w:w="2304"/>
        <w:gridCol w:w="7488"/>
      </w:tblGrid>
      <w:tr>
        <w:trPr>
          <w:tblHeader/>
          <w:cantSplit/>
        </w:trPr>
        <w:tc>
          <w:tcPr>
            <w:tcW w:type="dxa" w:w="2304"/>
            <w:shd w:fill="EDEDED"/>
            <w:vAlign w:val="top"/>
          </w:tcPr>
          <w:p>
            <w:pPr>
              <w:spacing w:after="60" w:before="60" w:line="252" w:lineRule="auto"/>
            </w:pPr>
            <w:r>
              <w:rPr>
                <w:b/>
                <w:sz w:val="18"/>
              </w:rPr>
              <w:t>Stage</w:t>
            </w:r>
          </w:p>
        </w:tc>
        <w:tc>
          <w:tcPr>
            <w:tcW w:type="dxa" w:w="7488"/>
            <w:shd w:fill="EDEDED"/>
            <w:vAlign w:val="top"/>
          </w:tcPr>
          <w:p>
            <w:pPr>
              <w:spacing w:after="60" w:before="60" w:line="252" w:lineRule="auto"/>
            </w:pPr>
            <w:r>
              <w:rPr>
                <w:b/>
                <w:sz w:val="18"/>
              </w:rPr>
              <w:t>Fixed dates and actual sample</w:t>
            </w:r>
          </w:p>
        </w:tc>
      </w:tr>
      <w:tr>
        <w:trPr>
          <w:cantSplit/>
        </w:trPr>
        <w:tc>
          <w:tcPr>
            <w:tcW w:type="dxa" w:w="2304"/>
            <w:vAlign w:val="top"/>
          </w:tcPr>
          <w:p>
            <w:pPr>
              <w:spacing w:after="60" w:before="60" w:line="252" w:lineRule="auto"/>
            </w:pPr>
            <w:r>
              <w:rPr>
                <w:b w:val="0"/>
                <w:sz w:val="18"/>
              </w:rPr>
              <w:t>Initial training</w:t>
            </w:r>
          </w:p>
        </w:tc>
        <w:tc>
          <w:tcPr>
            <w:tcW w:type="dxa" w:w="7488"/>
            <w:vAlign w:val="top"/>
          </w:tcPr>
          <w:p>
            <w:pPr>
              <w:spacing w:after="60" w:before="60" w:line="252" w:lineRule="auto"/>
            </w:pPr>
            <w:r>
              <w:rPr>
                <w:b w:val="0"/>
                <w:sz w:val="18"/>
              </w:rPr>
              <w:t>Target months January 2015 to December 2018; usable released labels expand at each later origin.</w:t>
            </w:r>
          </w:p>
        </w:tc>
      </w:tr>
      <w:tr>
        <w:trPr>
          <w:cantSplit/>
        </w:trPr>
        <w:tc>
          <w:tcPr>
            <w:tcW w:type="dxa" w:w="2304"/>
            <w:vAlign w:val="top"/>
          </w:tcPr>
          <w:p>
            <w:pPr>
              <w:spacing w:after="60" w:before="60" w:line="252" w:lineRule="auto"/>
            </w:pPr>
            <w:r>
              <w:rPr>
                <w:b w:val="0"/>
                <w:sz w:val="18"/>
              </w:rPr>
              <w:t>Validation</w:t>
            </w:r>
          </w:p>
        </w:tc>
        <w:tc>
          <w:tcPr>
            <w:tcW w:type="dxa" w:w="7488"/>
            <w:vAlign w:val="top"/>
          </w:tcPr>
          <w:p>
            <w:pPr>
              <w:spacing w:after="60" w:before="60" w:line="252" w:lineRule="auto"/>
            </w:pPr>
            <w:r>
              <w:rPr>
                <w:b w:val="0"/>
                <w:sz w:val="18"/>
              </w:rPr>
              <w:t>January 2019 to November 2023, restricted to outcomes released before 5 February 2024. Full case 59 origins; strict case 16.</w:t>
            </w:r>
          </w:p>
        </w:tc>
      </w:tr>
      <w:tr>
        <w:trPr>
          <w:cantSplit/>
        </w:trPr>
        <w:tc>
          <w:tcPr>
            <w:tcW w:type="dxa" w:w="2304"/>
            <w:vAlign w:val="top"/>
          </w:tcPr>
          <w:p>
            <w:pPr>
              <w:spacing w:after="60" w:before="60" w:line="252" w:lineRule="auto"/>
            </w:pPr>
            <w:r>
              <w:rPr>
                <w:b w:val="0"/>
                <w:sz w:val="18"/>
              </w:rPr>
              <w:t>Strict validation dates</w:t>
            </w:r>
          </w:p>
        </w:tc>
        <w:tc>
          <w:tcPr>
            <w:tcW w:type="dxa" w:w="7488"/>
            <w:vAlign w:val="top"/>
          </w:tcPr>
          <w:p>
            <w:pPr>
              <w:spacing w:after="60" w:before="60" w:line="252" w:lineRule="auto"/>
            </w:pPr>
            <w:r>
              <w:rPr>
                <w:b w:val="0"/>
                <w:sz w:val="18"/>
              </w:rPr>
              <w:t>January–December 2019, January–February 2020 and October–November 2023. Only two recent post-exposure months.</w:t>
            </w:r>
          </w:p>
        </w:tc>
      </w:tr>
      <w:tr>
        <w:trPr>
          <w:cantSplit/>
        </w:trPr>
        <w:tc>
          <w:tcPr>
            <w:tcW w:type="dxa" w:w="2304"/>
            <w:vAlign w:val="top"/>
          </w:tcPr>
          <w:p>
            <w:pPr>
              <w:spacing w:after="60" w:before="60" w:line="252" w:lineRule="auto"/>
            </w:pPr>
            <w:r>
              <w:rPr>
                <w:b w:val="0"/>
                <w:sz w:val="18"/>
              </w:rPr>
              <w:t>Minimum samples</w:t>
            </w:r>
          </w:p>
        </w:tc>
        <w:tc>
          <w:tcPr>
            <w:tcW w:type="dxa" w:w="7488"/>
            <w:vAlign w:val="top"/>
          </w:tcPr>
          <w:p>
            <w:pPr>
              <w:spacing w:after="60" w:before="60" w:line="252" w:lineRule="auto"/>
            </w:pPr>
            <w:r>
              <w:rPr>
                <w:b w:val="0"/>
                <w:sz w:val="18"/>
              </w:rPr>
              <w:t>36 matched monthly training rows at every fit, 12 validation origins per case and 20 common test dates. Actual validation fits have 44–102 full and 44–59 strict rows.</w:t>
            </w:r>
          </w:p>
        </w:tc>
      </w:tr>
      <w:tr>
        <w:trPr>
          <w:cantSplit/>
        </w:trPr>
        <w:tc>
          <w:tcPr>
            <w:tcW w:type="dxa" w:w="2304"/>
            <w:vAlign w:val="top"/>
          </w:tcPr>
          <w:p>
            <w:pPr>
              <w:spacing w:after="60" w:before="60" w:line="252" w:lineRule="auto"/>
            </w:pPr>
            <w:r>
              <w:rPr>
                <w:b w:val="0"/>
                <w:sz w:val="18"/>
              </w:rPr>
              <w:t>Holdout</w:t>
            </w:r>
          </w:p>
        </w:tc>
        <w:tc>
          <w:tcPr>
            <w:tcW w:type="dxa" w:w="7488"/>
            <w:vAlign w:val="top"/>
          </w:tcPr>
          <w:p>
            <w:pPr>
              <w:spacing w:after="60" w:before="60" w:line="252" w:lineRule="auto"/>
            </w:pPr>
            <w:r>
              <w:rPr>
                <w:b w:val="0"/>
                <w:sz w:val="18"/>
              </w:rPr>
              <w:t>January 2024 to December 2025, all 24 common months. Full fits use 104–128 rows; strict fits use 61–85.</w:t>
            </w:r>
          </w:p>
        </w:tc>
      </w:tr>
      <w:tr>
        <w:trPr>
          <w:cantSplit/>
        </w:trPr>
        <w:tc>
          <w:tcPr>
            <w:tcW w:type="dxa" w:w="2304"/>
            <w:vAlign w:val="top"/>
          </w:tcPr>
          <w:p>
            <w:pPr>
              <w:spacing w:after="60" w:before="60" w:line="252" w:lineRule="auto"/>
            </w:pPr>
            <w:r>
              <w:rPr>
                <w:b w:val="0"/>
                <w:sz w:val="18"/>
              </w:rPr>
              <w:t>Freeze</w:t>
            </w:r>
          </w:p>
        </w:tc>
        <w:tc>
          <w:tcPr>
            <w:tcW w:type="dxa" w:w="7488"/>
            <w:vAlign w:val="top"/>
          </w:tcPr>
          <w:p>
            <w:pPr>
              <w:spacing w:after="60" w:before="60" w:line="252" w:lineRule="auto"/>
            </w:pPr>
            <w:r>
              <w:rPr>
                <w:b w:val="0"/>
                <w:sz w:val="18"/>
              </w:rPr>
              <w:t>Code, configuration, prepared input hashes, validation predictions, chosen penalties and test calendar recorded before holdout scoring.</w:t>
            </w:r>
          </w:p>
        </w:tc>
      </w:tr>
    </w:tbl>
    <w:p>
      <w:pPr>
        <w:spacing w:after="40"/>
      </w:pPr>
    </w:p>
    <w:p>
      <w:r>
        <w:t>The last validation outcome is November 2023 because December 2023 IIP was not released until 12 February 2024, after the first test forecast. During the expanding test, an earlier test month may enter a later training fit only after its verified publication date. This is the intended forecast workflow. Random train/test splitting would obscure this information constraint.</w:t>
      </w:r>
    </w:p>
    <w:p>
      <w:r>
        <w:t>The strict validation minimum is met, but it does not guarantee strong tuning evidence. Fourteen of sixteen strict dates precede the shock and only two are recent. This limitation was accepted before scoring. Lower strict validation MAE cannot be compared directly with full validation MAE as if the dates were identical. The new holdout was chosen after the original findings in a historical 2026 analysis, not observed prospectively as events unfolded in 2024; the original and extension are distinct experiments.</w:t>
      </w:r>
    </w:p>
    <w:p>
      <w:r>
        <w:t>MAE averages absolute prediction errors. RMSE takes the square root of average squared errors and gives more influence to large misses. Relative MAE gain is 100 times benchmark MAE minus model MAE, divided by benchmark MAE; it is undefined if benchmark MAE is zero. All comparisons use matched test dates.</w:t>
      </w:r>
    </w:p>
    <w:p>
      <w:r>
        <w:t>Exploratory 95 percent intervals use 2000 paired block draws with seed 241022. The common calendar is divided into contiguous runs. In each run, noncircular consecutive blocks of length three, or the run’s length if shorter, are sampled and concatenated, then truncated to that run’s original length. The same month indices apply across every target, method and case. Gaps are never bridged or wrapped. Here the 24 test months form one continuous run. Intervals concern mean error differences, not individual forecast bands. They are approximate with only 24 time points and receive no multiplicity adjustment.</w:t>
      </w:r>
    </w:p>
    <w:p>
      <w:pPr>
        <w:pStyle w:val="Heading1"/>
        <w:pageBreakBefore/>
      </w:pPr>
      <w:r>
        <w:t>7 Original national study</w:t>
      </w:r>
    </w:p>
    <w:p>
      <w:r>
        <w:t>The original experiment is preserved. It trained initially on 2015–2018, validated on 2019–2021 and tested national manufacturing on 2022–2023. The primary setting used a five-day daily lag and 90 percent coverage. Its older narrow sensitivity excluded March 2020–June 2021 daily fitting dates and outcome rows only. It did not apply the extension’s full annual-base and lag exposure rule. The two exclusions must not be treated as equivalent.</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Pr>
      <w:tblGrid>
        <w:gridCol w:w="2880"/>
        <w:gridCol w:w="3456"/>
        <w:gridCol w:w="1728"/>
        <w:gridCol w:w="1728"/>
      </w:tblGrid>
      <w:tr>
        <w:trPr>
          <w:tblHeader/>
          <w:cantSplit/>
        </w:trPr>
        <w:tc>
          <w:tcPr>
            <w:tcW w:type="dxa" w:w="2880"/>
            <w:shd w:fill="EDEDED"/>
            <w:vAlign w:val="top"/>
          </w:tcPr>
          <w:p>
            <w:pPr>
              <w:spacing w:after="60" w:before="60" w:line="252" w:lineRule="auto"/>
            </w:pPr>
            <w:r>
              <w:rPr>
                <w:b/>
                <w:sz w:val="18"/>
              </w:rPr>
              <w:t>Original setting</w:t>
            </w:r>
          </w:p>
        </w:tc>
        <w:tc>
          <w:tcPr>
            <w:tcW w:type="dxa" w:w="3456"/>
            <w:shd w:fill="EDEDED"/>
            <w:vAlign w:val="top"/>
          </w:tcPr>
          <w:p>
            <w:pPr>
              <w:spacing w:after="60" w:before="60" w:line="252" w:lineRule="auto"/>
            </w:pPr>
            <w:r>
              <w:rPr>
                <w:b/>
                <w:sz w:val="18"/>
              </w:rPr>
              <w:t>Method</w:t>
            </w:r>
          </w:p>
        </w:tc>
        <w:tc>
          <w:tcPr>
            <w:tcW w:type="dxa" w:w="1728"/>
            <w:shd w:fill="EDEDED"/>
            <w:vAlign w:val="top"/>
          </w:tcPr>
          <w:p>
            <w:pPr>
              <w:spacing w:after="60" w:before="60" w:line="252" w:lineRule="auto"/>
            </w:pPr>
            <w:r>
              <w:rPr>
                <w:b/>
                <w:sz w:val="18"/>
              </w:rPr>
              <w:t>MAE pp</w:t>
            </w:r>
          </w:p>
        </w:tc>
        <w:tc>
          <w:tcPr>
            <w:tcW w:type="dxa" w:w="1728"/>
            <w:shd w:fill="EDEDED"/>
            <w:vAlign w:val="top"/>
          </w:tcPr>
          <w:p>
            <w:pPr>
              <w:spacing w:after="60" w:before="60" w:line="252" w:lineRule="auto"/>
            </w:pPr>
            <w:r>
              <w:rPr>
                <w:b/>
                <w:sz w:val="18"/>
              </w:rPr>
              <w:t>RMSE pp</w:t>
            </w:r>
          </w:p>
        </w:tc>
      </w:tr>
      <w:tr>
        <w:trPr>
          <w:cantSplit/>
        </w:trPr>
        <w:tc>
          <w:tcPr>
            <w:tcW w:type="dxa" w:w="2880"/>
            <w:vAlign w:val="top"/>
          </w:tcPr>
          <w:p>
            <w:pPr>
              <w:spacing w:after="60" w:before="60" w:line="252" w:lineRule="auto"/>
            </w:pPr>
            <w:r>
              <w:rPr>
                <w:b w:val="0"/>
                <w:sz w:val="18"/>
              </w:rPr>
              <w:t>Original primary</w:t>
            </w:r>
          </w:p>
        </w:tc>
        <w:tc>
          <w:tcPr>
            <w:tcW w:type="dxa" w:w="3456"/>
            <w:vAlign w:val="top"/>
          </w:tcPr>
          <w:p>
            <w:pPr>
              <w:spacing w:after="60" w:before="60" w:line="252" w:lineRule="auto"/>
            </w:pPr>
            <w:r>
              <w:rPr>
                <w:b w:val="0"/>
                <w:sz w:val="18"/>
              </w:rPr>
              <w:t>IIP only OLS</w:t>
            </w:r>
          </w:p>
        </w:tc>
        <w:tc>
          <w:tcPr>
            <w:tcW w:type="dxa" w:w="1728"/>
            <w:vAlign w:val="top"/>
          </w:tcPr>
          <w:p>
            <w:pPr>
              <w:spacing w:after="60" w:before="60" w:line="252" w:lineRule="auto"/>
            </w:pPr>
            <w:r>
              <w:rPr>
                <w:b w:val="0"/>
                <w:sz w:val="18"/>
              </w:rPr>
              <w:t>3.675</w:t>
            </w:r>
          </w:p>
        </w:tc>
        <w:tc>
          <w:tcPr>
            <w:tcW w:type="dxa" w:w="1728"/>
            <w:vAlign w:val="top"/>
          </w:tcPr>
          <w:p>
            <w:pPr>
              <w:spacing w:after="60" w:before="60" w:line="252" w:lineRule="auto"/>
            </w:pPr>
            <w:r>
              <w:rPr>
                <w:b w:val="0"/>
                <w:sz w:val="18"/>
              </w:rPr>
              <w:t>5.063</w:t>
            </w:r>
          </w:p>
        </w:tc>
      </w:tr>
      <w:tr>
        <w:trPr>
          <w:cantSplit/>
        </w:trPr>
        <w:tc>
          <w:tcPr>
            <w:tcW w:type="dxa" w:w="2880"/>
            <w:vAlign w:val="top"/>
          </w:tcPr>
          <w:p>
            <w:pPr>
              <w:spacing w:after="60" w:before="60" w:line="252" w:lineRule="auto"/>
            </w:pPr>
            <w:r>
              <w:rPr>
                <w:b w:val="0"/>
                <w:sz w:val="18"/>
              </w:rPr>
              <w:t>Original primary</w:t>
            </w:r>
          </w:p>
        </w:tc>
        <w:tc>
          <w:tcPr>
            <w:tcW w:type="dxa" w:w="3456"/>
            <w:vAlign w:val="top"/>
          </w:tcPr>
          <w:p>
            <w:pPr>
              <w:spacing w:after="60" w:before="60" w:line="252" w:lineRule="auto"/>
            </w:pPr>
            <w:r>
              <w:rPr>
                <w:b w:val="0"/>
                <w:sz w:val="18"/>
              </w:rPr>
              <w:t>Raw electricity OLS</w:t>
            </w:r>
          </w:p>
        </w:tc>
        <w:tc>
          <w:tcPr>
            <w:tcW w:type="dxa" w:w="1728"/>
            <w:vAlign w:val="top"/>
          </w:tcPr>
          <w:p>
            <w:pPr>
              <w:spacing w:after="60" w:before="60" w:line="252" w:lineRule="auto"/>
            </w:pPr>
            <w:r>
              <w:rPr>
                <w:b w:val="0"/>
                <w:sz w:val="18"/>
              </w:rPr>
              <w:t>12.674</w:t>
            </w:r>
          </w:p>
        </w:tc>
        <w:tc>
          <w:tcPr>
            <w:tcW w:type="dxa" w:w="1728"/>
            <w:vAlign w:val="top"/>
          </w:tcPr>
          <w:p>
            <w:pPr>
              <w:spacing w:after="60" w:before="60" w:line="252" w:lineRule="auto"/>
            </w:pPr>
            <w:r>
              <w:rPr>
                <w:b w:val="0"/>
                <w:sz w:val="18"/>
              </w:rPr>
              <w:t>14.516</w:t>
            </w:r>
          </w:p>
        </w:tc>
      </w:tr>
      <w:tr>
        <w:trPr>
          <w:cantSplit/>
        </w:trPr>
        <w:tc>
          <w:tcPr>
            <w:tcW w:type="dxa" w:w="2880"/>
            <w:vAlign w:val="top"/>
          </w:tcPr>
          <w:p>
            <w:pPr>
              <w:spacing w:after="60" w:before="60" w:line="252" w:lineRule="auto"/>
            </w:pPr>
            <w:r>
              <w:rPr>
                <w:b w:val="0"/>
                <w:sz w:val="18"/>
              </w:rPr>
              <w:t>Original primary</w:t>
            </w:r>
          </w:p>
        </w:tc>
        <w:tc>
          <w:tcPr>
            <w:tcW w:type="dxa" w:w="3456"/>
            <w:vAlign w:val="top"/>
          </w:tcPr>
          <w:p>
            <w:pPr>
              <w:spacing w:after="60" w:before="60" w:line="252" w:lineRule="auto"/>
            </w:pPr>
            <w:r>
              <w:rPr>
                <w:b w:val="0"/>
                <w:sz w:val="18"/>
              </w:rPr>
              <w:t>Adjusted electricity OLS</w:t>
            </w:r>
          </w:p>
        </w:tc>
        <w:tc>
          <w:tcPr>
            <w:tcW w:type="dxa" w:w="1728"/>
            <w:vAlign w:val="top"/>
          </w:tcPr>
          <w:p>
            <w:pPr>
              <w:spacing w:after="60" w:before="60" w:line="252" w:lineRule="auto"/>
            </w:pPr>
            <w:r>
              <w:rPr>
                <w:b w:val="0"/>
                <w:sz w:val="18"/>
              </w:rPr>
              <w:t>13.113</w:t>
            </w:r>
          </w:p>
        </w:tc>
        <w:tc>
          <w:tcPr>
            <w:tcW w:type="dxa" w:w="1728"/>
            <w:vAlign w:val="top"/>
          </w:tcPr>
          <w:p>
            <w:pPr>
              <w:spacing w:after="60" w:before="60" w:line="252" w:lineRule="auto"/>
            </w:pPr>
            <w:r>
              <w:rPr>
                <w:b w:val="0"/>
                <w:sz w:val="18"/>
              </w:rPr>
              <w:t>14.758</w:t>
            </w:r>
          </w:p>
        </w:tc>
      </w:tr>
      <w:tr>
        <w:trPr>
          <w:cantSplit/>
        </w:trPr>
        <w:tc>
          <w:tcPr>
            <w:tcW w:type="dxa" w:w="2880"/>
            <w:vAlign w:val="top"/>
          </w:tcPr>
          <w:p>
            <w:pPr>
              <w:spacing w:after="60" w:before="60" w:line="252" w:lineRule="auto"/>
            </w:pPr>
            <w:r>
              <w:rPr>
                <w:b w:val="0"/>
                <w:sz w:val="18"/>
              </w:rPr>
              <w:t>Original primary</w:t>
            </w:r>
          </w:p>
        </w:tc>
        <w:tc>
          <w:tcPr>
            <w:tcW w:type="dxa" w:w="3456"/>
            <w:vAlign w:val="top"/>
          </w:tcPr>
          <w:p>
            <w:pPr>
              <w:spacing w:after="60" w:before="60" w:line="252" w:lineRule="auto"/>
            </w:pPr>
            <w:r>
              <w:rPr>
                <w:b w:val="0"/>
                <w:sz w:val="18"/>
              </w:rPr>
              <w:t>Adjusted electricity ridge</w:t>
            </w:r>
          </w:p>
        </w:tc>
        <w:tc>
          <w:tcPr>
            <w:tcW w:type="dxa" w:w="1728"/>
            <w:vAlign w:val="top"/>
          </w:tcPr>
          <w:p>
            <w:pPr>
              <w:spacing w:after="60" w:before="60" w:line="252" w:lineRule="auto"/>
            </w:pPr>
            <w:r>
              <w:rPr>
                <w:b w:val="0"/>
                <w:sz w:val="18"/>
              </w:rPr>
              <w:t>4.842</w:t>
            </w:r>
          </w:p>
        </w:tc>
        <w:tc>
          <w:tcPr>
            <w:tcW w:type="dxa" w:w="1728"/>
            <w:vAlign w:val="top"/>
          </w:tcPr>
          <w:p>
            <w:pPr>
              <w:spacing w:after="60" w:before="60" w:line="252" w:lineRule="auto"/>
            </w:pPr>
            <w:r>
              <w:rPr>
                <w:b w:val="0"/>
                <w:sz w:val="18"/>
              </w:rPr>
              <w:t>5.413</w:t>
            </w:r>
          </w:p>
        </w:tc>
      </w:tr>
      <w:tr>
        <w:trPr>
          <w:cantSplit/>
        </w:trPr>
        <w:tc>
          <w:tcPr>
            <w:tcW w:type="dxa" w:w="2880"/>
            <w:vAlign w:val="top"/>
          </w:tcPr>
          <w:p>
            <w:pPr>
              <w:spacing w:after="60" w:before="60" w:line="252" w:lineRule="auto"/>
            </w:pPr>
            <w:r>
              <w:rPr>
                <w:b w:val="0"/>
                <w:sz w:val="18"/>
              </w:rPr>
              <w:t>Original narrow exclusion</w:t>
            </w:r>
          </w:p>
        </w:tc>
        <w:tc>
          <w:tcPr>
            <w:tcW w:type="dxa" w:w="3456"/>
            <w:vAlign w:val="top"/>
          </w:tcPr>
          <w:p>
            <w:pPr>
              <w:spacing w:after="60" w:before="60" w:line="252" w:lineRule="auto"/>
            </w:pPr>
            <w:r>
              <w:rPr>
                <w:b w:val="0"/>
                <w:sz w:val="18"/>
              </w:rPr>
              <w:t>IIP only OLS</w:t>
            </w:r>
          </w:p>
        </w:tc>
        <w:tc>
          <w:tcPr>
            <w:tcW w:type="dxa" w:w="1728"/>
            <w:vAlign w:val="top"/>
          </w:tcPr>
          <w:p>
            <w:pPr>
              <w:spacing w:after="60" w:before="60" w:line="252" w:lineRule="auto"/>
            </w:pPr>
            <w:r>
              <w:rPr>
                <w:b w:val="0"/>
                <w:sz w:val="18"/>
              </w:rPr>
              <w:t>3.646</w:t>
            </w:r>
          </w:p>
        </w:tc>
        <w:tc>
          <w:tcPr>
            <w:tcW w:type="dxa" w:w="1728"/>
            <w:vAlign w:val="top"/>
          </w:tcPr>
          <w:p>
            <w:pPr>
              <w:spacing w:after="60" w:before="60" w:line="252" w:lineRule="auto"/>
            </w:pPr>
            <w:r>
              <w:rPr>
                <w:b w:val="0"/>
                <w:sz w:val="18"/>
              </w:rPr>
              <w:t>5.307</w:t>
            </w:r>
          </w:p>
        </w:tc>
      </w:tr>
      <w:tr>
        <w:trPr>
          <w:cantSplit/>
        </w:trPr>
        <w:tc>
          <w:tcPr>
            <w:tcW w:type="dxa" w:w="2880"/>
            <w:vAlign w:val="top"/>
          </w:tcPr>
          <w:p>
            <w:pPr>
              <w:spacing w:after="60" w:before="60" w:line="252" w:lineRule="auto"/>
            </w:pPr>
            <w:r>
              <w:rPr>
                <w:b w:val="0"/>
                <w:sz w:val="18"/>
              </w:rPr>
              <w:t>Original narrow exclusion</w:t>
            </w:r>
          </w:p>
        </w:tc>
        <w:tc>
          <w:tcPr>
            <w:tcW w:type="dxa" w:w="3456"/>
            <w:vAlign w:val="top"/>
          </w:tcPr>
          <w:p>
            <w:pPr>
              <w:spacing w:after="60" w:before="60" w:line="252" w:lineRule="auto"/>
            </w:pPr>
            <w:r>
              <w:rPr>
                <w:b w:val="0"/>
                <w:sz w:val="18"/>
              </w:rPr>
              <w:t>Raw electricity OLS</w:t>
            </w:r>
          </w:p>
        </w:tc>
        <w:tc>
          <w:tcPr>
            <w:tcW w:type="dxa" w:w="1728"/>
            <w:vAlign w:val="top"/>
          </w:tcPr>
          <w:p>
            <w:pPr>
              <w:spacing w:after="60" w:before="60" w:line="252" w:lineRule="auto"/>
            </w:pPr>
            <w:r>
              <w:rPr>
                <w:b w:val="0"/>
                <w:sz w:val="18"/>
              </w:rPr>
              <w:t>2.755</w:t>
            </w:r>
          </w:p>
        </w:tc>
        <w:tc>
          <w:tcPr>
            <w:tcW w:type="dxa" w:w="1728"/>
            <w:vAlign w:val="top"/>
          </w:tcPr>
          <w:p>
            <w:pPr>
              <w:spacing w:after="60" w:before="60" w:line="252" w:lineRule="auto"/>
            </w:pPr>
            <w:r>
              <w:rPr>
                <w:b w:val="0"/>
                <w:sz w:val="18"/>
              </w:rPr>
              <w:t>3.873</w:t>
            </w:r>
          </w:p>
        </w:tc>
      </w:tr>
      <w:tr>
        <w:trPr>
          <w:cantSplit/>
        </w:trPr>
        <w:tc>
          <w:tcPr>
            <w:tcW w:type="dxa" w:w="2880"/>
            <w:vAlign w:val="top"/>
          </w:tcPr>
          <w:p>
            <w:pPr>
              <w:spacing w:after="60" w:before="60" w:line="252" w:lineRule="auto"/>
            </w:pPr>
            <w:r>
              <w:rPr>
                <w:b w:val="0"/>
                <w:sz w:val="18"/>
              </w:rPr>
              <w:t>Original narrow exclusion</w:t>
            </w:r>
          </w:p>
        </w:tc>
        <w:tc>
          <w:tcPr>
            <w:tcW w:type="dxa" w:w="3456"/>
            <w:vAlign w:val="top"/>
          </w:tcPr>
          <w:p>
            <w:pPr>
              <w:spacing w:after="60" w:before="60" w:line="252" w:lineRule="auto"/>
            </w:pPr>
            <w:r>
              <w:rPr>
                <w:b w:val="0"/>
                <w:sz w:val="18"/>
              </w:rPr>
              <w:t>Adjusted electricity OLS</w:t>
            </w:r>
          </w:p>
        </w:tc>
        <w:tc>
          <w:tcPr>
            <w:tcW w:type="dxa" w:w="1728"/>
            <w:vAlign w:val="top"/>
          </w:tcPr>
          <w:p>
            <w:pPr>
              <w:spacing w:after="60" w:before="60" w:line="252" w:lineRule="auto"/>
            </w:pPr>
            <w:r>
              <w:rPr>
                <w:b w:val="0"/>
                <w:sz w:val="18"/>
              </w:rPr>
              <w:t>2.674</w:t>
            </w:r>
          </w:p>
        </w:tc>
        <w:tc>
          <w:tcPr>
            <w:tcW w:type="dxa" w:w="1728"/>
            <w:vAlign w:val="top"/>
          </w:tcPr>
          <w:p>
            <w:pPr>
              <w:spacing w:after="60" w:before="60" w:line="252" w:lineRule="auto"/>
            </w:pPr>
            <w:r>
              <w:rPr>
                <w:b w:val="0"/>
                <w:sz w:val="18"/>
              </w:rPr>
              <w:t>3.877</w:t>
            </w:r>
          </w:p>
        </w:tc>
      </w:tr>
      <w:tr>
        <w:trPr>
          <w:cantSplit/>
        </w:trPr>
        <w:tc>
          <w:tcPr>
            <w:tcW w:type="dxa" w:w="2880"/>
            <w:vAlign w:val="top"/>
          </w:tcPr>
          <w:p>
            <w:pPr>
              <w:spacing w:after="60" w:before="60" w:line="252" w:lineRule="auto"/>
            </w:pPr>
            <w:r>
              <w:rPr>
                <w:b w:val="0"/>
                <w:sz w:val="18"/>
              </w:rPr>
              <w:t>Original narrow exclusion</w:t>
            </w:r>
          </w:p>
        </w:tc>
        <w:tc>
          <w:tcPr>
            <w:tcW w:type="dxa" w:w="3456"/>
            <w:vAlign w:val="top"/>
          </w:tcPr>
          <w:p>
            <w:pPr>
              <w:spacing w:after="60" w:before="60" w:line="252" w:lineRule="auto"/>
            </w:pPr>
            <w:r>
              <w:rPr>
                <w:b w:val="0"/>
                <w:sz w:val="18"/>
              </w:rPr>
              <w:t>Adjusted electricity ridge</w:t>
            </w:r>
          </w:p>
        </w:tc>
        <w:tc>
          <w:tcPr>
            <w:tcW w:type="dxa" w:w="1728"/>
            <w:vAlign w:val="top"/>
          </w:tcPr>
          <w:p>
            <w:pPr>
              <w:spacing w:after="60" w:before="60" w:line="252" w:lineRule="auto"/>
            </w:pPr>
            <w:r>
              <w:rPr>
                <w:b w:val="0"/>
                <w:sz w:val="18"/>
              </w:rPr>
              <w:t>2.863</w:t>
            </w:r>
          </w:p>
        </w:tc>
        <w:tc>
          <w:tcPr>
            <w:tcW w:type="dxa" w:w="1728"/>
            <w:vAlign w:val="top"/>
          </w:tcPr>
          <w:p>
            <w:pPr>
              <w:spacing w:after="60" w:before="60" w:line="252" w:lineRule="auto"/>
            </w:pPr>
            <w:r>
              <w:rPr>
                <w:b w:val="0"/>
                <w:sz w:val="18"/>
              </w:rPr>
              <w:t>4.301</w:t>
            </w:r>
          </w:p>
        </w:tc>
      </w:tr>
    </w:tbl>
    <w:p>
      <w:pPr>
        <w:spacing w:after="40"/>
      </w:pPr>
    </w:p>
    <w:p>
      <w:r>
        <w:t>Original primary adjusted ridge had MAE 4.842 against benchmark 3.675, a difference of +1.167 percentage points with an exploratory interval from −0.877 to +2.907. The narrow exclusion changed the apparent ranking, motivating the stricter extension. Original lag-three, lag-seven and 95 percent-coverage checks also left the benchmark ahead of adjusted ridge; benchmark/ridge MAEs were 3.675/4.842, 3.728/4.878 and 3.757/4.707 respectively. These are within-original sensitivity results, not evidence from the extension.</w:t>
      </w:r>
    </w:p>
    <w:p>
      <w:pPr>
        <w:pStyle w:val="Heading1"/>
        <w:pageBreakBefore/>
      </w:pPr>
      <w:r>
        <w:t>8 Extension accuracy with full history</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Pr>
      <w:tblGrid>
        <w:gridCol w:w="2088"/>
        <w:gridCol w:w="2952"/>
        <w:gridCol w:w="1440"/>
        <w:gridCol w:w="1440"/>
        <w:gridCol w:w="1872"/>
      </w:tblGrid>
      <w:tr>
        <w:trPr>
          <w:tblHeader/>
          <w:cantSplit/>
        </w:trPr>
        <w:tc>
          <w:tcPr>
            <w:tcW w:type="dxa" w:w="2088"/>
            <w:shd w:fill="EDEDED"/>
            <w:vAlign w:val="top"/>
          </w:tcPr>
          <w:p>
            <w:pPr>
              <w:spacing w:after="60" w:before="60" w:line="252" w:lineRule="auto"/>
            </w:pPr>
            <w:r>
              <w:rPr>
                <w:b/>
                <w:sz w:val="18"/>
              </w:rPr>
              <w:t>Target</w:t>
            </w:r>
          </w:p>
        </w:tc>
        <w:tc>
          <w:tcPr>
            <w:tcW w:type="dxa" w:w="2952"/>
            <w:shd w:fill="EDEDED"/>
            <w:vAlign w:val="top"/>
          </w:tcPr>
          <w:p>
            <w:pPr>
              <w:spacing w:after="60" w:before="60" w:line="252" w:lineRule="auto"/>
            </w:pPr>
            <w:r>
              <w:rPr>
                <w:b/>
                <w:sz w:val="18"/>
              </w:rPr>
              <w:t>Method</w:t>
            </w:r>
          </w:p>
        </w:tc>
        <w:tc>
          <w:tcPr>
            <w:tcW w:type="dxa" w:w="1440"/>
            <w:shd w:fill="EDEDED"/>
            <w:vAlign w:val="top"/>
          </w:tcPr>
          <w:p>
            <w:pPr>
              <w:spacing w:after="60" w:before="60" w:line="252" w:lineRule="auto"/>
            </w:pPr>
            <w:r>
              <w:rPr>
                <w:b/>
                <w:sz w:val="18"/>
              </w:rPr>
              <w:t>MAE pp</w:t>
            </w:r>
          </w:p>
        </w:tc>
        <w:tc>
          <w:tcPr>
            <w:tcW w:type="dxa" w:w="1440"/>
            <w:shd w:fill="EDEDED"/>
            <w:vAlign w:val="top"/>
          </w:tcPr>
          <w:p>
            <w:pPr>
              <w:spacing w:after="60" w:before="60" w:line="252" w:lineRule="auto"/>
            </w:pPr>
            <w:r>
              <w:rPr>
                <w:b/>
                <w:sz w:val="18"/>
              </w:rPr>
              <w:t>RMSE pp</w:t>
            </w:r>
          </w:p>
        </w:tc>
        <w:tc>
          <w:tcPr>
            <w:tcW w:type="dxa" w:w="1872"/>
            <w:shd w:fill="EDEDED"/>
            <w:vAlign w:val="top"/>
          </w:tcPr>
          <w:p>
            <w:pPr>
              <w:spacing w:after="60" w:before="60" w:line="252" w:lineRule="auto"/>
            </w:pPr>
            <w:r>
              <w:rPr>
                <w:b/>
                <w:sz w:val="18"/>
              </w:rPr>
              <w:t>MAE gain %</w:t>
            </w:r>
          </w:p>
        </w:tc>
      </w:tr>
      <w:tr>
        <w:trPr>
          <w:cantSplit/>
        </w:trPr>
        <w:tc>
          <w:tcPr>
            <w:tcW w:type="dxa" w:w="2088"/>
            <w:vAlign w:val="top"/>
          </w:tcPr>
          <w:p>
            <w:pPr>
              <w:spacing w:after="60" w:before="60" w:line="252" w:lineRule="auto"/>
            </w:pPr>
            <w:r>
              <w:rPr>
                <w:b w:val="0"/>
                <w:sz w:val="18"/>
              </w:rPr>
              <w:t>Manufacturing</w:t>
            </w:r>
          </w:p>
        </w:tc>
        <w:tc>
          <w:tcPr>
            <w:tcW w:type="dxa" w:w="2952"/>
            <w:vAlign w:val="top"/>
          </w:tcPr>
          <w:p>
            <w:pPr>
              <w:spacing w:after="60" w:before="60" w:line="252" w:lineRule="auto"/>
            </w:pPr>
            <w:r>
              <w:rPr>
                <w:b w:val="0"/>
                <w:sz w:val="18"/>
              </w:rPr>
              <w:t>IIP only OLS</w:t>
            </w:r>
          </w:p>
        </w:tc>
        <w:tc>
          <w:tcPr>
            <w:tcW w:type="dxa" w:w="1440"/>
            <w:vAlign w:val="top"/>
          </w:tcPr>
          <w:p>
            <w:pPr>
              <w:spacing w:after="60" w:before="60" w:line="252" w:lineRule="auto"/>
            </w:pPr>
            <w:r>
              <w:rPr>
                <w:b w:val="0"/>
                <w:sz w:val="18"/>
              </w:rPr>
              <w:t>2.166</w:t>
            </w:r>
          </w:p>
        </w:tc>
        <w:tc>
          <w:tcPr>
            <w:tcW w:type="dxa" w:w="1440"/>
            <w:vAlign w:val="top"/>
          </w:tcPr>
          <w:p>
            <w:pPr>
              <w:spacing w:after="60" w:before="60" w:line="252" w:lineRule="auto"/>
            </w:pPr>
            <w:r>
              <w:rPr>
                <w:b w:val="0"/>
                <w:sz w:val="18"/>
              </w:rPr>
              <w:t>2.557</w:t>
            </w:r>
          </w:p>
        </w:tc>
        <w:tc>
          <w:tcPr>
            <w:tcW w:type="dxa" w:w="1872"/>
            <w:vAlign w:val="top"/>
          </w:tcPr>
          <w:p>
            <w:pPr>
              <w:spacing w:after="60" w:before="60" w:line="252" w:lineRule="auto"/>
            </w:pPr>
            <w:r>
              <w:rPr>
                <w:b w:val="0"/>
                <w:sz w:val="18"/>
              </w:rPr>
              <w:t>+0.00</w:t>
            </w:r>
          </w:p>
        </w:tc>
      </w:tr>
      <w:tr>
        <w:trPr>
          <w:cantSplit/>
        </w:trPr>
        <w:tc>
          <w:tcPr>
            <w:tcW w:type="dxa" w:w="2088"/>
            <w:vAlign w:val="top"/>
          </w:tcPr>
          <w:p>
            <w:pPr>
              <w:spacing w:after="60" w:before="60" w:line="252" w:lineRule="auto"/>
            </w:pPr>
            <w:r>
              <w:rPr>
                <w:b w:val="0"/>
                <w:sz w:val="18"/>
              </w:rPr>
              <w:t>Manufacturing</w:t>
            </w:r>
          </w:p>
        </w:tc>
        <w:tc>
          <w:tcPr>
            <w:tcW w:type="dxa" w:w="2952"/>
            <w:vAlign w:val="top"/>
          </w:tcPr>
          <w:p>
            <w:pPr>
              <w:spacing w:after="60" w:before="60" w:line="252" w:lineRule="auto"/>
            </w:pPr>
            <w:r>
              <w:rPr>
                <w:b w:val="0"/>
                <w:sz w:val="18"/>
              </w:rPr>
              <w:t>Raw electricity OLS</w:t>
            </w:r>
          </w:p>
        </w:tc>
        <w:tc>
          <w:tcPr>
            <w:tcW w:type="dxa" w:w="1440"/>
            <w:vAlign w:val="top"/>
          </w:tcPr>
          <w:p>
            <w:pPr>
              <w:spacing w:after="60" w:before="60" w:line="252" w:lineRule="auto"/>
            </w:pPr>
            <w:r>
              <w:rPr>
                <w:b w:val="0"/>
                <w:sz w:val="18"/>
              </w:rPr>
              <w:t>9.116</w:t>
            </w:r>
          </w:p>
        </w:tc>
        <w:tc>
          <w:tcPr>
            <w:tcW w:type="dxa" w:w="1440"/>
            <w:vAlign w:val="top"/>
          </w:tcPr>
          <w:p>
            <w:pPr>
              <w:spacing w:after="60" w:before="60" w:line="252" w:lineRule="auto"/>
            </w:pPr>
            <w:r>
              <w:rPr>
                <w:b w:val="0"/>
                <w:sz w:val="18"/>
              </w:rPr>
              <w:t>11.063</w:t>
            </w:r>
          </w:p>
        </w:tc>
        <w:tc>
          <w:tcPr>
            <w:tcW w:type="dxa" w:w="1872"/>
            <w:vAlign w:val="top"/>
          </w:tcPr>
          <w:p>
            <w:pPr>
              <w:spacing w:after="60" w:before="60" w:line="252" w:lineRule="auto"/>
            </w:pPr>
            <w:r>
              <w:rPr>
                <w:b w:val="0"/>
                <w:sz w:val="18"/>
              </w:rPr>
              <w:t>-320.82</w:t>
            </w:r>
          </w:p>
        </w:tc>
      </w:tr>
      <w:tr>
        <w:trPr>
          <w:cantSplit/>
        </w:trPr>
        <w:tc>
          <w:tcPr>
            <w:tcW w:type="dxa" w:w="2088"/>
            <w:vAlign w:val="top"/>
          </w:tcPr>
          <w:p>
            <w:pPr>
              <w:spacing w:after="60" w:before="60" w:line="252" w:lineRule="auto"/>
            </w:pPr>
            <w:r>
              <w:rPr>
                <w:b w:val="0"/>
                <w:sz w:val="18"/>
              </w:rPr>
              <w:t>Manufacturing</w:t>
            </w:r>
          </w:p>
        </w:tc>
        <w:tc>
          <w:tcPr>
            <w:tcW w:type="dxa" w:w="2952"/>
            <w:vAlign w:val="top"/>
          </w:tcPr>
          <w:p>
            <w:pPr>
              <w:spacing w:after="60" w:before="60" w:line="252" w:lineRule="auto"/>
            </w:pPr>
            <w:r>
              <w:rPr>
                <w:b w:val="0"/>
                <w:sz w:val="18"/>
              </w:rPr>
              <w:t>Adjusted electricity OLS</w:t>
            </w:r>
          </w:p>
        </w:tc>
        <w:tc>
          <w:tcPr>
            <w:tcW w:type="dxa" w:w="1440"/>
            <w:vAlign w:val="top"/>
          </w:tcPr>
          <w:p>
            <w:pPr>
              <w:spacing w:after="60" w:before="60" w:line="252" w:lineRule="auto"/>
            </w:pPr>
            <w:r>
              <w:rPr>
                <w:b w:val="0"/>
                <w:sz w:val="18"/>
              </w:rPr>
              <w:t>6.667</w:t>
            </w:r>
          </w:p>
        </w:tc>
        <w:tc>
          <w:tcPr>
            <w:tcW w:type="dxa" w:w="1440"/>
            <w:vAlign w:val="top"/>
          </w:tcPr>
          <w:p>
            <w:pPr>
              <w:spacing w:after="60" w:before="60" w:line="252" w:lineRule="auto"/>
            </w:pPr>
            <w:r>
              <w:rPr>
                <w:b w:val="0"/>
                <w:sz w:val="18"/>
              </w:rPr>
              <w:t>8.791</w:t>
            </w:r>
          </w:p>
        </w:tc>
        <w:tc>
          <w:tcPr>
            <w:tcW w:type="dxa" w:w="1872"/>
            <w:vAlign w:val="top"/>
          </w:tcPr>
          <w:p>
            <w:pPr>
              <w:spacing w:after="60" w:before="60" w:line="252" w:lineRule="auto"/>
            </w:pPr>
            <w:r>
              <w:rPr>
                <w:b w:val="0"/>
                <w:sz w:val="18"/>
              </w:rPr>
              <w:t>-207.76</w:t>
            </w:r>
          </w:p>
        </w:tc>
      </w:tr>
      <w:tr>
        <w:trPr>
          <w:cantSplit/>
        </w:trPr>
        <w:tc>
          <w:tcPr>
            <w:tcW w:type="dxa" w:w="2088"/>
            <w:vAlign w:val="top"/>
          </w:tcPr>
          <w:p>
            <w:pPr>
              <w:spacing w:after="60" w:before="60" w:line="252" w:lineRule="auto"/>
            </w:pPr>
            <w:r>
              <w:rPr>
                <w:b w:val="0"/>
                <w:sz w:val="18"/>
              </w:rPr>
              <w:t>Manufacturing</w:t>
            </w:r>
          </w:p>
        </w:tc>
        <w:tc>
          <w:tcPr>
            <w:tcW w:type="dxa" w:w="2952"/>
            <w:vAlign w:val="top"/>
          </w:tcPr>
          <w:p>
            <w:pPr>
              <w:spacing w:after="60" w:before="60" w:line="252" w:lineRule="auto"/>
            </w:pPr>
            <w:r>
              <w:rPr>
                <w:b w:val="0"/>
                <w:sz w:val="18"/>
              </w:rPr>
              <w:t>Adjusted electricity ridge</w:t>
            </w:r>
          </w:p>
        </w:tc>
        <w:tc>
          <w:tcPr>
            <w:tcW w:type="dxa" w:w="1440"/>
            <w:vAlign w:val="top"/>
          </w:tcPr>
          <w:p>
            <w:pPr>
              <w:spacing w:after="60" w:before="60" w:line="252" w:lineRule="auto"/>
            </w:pPr>
            <w:r>
              <w:rPr>
                <w:b w:val="0"/>
                <w:sz w:val="18"/>
              </w:rPr>
              <w:t>3.706</w:t>
            </w:r>
          </w:p>
        </w:tc>
        <w:tc>
          <w:tcPr>
            <w:tcW w:type="dxa" w:w="1440"/>
            <w:vAlign w:val="top"/>
          </w:tcPr>
          <w:p>
            <w:pPr>
              <w:spacing w:after="60" w:before="60" w:line="252" w:lineRule="auto"/>
            </w:pPr>
            <w:r>
              <w:rPr>
                <w:b w:val="0"/>
                <w:sz w:val="18"/>
              </w:rPr>
              <w:t>4.725</w:t>
            </w:r>
          </w:p>
        </w:tc>
        <w:tc>
          <w:tcPr>
            <w:tcW w:type="dxa" w:w="1872"/>
            <w:vAlign w:val="top"/>
          </w:tcPr>
          <w:p>
            <w:pPr>
              <w:spacing w:after="60" w:before="60" w:line="252" w:lineRule="auto"/>
            </w:pPr>
            <w:r>
              <w:rPr>
                <w:b w:val="0"/>
                <w:sz w:val="18"/>
              </w:rPr>
              <w:t>-71.07</w:t>
            </w:r>
          </w:p>
        </w:tc>
      </w:tr>
      <w:tr>
        <w:trPr>
          <w:cantSplit/>
        </w:trPr>
        <w:tc>
          <w:tcPr>
            <w:tcW w:type="dxa" w:w="2088"/>
            <w:vAlign w:val="top"/>
          </w:tcPr>
          <w:p>
            <w:pPr>
              <w:spacing w:after="60" w:before="60" w:line="252" w:lineRule="auto"/>
            </w:pPr>
            <w:r>
              <w:rPr>
                <w:b w:val="0"/>
                <w:sz w:val="18"/>
              </w:rPr>
              <w:t>Basic metals</w:t>
            </w:r>
          </w:p>
        </w:tc>
        <w:tc>
          <w:tcPr>
            <w:tcW w:type="dxa" w:w="2952"/>
            <w:vAlign w:val="top"/>
          </w:tcPr>
          <w:p>
            <w:pPr>
              <w:spacing w:after="60" w:before="60" w:line="252" w:lineRule="auto"/>
            </w:pPr>
            <w:r>
              <w:rPr>
                <w:b w:val="0"/>
                <w:sz w:val="18"/>
              </w:rPr>
              <w:t>IIP only OLS</w:t>
            </w:r>
          </w:p>
        </w:tc>
        <w:tc>
          <w:tcPr>
            <w:tcW w:type="dxa" w:w="1440"/>
            <w:vAlign w:val="top"/>
          </w:tcPr>
          <w:p>
            <w:pPr>
              <w:spacing w:after="60" w:before="60" w:line="252" w:lineRule="auto"/>
            </w:pPr>
            <w:r>
              <w:rPr>
                <w:b w:val="0"/>
                <w:sz w:val="18"/>
              </w:rPr>
              <w:t>3.605</w:t>
            </w:r>
          </w:p>
        </w:tc>
        <w:tc>
          <w:tcPr>
            <w:tcW w:type="dxa" w:w="1440"/>
            <w:vAlign w:val="top"/>
          </w:tcPr>
          <w:p>
            <w:pPr>
              <w:spacing w:after="60" w:before="60" w:line="252" w:lineRule="auto"/>
            </w:pPr>
            <w:r>
              <w:rPr>
                <w:b w:val="0"/>
                <w:sz w:val="18"/>
              </w:rPr>
              <w:t>4.079</w:t>
            </w:r>
          </w:p>
        </w:tc>
        <w:tc>
          <w:tcPr>
            <w:tcW w:type="dxa" w:w="1872"/>
            <w:vAlign w:val="top"/>
          </w:tcPr>
          <w:p>
            <w:pPr>
              <w:spacing w:after="60" w:before="60" w:line="252" w:lineRule="auto"/>
            </w:pPr>
            <w:r>
              <w:rPr>
                <w:b w:val="0"/>
                <w:sz w:val="18"/>
              </w:rPr>
              <w:t>+0.00</w:t>
            </w:r>
          </w:p>
        </w:tc>
      </w:tr>
      <w:tr>
        <w:trPr>
          <w:cantSplit/>
        </w:trPr>
        <w:tc>
          <w:tcPr>
            <w:tcW w:type="dxa" w:w="2088"/>
            <w:vAlign w:val="top"/>
          </w:tcPr>
          <w:p>
            <w:pPr>
              <w:spacing w:after="60" w:before="60" w:line="252" w:lineRule="auto"/>
            </w:pPr>
            <w:r>
              <w:rPr>
                <w:b w:val="0"/>
                <w:sz w:val="18"/>
              </w:rPr>
              <w:t>Basic metals</w:t>
            </w:r>
          </w:p>
        </w:tc>
        <w:tc>
          <w:tcPr>
            <w:tcW w:type="dxa" w:w="2952"/>
            <w:vAlign w:val="top"/>
          </w:tcPr>
          <w:p>
            <w:pPr>
              <w:spacing w:after="60" w:before="60" w:line="252" w:lineRule="auto"/>
            </w:pPr>
            <w:r>
              <w:rPr>
                <w:b w:val="0"/>
                <w:sz w:val="18"/>
              </w:rPr>
              <w:t>Raw electricity OLS</w:t>
            </w:r>
          </w:p>
        </w:tc>
        <w:tc>
          <w:tcPr>
            <w:tcW w:type="dxa" w:w="1440"/>
            <w:vAlign w:val="top"/>
          </w:tcPr>
          <w:p>
            <w:pPr>
              <w:spacing w:after="60" w:before="60" w:line="252" w:lineRule="auto"/>
            </w:pPr>
            <w:r>
              <w:rPr>
                <w:b w:val="0"/>
                <w:sz w:val="18"/>
              </w:rPr>
              <w:t>12.278</w:t>
            </w:r>
          </w:p>
        </w:tc>
        <w:tc>
          <w:tcPr>
            <w:tcW w:type="dxa" w:w="1440"/>
            <w:vAlign w:val="top"/>
          </w:tcPr>
          <w:p>
            <w:pPr>
              <w:spacing w:after="60" w:before="60" w:line="252" w:lineRule="auto"/>
            </w:pPr>
            <w:r>
              <w:rPr>
                <w:b w:val="0"/>
                <w:sz w:val="18"/>
              </w:rPr>
              <w:t>14.763</w:t>
            </w:r>
          </w:p>
        </w:tc>
        <w:tc>
          <w:tcPr>
            <w:tcW w:type="dxa" w:w="1872"/>
            <w:vAlign w:val="top"/>
          </w:tcPr>
          <w:p>
            <w:pPr>
              <w:spacing w:after="60" w:before="60" w:line="252" w:lineRule="auto"/>
            </w:pPr>
            <w:r>
              <w:rPr>
                <w:b w:val="0"/>
                <w:sz w:val="18"/>
              </w:rPr>
              <w:t>-240.56</w:t>
            </w:r>
          </w:p>
        </w:tc>
      </w:tr>
      <w:tr>
        <w:trPr>
          <w:cantSplit/>
        </w:trPr>
        <w:tc>
          <w:tcPr>
            <w:tcW w:type="dxa" w:w="2088"/>
            <w:vAlign w:val="top"/>
          </w:tcPr>
          <w:p>
            <w:pPr>
              <w:spacing w:after="60" w:before="60" w:line="252" w:lineRule="auto"/>
            </w:pPr>
            <w:r>
              <w:rPr>
                <w:b w:val="0"/>
                <w:sz w:val="18"/>
              </w:rPr>
              <w:t>Basic metals</w:t>
            </w:r>
          </w:p>
        </w:tc>
        <w:tc>
          <w:tcPr>
            <w:tcW w:type="dxa" w:w="2952"/>
            <w:vAlign w:val="top"/>
          </w:tcPr>
          <w:p>
            <w:pPr>
              <w:spacing w:after="60" w:before="60" w:line="252" w:lineRule="auto"/>
            </w:pPr>
            <w:r>
              <w:rPr>
                <w:b w:val="0"/>
                <w:sz w:val="18"/>
              </w:rPr>
              <w:t>Adjusted electricity OLS</w:t>
            </w:r>
          </w:p>
        </w:tc>
        <w:tc>
          <w:tcPr>
            <w:tcW w:type="dxa" w:w="1440"/>
            <w:vAlign w:val="top"/>
          </w:tcPr>
          <w:p>
            <w:pPr>
              <w:spacing w:after="60" w:before="60" w:line="252" w:lineRule="auto"/>
            </w:pPr>
            <w:r>
              <w:rPr>
                <w:b w:val="0"/>
                <w:sz w:val="18"/>
              </w:rPr>
              <w:t>8.849</w:t>
            </w:r>
          </w:p>
        </w:tc>
        <w:tc>
          <w:tcPr>
            <w:tcW w:type="dxa" w:w="1440"/>
            <w:vAlign w:val="top"/>
          </w:tcPr>
          <w:p>
            <w:pPr>
              <w:spacing w:after="60" w:before="60" w:line="252" w:lineRule="auto"/>
            </w:pPr>
            <w:r>
              <w:rPr>
                <w:b w:val="0"/>
                <w:sz w:val="18"/>
              </w:rPr>
              <w:t>11.484</w:t>
            </w:r>
          </w:p>
        </w:tc>
        <w:tc>
          <w:tcPr>
            <w:tcW w:type="dxa" w:w="1872"/>
            <w:vAlign w:val="top"/>
          </w:tcPr>
          <w:p>
            <w:pPr>
              <w:spacing w:after="60" w:before="60" w:line="252" w:lineRule="auto"/>
            </w:pPr>
            <w:r>
              <w:rPr>
                <w:b w:val="0"/>
                <w:sz w:val="18"/>
              </w:rPr>
              <w:t>-145.44</w:t>
            </w:r>
          </w:p>
        </w:tc>
      </w:tr>
      <w:tr>
        <w:trPr>
          <w:cantSplit/>
        </w:trPr>
        <w:tc>
          <w:tcPr>
            <w:tcW w:type="dxa" w:w="2088"/>
            <w:vAlign w:val="top"/>
          </w:tcPr>
          <w:p>
            <w:pPr>
              <w:spacing w:after="60" w:before="60" w:line="252" w:lineRule="auto"/>
            </w:pPr>
            <w:r>
              <w:rPr>
                <w:b w:val="0"/>
                <w:sz w:val="18"/>
              </w:rPr>
              <w:t>Basic metals</w:t>
            </w:r>
          </w:p>
        </w:tc>
        <w:tc>
          <w:tcPr>
            <w:tcW w:type="dxa" w:w="2952"/>
            <w:vAlign w:val="top"/>
          </w:tcPr>
          <w:p>
            <w:pPr>
              <w:spacing w:after="60" w:before="60" w:line="252" w:lineRule="auto"/>
            </w:pPr>
            <w:r>
              <w:rPr>
                <w:b w:val="0"/>
                <w:sz w:val="18"/>
              </w:rPr>
              <w:t>Adjusted electricity ridge</w:t>
            </w:r>
          </w:p>
        </w:tc>
        <w:tc>
          <w:tcPr>
            <w:tcW w:type="dxa" w:w="1440"/>
            <w:vAlign w:val="top"/>
          </w:tcPr>
          <w:p>
            <w:pPr>
              <w:spacing w:after="60" w:before="60" w:line="252" w:lineRule="auto"/>
            </w:pPr>
            <w:r>
              <w:rPr>
                <w:b w:val="0"/>
                <w:sz w:val="18"/>
              </w:rPr>
              <w:t>4.884</w:t>
            </w:r>
          </w:p>
        </w:tc>
        <w:tc>
          <w:tcPr>
            <w:tcW w:type="dxa" w:w="1440"/>
            <w:vAlign w:val="top"/>
          </w:tcPr>
          <w:p>
            <w:pPr>
              <w:spacing w:after="60" w:before="60" w:line="252" w:lineRule="auto"/>
            </w:pPr>
            <w:r>
              <w:rPr>
                <w:b w:val="0"/>
                <w:sz w:val="18"/>
              </w:rPr>
              <w:t>6.014</w:t>
            </w:r>
          </w:p>
        </w:tc>
        <w:tc>
          <w:tcPr>
            <w:tcW w:type="dxa" w:w="1872"/>
            <w:vAlign w:val="top"/>
          </w:tcPr>
          <w:p>
            <w:pPr>
              <w:spacing w:after="60" w:before="60" w:line="252" w:lineRule="auto"/>
            </w:pPr>
            <w:r>
              <w:rPr>
                <w:b w:val="0"/>
                <w:sz w:val="18"/>
              </w:rPr>
              <w:t>-35.46</w:t>
            </w:r>
          </w:p>
        </w:tc>
      </w:tr>
      <w:tr>
        <w:trPr>
          <w:cantSplit/>
        </w:trPr>
        <w:tc>
          <w:tcPr>
            <w:tcW w:type="dxa" w:w="2088"/>
            <w:vAlign w:val="top"/>
          </w:tcPr>
          <w:p>
            <w:pPr>
              <w:spacing w:after="60" w:before="60" w:line="252" w:lineRule="auto"/>
            </w:pPr>
            <w:r>
              <w:rPr>
                <w:b w:val="0"/>
                <w:sz w:val="18"/>
              </w:rPr>
              <w:t>Non metallic minerals</w:t>
            </w:r>
          </w:p>
        </w:tc>
        <w:tc>
          <w:tcPr>
            <w:tcW w:type="dxa" w:w="2952"/>
            <w:vAlign w:val="top"/>
          </w:tcPr>
          <w:p>
            <w:pPr>
              <w:spacing w:after="60" w:before="60" w:line="252" w:lineRule="auto"/>
            </w:pPr>
            <w:r>
              <w:rPr>
                <w:b w:val="0"/>
                <w:sz w:val="18"/>
              </w:rPr>
              <w:t>IIP only OLS</w:t>
            </w:r>
          </w:p>
        </w:tc>
        <w:tc>
          <w:tcPr>
            <w:tcW w:type="dxa" w:w="1440"/>
            <w:vAlign w:val="top"/>
          </w:tcPr>
          <w:p>
            <w:pPr>
              <w:spacing w:after="60" w:before="60" w:line="252" w:lineRule="auto"/>
            </w:pPr>
            <w:r>
              <w:rPr>
                <w:b w:val="0"/>
                <w:sz w:val="18"/>
              </w:rPr>
              <w:t>7.757</w:t>
            </w:r>
          </w:p>
        </w:tc>
        <w:tc>
          <w:tcPr>
            <w:tcW w:type="dxa" w:w="1440"/>
            <w:vAlign w:val="top"/>
          </w:tcPr>
          <w:p>
            <w:pPr>
              <w:spacing w:after="60" w:before="60" w:line="252" w:lineRule="auto"/>
            </w:pPr>
            <w:r>
              <w:rPr>
                <w:b w:val="0"/>
                <w:sz w:val="18"/>
              </w:rPr>
              <w:t>9.048</w:t>
            </w:r>
          </w:p>
        </w:tc>
        <w:tc>
          <w:tcPr>
            <w:tcW w:type="dxa" w:w="1872"/>
            <w:vAlign w:val="top"/>
          </w:tcPr>
          <w:p>
            <w:pPr>
              <w:spacing w:after="60" w:before="60" w:line="252" w:lineRule="auto"/>
            </w:pPr>
            <w:r>
              <w:rPr>
                <w:b w:val="0"/>
                <w:sz w:val="18"/>
              </w:rPr>
              <w:t>+0.00</w:t>
            </w:r>
          </w:p>
        </w:tc>
      </w:tr>
      <w:tr>
        <w:trPr>
          <w:cantSplit/>
        </w:trPr>
        <w:tc>
          <w:tcPr>
            <w:tcW w:type="dxa" w:w="2088"/>
            <w:vAlign w:val="top"/>
          </w:tcPr>
          <w:p>
            <w:pPr>
              <w:spacing w:after="60" w:before="60" w:line="252" w:lineRule="auto"/>
            </w:pPr>
            <w:r>
              <w:rPr>
                <w:b w:val="0"/>
                <w:sz w:val="18"/>
              </w:rPr>
              <w:t>Non metallic minerals</w:t>
            </w:r>
          </w:p>
        </w:tc>
        <w:tc>
          <w:tcPr>
            <w:tcW w:type="dxa" w:w="2952"/>
            <w:vAlign w:val="top"/>
          </w:tcPr>
          <w:p>
            <w:pPr>
              <w:spacing w:after="60" w:before="60" w:line="252" w:lineRule="auto"/>
            </w:pPr>
            <w:r>
              <w:rPr>
                <w:b w:val="0"/>
                <w:sz w:val="18"/>
              </w:rPr>
              <w:t>Raw electricity OLS</w:t>
            </w:r>
          </w:p>
        </w:tc>
        <w:tc>
          <w:tcPr>
            <w:tcW w:type="dxa" w:w="1440"/>
            <w:vAlign w:val="top"/>
          </w:tcPr>
          <w:p>
            <w:pPr>
              <w:spacing w:after="60" w:before="60" w:line="252" w:lineRule="auto"/>
            </w:pPr>
            <w:r>
              <w:rPr>
                <w:b w:val="0"/>
                <w:sz w:val="18"/>
              </w:rPr>
              <w:t>23.505</w:t>
            </w:r>
          </w:p>
        </w:tc>
        <w:tc>
          <w:tcPr>
            <w:tcW w:type="dxa" w:w="1440"/>
            <w:vAlign w:val="top"/>
          </w:tcPr>
          <w:p>
            <w:pPr>
              <w:spacing w:after="60" w:before="60" w:line="252" w:lineRule="auto"/>
            </w:pPr>
            <w:r>
              <w:rPr>
                <w:b w:val="0"/>
                <w:sz w:val="18"/>
              </w:rPr>
              <w:t>29.067</w:t>
            </w:r>
          </w:p>
        </w:tc>
        <w:tc>
          <w:tcPr>
            <w:tcW w:type="dxa" w:w="1872"/>
            <w:vAlign w:val="top"/>
          </w:tcPr>
          <w:p>
            <w:pPr>
              <w:spacing w:after="60" w:before="60" w:line="252" w:lineRule="auto"/>
            </w:pPr>
            <w:r>
              <w:rPr>
                <w:b w:val="0"/>
                <w:sz w:val="18"/>
              </w:rPr>
              <w:t>-203.03</w:t>
            </w:r>
          </w:p>
        </w:tc>
      </w:tr>
      <w:tr>
        <w:trPr>
          <w:cantSplit/>
        </w:trPr>
        <w:tc>
          <w:tcPr>
            <w:tcW w:type="dxa" w:w="2088"/>
            <w:vAlign w:val="top"/>
          </w:tcPr>
          <w:p>
            <w:pPr>
              <w:spacing w:after="60" w:before="60" w:line="252" w:lineRule="auto"/>
            </w:pPr>
            <w:r>
              <w:rPr>
                <w:b w:val="0"/>
                <w:sz w:val="18"/>
              </w:rPr>
              <w:t>Non metallic minerals</w:t>
            </w:r>
          </w:p>
        </w:tc>
        <w:tc>
          <w:tcPr>
            <w:tcW w:type="dxa" w:w="2952"/>
            <w:vAlign w:val="top"/>
          </w:tcPr>
          <w:p>
            <w:pPr>
              <w:spacing w:after="60" w:before="60" w:line="252" w:lineRule="auto"/>
            </w:pPr>
            <w:r>
              <w:rPr>
                <w:b w:val="0"/>
                <w:sz w:val="18"/>
              </w:rPr>
              <w:t>Adjusted electricity OLS</w:t>
            </w:r>
          </w:p>
        </w:tc>
        <w:tc>
          <w:tcPr>
            <w:tcW w:type="dxa" w:w="1440"/>
            <w:vAlign w:val="top"/>
          </w:tcPr>
          <w:p>
            <w:pPr>
              <w:spacing w:after="60" w:before="60" w:line="252" w:lineRule="auto"/>
            </w:pPr>
            <w:r>
              <w:rPr>
                <w:b w:val="0"/>
                <w:sz w:val="18"/>
              </w:rPr>
              <w:t>17.771</w:t>
            </w:r>
          </w:p>
        </w:tc>
        <w:tc>
          <w:tcPr>
            <w:tcW w:type="dxa" w:w="1440"/>
            <w:vAlign w:val="top"/>
          </w:tcPr>
          <w:p>
            <w:pPr>
              <w:spacing w:after="60" w:before="60" w:line="252" w:lineRule="auto"/>
            </w:pPr>
            <w:r>
              <w:rPr>
                <w:b w:val="0"/>
                <w:sz w:val="18"/>
              </w:rPr>
              <w:t>23.410</w:t>
            </w:r>
          </w:p>
        </w:tc>
        <w:tc>
          <w:tcPr>
            <w:tcW w:type="dxa" w:w="1872"/>
            <w:vAlign w:val="top"/>
          </w:tcPr>
          <w:p>
            <w:pPr>
              <w:spacing w:after="60" w:before="60" w:line="252" w:lineRule="auto"/>
            </w:pPr>
            <w:r>
              <w:rPr>
                <w:b w:val="0"/>
                <w:sz w:val="18"/>
              </w:rPr>
              <w:t>-129.10</w:t>
            </w:r>
          </w:p>
        </w:tc>
      </w:tr>
      <w:tr>
        <w:trPr>
          <w:cantSplit/>
        </w:trPr>
        <w:tc>
          <w:tcPr>
            <w:tcW w:type="dxa" w:w="2088"/>
            <w:vAlign w:val="top"/>
          </w:tcPr>
          <w:p>
            <w:pPr>
              <w:spacing w:after="60" w:before="60" w:line="252" w:lineRule="auto"/>
            </w:pPr>
            <w:r>
              <w:rPr>
                <w:b w:val="0"/>
                <w:sz w:val="18"/>
              </w:rPr>
              <w:t>Non metallic minerals</w:t>
            </w:r>
          </w:p>
        </w:tc>
        <w:tc>
          <w:tcPr>
            <w:tcW w:type="dxa" w:w="2952"/>
            <w:vAlign w:val="top"/>
          </w:tcPr>
          <w:p>
            <w:pPr>
              <w:spacing w:after="60" w:before="60" w:line="252" w:lineRule="auto"/>
            </w:pPr>
            <w:r>
              <w:rPr>
                <w:b w:val="0"/>
                <w:sz w:val="18"/>
              </w:rPr>
              <w:t>Adjusted electricity ridge</w:t>
            </w:r>
          </w:p>
        </w:tc>
        <w:tc>
          <w:tcPr>
            <w:tcW w:type="dxa" w:w="1440"/>
            <w:vAlign w:val="top"/>
          </w:tcPr>
          <w:p>
            <w:pPr>
              <w:spacing w:after="60" w:before="60" w:line="252" w:lineRule="auto"/>
            </w:pPr>
            <w:r>
              <w:rPr>
                <w:b w:val="0"/>
                <w:sz w:val="18"/>
              </w:rPr>
              <w:t>9.987</w:t>
            </w:r>
          </w:p>
        </w:tc>
        <w:tc>
          <w:tcPr>
            <w:tcW w:type="dxa" w:w="1440"/>
            <w:vAlign w:val="top"/>
          </w:tcPr>
          <w:p>
            <w:pPr>
              <w:spacing w:after="60" w:before="60" w:line="252" w:lineRule="auto"/>
            </w:pPr>
            <w:r>
              <w:rPr>
                <w:b w:val="0"/>
                <w:sz w:val="18"/>
              </w:rPr>
              <w:t>12.437</w:t>
            </w:r>
          </w:p>
        </w:tc>
        <w:tc>
          <w:tcPr>
            <w:tcW w:type="dxa" w:w="1872"/>
            <w:vAlign w:val="top"/>
          </w:tcPr>
          <w:p>
            <w:pPr>
              <w:spacing w:after="60" w:before="60" w:line="252" w:lineRule="auto"/>
            </w:pPr>
            <w:r>
              <w:rPr>
                <w:b w:val="0"/>
                <w:sz w:val="18"/>
              </w:rPr>
              <w:t>-28.75</w:t>
            </w:r>
          </w:p>
        </w:tc>
      </w:tr>
      <w:tr>
        <w:trPr>
          <w:cantSplit/>
        </w:trPr>
        <w:tc>
          <w:tcPr>
            <w:tcW w:type="dxa" w:w="2088"/>
            <w:vAlign w:val="top"/>
          </w:tcPr>
          <w:p>
            <w:pPr>
              <w:spacing w:after="60" w:before="60" w:line="252" w:lineRule="auto"/>
            </w:pPr>
            <w:r>
              <w:rPr>
                <w:b w:val="0"/>
                <w:sz w:val="18"/>
              </w:rPr>
              <w:t>Wearing apparel</w:t>
            </w:r>
          </w:p>
        </w:tc>
        <w:tc>
          <w:tcPr>
            <w:tcW w:type="dxa" w:w="2952"/>
            <w:vAlign w:val="top"/>
          </w:tcPr>
          <w:p>
            <w:pPr>
              <w:spacing w:after="60" w:before="60" w:line="252" w:lineRule="auto"/>
            </w:pPr>
            <w:r>
              <w:rPr>
                <w:b w:val="0"/>
                <w:sz w:val="18"/>
              </w:rPr>
              <w:t>IIP only OLS</w:t>
            </w:r>
          </w:p>
        </w:tc>
        <w:tc>
          <w:tcPr>
            <w:tcW w:type="dxa" w:w="1440"/>
            <w:vAlign w:val="top"/>
          </w:tcPr>
          <w:p>
            <w:pPr>
              <w:spacing w:after="60" w:before="60" w:line="252" w:lineRule="auto"/>
            </w:pPr>
            <w:r>
              <w:rPr>
                <w:b w:val="0"/>
                <w:sz w:val="18"/>
              </w:rPr>
              <w:t>10.403</w:t>
            </w:r>
          </w:p>
        </w:tc>
        <w:tc>
          <w:tcPr>
            <w:tcW w:type="dxa" w:w="1440"/>
            <w:vAlign w:val="top"/>
          </w:tcPr>
          <w:p>
            <w:pPr>
              <w:spacing w:after="60" w:before="60" w:line="252" w:lineRule="auto"/>
            </w:pPr>
            <w:r>
              <w:rPr>
                <w:b w:val="0"/>
                <w:sz w:val="18"/>
              </w:rPr>
              <w:t>11.885</w:t>
            </w:r>
          </w:p>
        </w:tc>
        <w:tc>
          <w:tcPr>
            <w:tcW w:type="dxa" w:w="1872"/>
            <w:vAlign w:val="top"/>
          </w:tcPr>
          <w:p>
            <w:pPr>
              <w:spacing w:after="60" w:before="60" w:line="252" w:lineRule="auto"/>
            </w:pPr>
            <w:r>
              <w:rPr>
                <w:b w:val="0"/>
                <w:sz w:val="18"/>
              </w:rPr>
              <w:t>+0.00</w:t>
            </w:r>
          </w:p>
        </w:tc>
      </w:tr>
      <w:tr>
        <w:trPr>
          <w:cantSplit/>
        </w:trPr>
        <w:tc>
          <w:tcPr>
            <w:tcW w:type="dxa" w:w="2088"/>
            <w:vAlign w:val="top"/>
          </w:tcPr>
          <w:p>
            <w:pPr>
              <w:spacing w:after="60" w:before="60" w:line="252" w:lineRule="auto"/>
            </w:pPr>
            <w:r>
              <w:rPr>
                <w:b w:val="0"/>
                <w:sz w:val="18"/>
              </w:rPr>
              <w:t>Wearing apparel</w:t>
            </w:r>
          </w:p>
        </w:tc>
        <w:tc>
          <w:tcPr>
            <w:tcW w:type="dxa" w:w="2952"/>
            <w:vAlign w:val="top"/>
          </w:tcPr>
          <w:p>
            <w:pPr>
              <w:spacing w:after="60" w:before="60" w:line="252" w:lineRule="auto"/>
            </w:pPr>
            <w:r>
              <w:rPr>
                <w:b w:val="0"/>
                <w:sz w:val="18"/>
              </w:rPr>
              <w:t>Raw electricity OLS</w:t>
            </w:r>
          </w:p>
        </w:tc>
        <w:tc>
          <w:tcPr>
            <w:tcW w:type="dxa" w:w="1440"/>
            <w:vAlign w:val="top"/>
          </w:tcPr>
          <w:p>
            <w:pPr>
              <w:spacing w:after="60" w:before="60" w:line="252" w:lineRule="auto"/>
            </w:pPr>
            <w:r>
              <w:rPr>
                <w:b w:val="0"/>
                <w:sz w:val="18"/>
              </w:rPr>
              <w:t>27.105</w:t>
            </w:r>
          </w:p>
        </w:tc>
        <w:tc>
          <w:tcPr>
            <w:tcW w:type="dxa" w:w="1440"/>
            <w:vAlign w:val="top"/>
          </w:tcPr>
          <w:p>
            <w:pPr>
              <w:spacing w:after="60" w:before="60" w:line="252" w:lineRule="auto"/>
            </w:pPr>
            <w:r>
              <w:rPr>
                <w:b w:val="0"/>
                <w:sz w:val="18"/>
              </w:rPr>
              <w:t>32.612</w:t>
            </w:r>
          </w:p>
        </w:tc>
        <w:tc>
          <w:tcPr>
            <w:tcW w:type="dxa" w:w="1872"/>
            <w:vAlign w:val="top"/>
          </w:tcPr>
          <w:p>
            <w:pPr>
              <w:spacing w:after="60" w:before="60" w:line="252" w:lineRule="auto"/>
            </w:pPr>
            <w:r>
              <w:rPr>
                <w:b w:val="0"/>
                <w:sz w:val="18"/>
              </w:rPr>
              <w:t>-160.56</w:t>
            </w:r>
          </w:p>
        </w:tc>
      </w:tr>
      <w:tr>
        <w:trPr>
          <w:cantSplit/>
        </w:trPr>
        <w:tc>
          <w:tcPr>
            <w:tcW w:type="dxa" w:w="2088"/>
            <w:vAlign w:val="top"/>
          </w:tcPr>
          <w:p>
            <w:pPr>
              <w:spacing w:after="60" w:before="60" w:line="252" w:lineRule="auto"/>
            </w:pPr>
            <w:r>
              <w:rPr>
                <w:b w:val="0"/>
                <w:sz w:val="18"/>
              </w:rPr>
              <w:t>Wearing apparel</w:t>
            </w:r>
          </w:p>
        </w:tc>
        <w:tc>
          <w:tcPr>
            <w:tcW w:type="dxa" w:w="2952"/>
            <w:vAlign w:val="top"/>
          </w:tcPr>
          <w:p>
            <w:pPr>
              <w:spacing w:after="60" w:before="60" w:line="252" w:lineRule="auto"/>
            </w:pPr>
            <w:r>
              <w:rPr>
                <w:b w:val="0"/>
                <w:sz w:val="18"/>
              </w:rPr>
              <w:t>Adjusted electricity OLS</w:t>
            </w:r>
          </w:p>
        </w:tc>
        <w:tc>
          <w:tcPr>
            <w:tcW w:type="dxa" w:w="1440"/>
            <w:vAlign w:val="top"/>
          </w:tcPr>
          <w:p>
            <w:pPr>
              <w:spacing w:after="60" w:before="60" w:line="252" w:lineRule="auto"/>
            </w:pPr>
            <w:r>
              <w:rPr>
                <w:b w:val="0"/>
                <w:sz w:val="18"/>
              </w:rPr>
              <w:t>21.980</w:t>
            </w:r>
          </w:p>
        </w:tc>
        <w:tc>
          <w:tcPr>
            <w:tcW w:type="dxa" w:w="1440"/>
            <w:vAlign w:val="top"/>
          </w:tcPr>
          <w:p>
            <w:pPr>
              <w:spacing w:after="60" w:before="60" w:line="252" w:lineRule="auto"/>
            </w:pPr>
            <w:r>
              <w:rPr>
                <w:b w:val="0"/>
                <w:sz w:val="18"/>
              </w:rPr>
              <w:t>27.692</w:t>
            </w:r>
          </w:p>
        </w:tc>
        <w:tc>
          <w:tcPr>
            <w:tcW w:type="dxa" w:w="1872"/>
            <w:vAlign w:val="top"/>
          </w:tcPr>
          <w:p>
            <w:pPr>
              <w:spacing w:after="60" w:before="60" w:line="252" w:lineRule="auto"/>
            </w:pPr>
            <w:r>
              <w:rPr>
                <w:b w:val="0"/>
                <w:sz w:val="18"/>
              </w:rPr>
              <w:t>-111.29</w:t>
            </w:r>
          </w:p>
        </w:tc>
      </w:tr>
      <w:tr>
        <w:trPr>
          <w:cantSplit/>
        </w:trPr>
        <w:tc>
          <w:tcPr>
            <w:tcW w:type="dxa" w:w="2088"/>
            <w:vAlign w:val="top"/>
          </w:tcPr>
          <w:p>
            <w:pPr>
              <w:spacing w:after="60" w:before="60" w:line="252" w:lineRule="auto"/>
            </w:pPr>
            <w:r>
              <w:rPr>
                <w:b w:val="0"/>
                <w:sz w:val="18"/>
              </w:rPr>
              <w:t>Wearing apparel</w:t>
            </w:r>
          </w:p>
        </w:tc>
        <w:tc>
          <w:tcPr>
            <w:tcW w:type="dxa" w:w="2952"/>
            <w:vAlign w:val="top"/>
          </w:tcPr>
          <w:p>
            <w:pPr>
              <w:spacing w:after="60" w:before="60" w:line="252" w:lineRule="auto"/>
            </w:pPr>
            <w:r>
              <w:rPr>
                <w:b w:val="0"/>
                <w:sz w:val="18"/>
              </w:rPr>
              <w:t>Adjusted electricity ridge</w:t>
            </w:r>
          </w:p>
        </w:tc>
        <w:tc>
          <w:tcPr>
            <w:tcW w:type="dxa" w:w="1440"/>
            <w:vAlign w:val="top"/>
          </w:tcPr>
          <w:p>
            <w:pPr>
              <w:spacing w:after="60" w:before="60" w:line="252" w:lineRule="auto"/>
            </w:pPr>
            <w:r>
              <w:rPr>
                <w:b w:val="0"/>
                <w:sz w:val="18"/>
              </w:rPr>
              <w:t>13.472</w:t>
            </w:r>
          </w:p>
        </w:tc>
        <w:tc>
          <w:tcPr>
            <w:tcW w:type="dxa" w:w="1440"/>
            <w:vAlign w:val="top"/>
          </w:tcPr>
          <w:p>
            <w:pPr>
              <w:spacing w:after="60" w:before="60" w:line="252" w:lineRule="auto"/>
            </w:pPr>
            <w:r>
              <w:rPr>
                <w:b w:val="0"/>
                <w:sz w:val="18"/>
              </w:rPr>
              <w:t>15.697</w:t>
            </w:r>
          </w:p>
        </w:tc>
        <w:tc>
          <w:tcPr>
            <w:tcW w:type="dxa" w:w="1872"/>
            <w:vAlign w:val="top"/>
          </w:tcPr>
          <w:p>
            <w:pPr>
              <w:spacing w:after="60" w:before="60" w:line="252" w:lineRule="auto"/>
            </w:pPr>
            <w:r>
              <w:rPr>
                <w:b w:val="0"/>
                <w:sz w:val="18"/>
              </w:rPr>
              <w:t>-29.51</w:t>
            </w:r>
          </w:p>
        </w:tc>
      </w:tr>
    </w:tbl>
    <w:p>
      <w:pPr>
        <w:spacing w:after="40"/>
      </w:pPr>
    </w:p>
    <w:p>
      <w:r>
        <w:t>All methods use the same 24 test months. Lower MAE and RMSE are better. A positive relative MAE gain means a smaller error than the corresponding IIP-only benchmark. Values are rounded only for display.</w:t>
      </w:r>
    </w:p>
    <w:p>
      <w:r>
        <w:t>The benchmark is best for all four targets. Ridge stabilizes the electricity models relative to OLS bridges, but still increases average errors by 1.540 percentage points for manufacturing, 1.279 for basic metals, 2.230 for non-metallic minerals and 3.070 for apparel. Weather adjustment improves the full-history OLS bridge relative to raw OLS for each target, yet neither OLS bridge beats the benchmark. Improving a weak electricity model is not the same as adding value beyond released IIP.</w:t>
      </w:r>
    </w:p>
    <w:p>
      <w:pPr>
        <w:pStyle w:val="Heading1"/>
        <w:pageBreakBefore/>
      </w:pPr>
      <w:r>
        <w:t>9 Extension accuracy with strict exclusion</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Pr>
      <w:tblGrid>
        <w:gridCol w:w="2088"/>
        <w:gridCol w:w="2952"/>
        <w:gridCol w:w="1440"/>
        <w:gridCol w:w="1440"/>
        <w:gridCol w:w="1872"/>
      </w:tblGrid>
      <w:tr>
        <w:trPr>
          <w:tblHeader/>
          <w:cantSplit/>
        </w:trPr>
        <w:tc>
          <w:tcPr>
            <w:tcW w:type="dxa" w:w="2088"/>
            <w:shd w:fill="EDEDED"/>
            <w:vAlign w:val="top"/>
          </w:tcPr>
          <w:p>
            <w:pPr>
              <w:spacing w:after="60" w:before="60" w:line="252" w:lineRule="auto"/>
            </w:pPr>
            <w:r>
              <w:rPr>
                <w:b/>
                <w:sz w:val="18"/>
              </w:rPr>
              <w:t>Target</w:t>
            </w:r>
          </w:p>
        </w:tc>
        <w:tc>
          <w:tcPr>
            <w:tcW w:type="dxa" w:w="2952"/>
            <w:shd w:fill="EDEDED"/>
            <w:vAlign w:val="top"/>
          </w:tcPr>
          <w:p>
            <w:pPr>
              <w:spacing w:after="60" w:before="60" w:line="252" w:lineRule="auto"/>
            </w:pPr>
            <w:r>
              <w:rPr>
                <w:b/>
                <w:sz w:val="18"/>
              </w:rPr>
              <w:t>Method</w:t>
            </w:r>
          </w:p>
        </w:tc>
        <w:tc>
          <w:tcPr>
            <w:tcW w:type="dxa" w:w="1440"/>
            <w:shd w:fill="EDEDED"/>
            <w:vAlign w:val="top"/>
          </w:tcPr>
          <w:p>
            <w:pPr>
              <w:spacing w:after="60" w:before="60" w:line="252" w:lineRule="auto"/>
            </w:pPr>
            <w:r>
              <w:rPr>
                <w:b/>
                <w:sz w:val="18"/>
              </w:rPr>
              <w:t>MAE pp</w:t>
            </w:r>
          </w:p>
        </w:tc>
        <w:tc>
          <w:tcPr>
            <w:tcW w:type="dxa" w:w="1440"/>
            <w:shd w:fill="EDEDED"/>
            <w:vAlign w:val="top"/>
          </w:tcPr>
          <w:p>
            <w:pPr>
              <w:spacing w:after="60" w:before="60" w:line="252" w:lineRule="auto"/>
            </w:pPr>
            <w:r>
              <w:rPr>
                <w:b/>
                <w:sz w:val="18"/>
              </w:rPr>
              <w:t>RMSE pp</w:t>
            </w:r>
          </w:p>
        </w:tc>
        <w:tc>
          <w:tcPr>
            <w:tcW w:type="dxa" w:w="1872"/>
            <w:shd w:fill="EDEDED"/>
            <w:vAlign w:val="top"/>
          </w:tcPr>
          <w:p>
            <w:pPr>
              <w:spacing w:after="60" w:before="60" w:line="252" w:lineRule="auto"/>
            </w:pPr>
            <w:r>
              <w:rPr>
                <w:b/>
                <w:sz w:val="18"/>
              </w:rPr>
              <w:t>MAE gain %</w:t>
            </w:r>
          </w:p>
        </w:tc>
      </w:tr>
      <w:tr>
        <w:trPr>
          <w:cantSplit/>
        </w:trPr>
        <w:tc>
          <w:tcPr>
            <w:tcW w:type="dxa" w:w="2088"/>
            <w:vAlign w:val="top"/>
          </w:tcPr>
          <w:p>
            <w:pPr>
              <w:spacing w:after="60" w:before="60" w:line="252" w:lineRule="auto"/>
            </w:pPr>
            <w:r>
              <w:rPr>
                <w:b w:val="0"/>
                <w:sz w:val="18"/>
              </w:rPr>
              <w:t>Manufacturing</w:t>
            </w:r>
          </w:p>
        </w:tc>
        <w:tc>
          <w:tcPr>
            <w:tcW w:type="dxa" w:w="2952"/>
            <w:vAlign w:val="top"/>
          </w:tcPr>
          <w:p>
            <w:pPr>
              <w:spacing w:after="60" w:before="60" w:line="252" w:lineRule="auto"/>
            </w:pPr>
            <w:r>
              <w:rPr>
                <w:b w:val="0"/>
                <w:sz w:val="18"/>
              </w:rPr>
              <w:t>IIP only OLS</w:t>
            </w:r>
          </w:p>
        </w:tc>
        <w:tc>
          <w:tcPr>
            <w:tcW w:type="dxa" w:w="1440"/>
            <w:vAlign w:val="top"/>
          </w:tcPr>
          <w:p>
            <w:pPr>
              <w:spacing w:after="60" w:before="60" w:line="252" w:lineRule="auto"/>
            </w:pPr>
            <w:r>
              <w:rPr>
                <w:b w:val="0"/>
                <w:sz w:val="18"/>
              </w:rPr>
              <w:t>1.357</w:t>
            </w:r>
          </w:p>
        </w:tc>
        <w:tc>
          <w:tcPr>
            <w:tcW w:type="dxa" w:w="1440"/>
            <w:vAlign w:val="top"/>
          </w:tcPr>
          <w:p>
            <w:pPr>
              <w:spacing w:after="60" w:before="60" w:line="252" w:lineRule="auto"/>
            </w:pPr>
            <w:r>
              <w:rPr>
                <w:b w:val="0"/>
                <w:sz w:val="18"/>
              </w:rPr>
              <w:t>1.779</w:t>
            </w:r>
          </w:p>
        </w:tc>
        <w:tc>
          <w:tcPr>
            <w:tcW w:type="dxa" w:w="1872"/>
            <w:vAlign w:val="top"/>
          </w:tcPr>
          <w:p>
            <w:pPr>
              <w:spacing w:after="60" w:before="60" w:line="252" w:lineRule="auto"/>
            </w:pPr>
            <w:r>
              <w:rPr>
                <w:b w:val="0"/>
                <w:sz w:val="18"/>
              </w:rPr>
              <w:t>+0.00</w:t>
            </w:r>
          </w:p>
        </w:tc>
      </w:tr>
      <w:tr>
        <w:trPr>
          <w:cantSplit/>
        </w:trPr>
        <w:tc>
          <w:tcPr>
            <w:tcW w:type="dxa" w:w="2088"/>
            <w:vAlign w:val="top"/>
          </w:tcPr>
          <w:p>
            <w:pPr>
              <w:spacing w:after="60" w:before="60" w:line="252" w:lineRule="auto"/>
            </w:pPr>
            <w:r>
              <w:rPr>
                <w:b w:val="0"/>
                <w:sz w:val="18"/>
              </w:rPr>
              <w:t>Manufacturing</w:t>
            </w:r>
          </w:p>
        </w:tc>
        <w:tc>
          <w:tcPr>
            <w:tcW w:type="dxa" w:w="2952"/>
            <w:vAlign w:val="top"/>
          </w:tcPr>
          <w:p>
            <w:pPr>
              <w:spacing w:after="60" w:before="60" w:line="252" w:lineRule="auto"/>
            </w:pPr>
            <w:r>
              <w:rPr>
                <w:b w:val="0"/>
                <w:sz w:val="18"/>
              </w:rPr>
              <w:t>Raw electricity OLS</w:t>
            </w:r>
          </w:p>
        </w:tc>
        <w:tc>
          <w:tcPr>
            <w:tcW w:type="dxa" w:w="1440"/>
            <w:vAlign w:val="top"/>
          </w:tcPr>
          <w:p>
            <w:pPr>
              <w:spacing w:after="60" w:before="60" w:line="252" w:lineRule="auto"/>
            </w:pPr>
            <w:r>
              <w:rPr>
                <w:b w:val="0"/>
                <w:sz w:val="18"/>
              </w:rPr>
              <w:t>1.690</w:t>
            </w:r>
          </w:p>
        </w:tc>
        <w:tc>
          <w:tcPr>
            <w:tcW w:type="dxa" w:w="1440"/>
            <w:vAlign w:val="top"/>
          </w:tcPr>
          <w:p>
            <w:pPr>
              <w:spacing w:after="60" w:before="60" w:line="252" w:lineRule="auto"/>
            </w:pPr>
            <w:r>
              <w:rPr>
                <w:b w:val="0"/>
                <w:sz w:val="18"/>
              </w:rPr>
              <w:t>2.055</w:t>
            </w:r>
          </w:p>
        </w:tc>
        <w:tc>
          <w:tcPr>
            <w:tcW w:type="dxa" w:w="1872"/>
            <w:vAlign w:val="top"/>
          </w:tcPr>
          <w:p>
            <w:pPr>
              <w:spacing w:after="60" w:before="60" w:line="252" w:lineRule="auto"/>
            </w:pPr>
            <w:r>
              <w:rPr>
                <w:b w:val="0"/>
                <w:sz w:val="18"/>
              </w:rPr>
              <w:t>-24.54</w:t>
            </w:r>
          </w:p>
        </w:tc>
      </w:tr>
      <w:tr>
        <w:trPr>
          <w:cantSplit/>
        </w:trPr>
        <w:tc>
          <w:tcPr>
            <w:tcW w:type="dxa" w:w="2088"/>
            <w:vAlign w:val="top"/>
          </w:tcPr>
          <w:p>
            <w:pPr>
              <w:spacing w:after="60" w:before="60" w:line="252" w:lineRule="auto"/>
            </w:pPr>
            <w:r>
              <w:rPr>
                <w:b w:val="0"/>
                <w:sz w:val="18"/>
              </w:rPr>
              <w:t>Manufacturing</w:t>
            </w:r>
          </w:p>
        </w:tc>
        <w:tc>
          <w:tcPr>
            <w:tcW w:type="dxa" w:w="2952"/>
            <w:vAlign w:val="top"/>
          </w:tcPr>
          <w:p>
            <w:pPr>
              <w:spacing w:after="60" w:before="60" w:line="252" w:lineRule="auto"/>
            </w:pPr>
            <w:r>
              <w:rPr>
                <w:b w:val="0"/>
                <w:sz w:val="18"/>
              </w:rPr>
              <w:t>Adjusted electricity OLS</w:t>
            </w:r>
          </w:p>
        </w:tc>
        <w:tc>
          <w:tcPr>
            <w:tcW w:type="dxa" w:w="1440"/>
            <w:vAlign w:val="top"/>
          </w:tcPr>
          <w:p>
            <w:pPr>
              <w:spacing w:after="60" w:before="60" w:line="252" w:lineRule="auto"/>
            </w:pPr>
            <w:r>
              <w:rPr>
                <w:b w:val="0"/>
                <w:sz w:val="18"/>
              </w:rPr>
              <w:t>1.555</w:t>
            </w:r>
          </w:p>
        </w:tc>
        <w:tc>
          <w:tcPr>
            <w:tcW w:type="dxa" w:w="1440"/>
            <w:vAlign w:val="top"/>
          </w:tcPr>
          <w:p>
            <w:pPr>
              <w:spacing w:after="60" w:before="60" w:line="252" w:lineRule="auto"/>
            </w:pPr>
            <w:r>
              <w:rPr>
                <w:b w:val="0"/>
                <w:sz w:val="18"/>
              </w:rPr>
              <w:t>1.997</w:t>
            </w:r>
          </w:p>
        </w:tc>
        <w:tc>
          <w:tcPr>
            <w:tcW w:type="dxa" w:w="1872"/>
            <w:vAlign w:val="top"/>
          </w:tcPr>
          <w:p>
            <w:pPr>
              <w:spacing w:after="60" w:before="60" w:line="252" w:lineRule="auto"/>
            </w:pPr>
            <w:r>
              <w:rPr>
                <w:b w:val="0"/>
                <w:sz w:val="18"/>
              </w:rPr>
              <w:t>-14.57</w:t>
            </w:r>
          </w:p>
        </w:tc>
      </w:tr>
      <w:tr>
        <w:trPr>
          <w:cantSplit/>
        </w:trPr>
        <w:tc>
          <w:tcPr>
            <w:tcW w:type="dxa" w:w="2088"/>
            <w:vAlign w:val="top"/>
          </w:tcPr>
          <w:p>
            <w:pPr>
              <w:spacing w:after="60" w:before="60" w:line="252" w:lineRule="auto"/>
            </w:pPr>
            <w:r>
              <w:rPr>
                <w:b w:val="0"/>
                <w:sz w:val="18"/>
              </w:rPr>
              <w:t>Manufacturing</w:t>
            </w:r>
          </w:p>
        </w:tc>
        <w:tc>
          <w:tcPr>
            <w:tcW w:type="dxa" w:w="2952"/>
            <w:vAlign w:val="top"/>
          </w:tcPr>
          <w:p>
            <w:pPr>
              <w:spacing w:after="60" w:before="60" w:line="252" w:lineRule="auto"/>
            </w:pPr>
            <w:r>
              <w:rPr>
                <w:b w:val="0"/>
                <w:sz w:val="18"/>
              </w:rPr>
              <w:t>Adjusted electricity ridge</w:t>
            </w:r>
          </w:p>
        </w:tc>
        <w:tc>
          <w:tcPr>
            <w:tcW w:type="dxa" w:w="1440"/>
            <w:vAlign w:val="top"/>
          </w:tcPr>
          <w:p>
            <w:pPr>
              <w:spacing w:after="60" w:before="60" w:line="252" w:lineRule="auto"/>
            </w:pPr>
            <w:r>
              <w:rPr>
                <w:b w:val="0"/>
                <w:sz w:val="18"/>
              </w:rPr>
              <w:t>1.486</w:t>
            </w:r>
          </w:p>
        </w:tc>
        <w:tc>
          <w:tcPr>
            <w:tcW w:type="dxa" w:w="1440"/>
            <w:vAlign w:val="top"/>
          </w:tcPr>
          <w:p>
            <w:pPr>
              <w:spacing w:after="60" w:before="60" w:line="252" w:lineRule="auto"/>
            </w:pPr>
            <w:r>
              <w:rPr>
                <w:b w:val="0"/>
                <w:sz w:val="18"/>
              </w:rPr>
              <w:t>1.939</w:t>
            </w:r>
          </w:p>
        </w:tc>
        <w:tc>
          <w:tcPr>
            <w:tcW w:type="dxa" w:w="1872"/>
            <w:vAlign w:val="top"/>
          </w:tcPr>
          <w:p>
            <w:pPr>
              <w:spacing w:after="60" w:before="60" w:line="252" w:lineRule="auto"/>
            </w:pPr>
            <w:r>
              <w:rPr>
                <w:b w:val="0"/>
                <w:sz w:val="18"/>
              </w:rPr>
              <w:t>-9.50</w:t>
            </w:r>
          </w:p>
        </w:tc>
      </w:tr>
      <w:tr>
        <w:trPr>
          <w:cantSplit/>
        </w:trPr>
        <w:tc>
          <w:tcPr>
            <w:tcW w:type="dxa" w:w="2088"/>
            <w:vAlign w:val="top"/>
          </w:tcPr>
          <w:p>
            <w:pPr>
              <w:spacing w:after="60" w:before="60" w:line="252" w:lineRule="auto"/>
            </w:pPr>
            <w:r>
              <w:rPr>
                <w:b w:val="0"/>
                <w:sz w:val="18"/>
              </w:rPr>
              <w:t>Basic metals</w:t>
            </w:r>
          </w:p>
        </w:tc>
        <w:tc>
          <w:tcPr>
            <w:tcW w:type="dxa" w:w="2952"/>
            <w:vAlign w:val="top"/>
          </w:tcPr>
          <w:p>
            <w:pPr>
              <w:spacing w:after="60" w:before="60" w:line="252" w:lineRule="auto"/>
            </w:pPr>
            <w:r>
              <w:rPr>
                <w:b w:val="0"/>
                <w:sz w:val="18"/>
              </w:rPr>
              <w:t>IIP only OLS</w:t>
            </w:r>
          </w:p>
        </w:tc>
        <w:tc>
          <w:tcPr>
            <w:tcW w:type="dxa" w:w="1440"/>
            <w:vAlign w:val="top"/>
          </w:tcPr>
          <w:p>
            <w:pPr>
              <w:spacing w:after="60" w:before="60" w:line="252" w:lineRule="auto"/>
            </w:pPr>
            <w:r>
              <w:rPr>
                <w:b w:val="0"/>
                <w:sz w:val="18"/>
              </w:rPr>
              <w:t>2.017</w:t>
            </w:r>
          </w:p>
        </w:tc>
        <w:tc>
          <w:tcPr>
            <w:tcW w:type="dxa" w:w="1440"/>
            <w:vAlign w:val="top"/>
          </w:tcPr>
          <w:p>
            <w:pPr>
              <w:spacing w:after="60" w:before="60" w:line="252" w:lineRule="auto"/>
            </w:pPr>
            <w:r>
              <w:rPr>
                <w:b w:val="0"/>
                <w:sz w:val="18"/>
              </w:rPr>
              <w:t>2.484</w:t>
            </w:r>
          </w:p>
        </w:tc>
        <w:tc>
          <w:tcPr>
            <w:tcW w:type="dxa" w:w="1872"/>
            <w:vAlign w:val="top"/>
          </w:tcPr>
          <w:p>
            <w:pPr>
              <w:spacing w:after="60" w:before="60" w:line="252" w:lineRule="auto"/>
            </w:pPr>
            <w:r>
              <w:rPr>
                <w:b w:val="0"/>
                <w:sz w:val="18"/>
              </w:rPr>
              <w:t>+0.00</w:t>
            </w:r>
          </w:p>
        </w:tc>
      </w:tr>
      <w:tr>
        <w:trPr>
          <w:cantSplit/>
        </w:trPr>
        <w:tc>
          <w:tcPr>
            <w:tcW w:type="dxa" w:w="2088"/>
            <w:vAlign w:val="top"/>
          </w:tcPr>
          <w:p>
            <w:pPr>
              <w:spacing w:after="60" w:before="60" w:line="252" w:lineRule="auto"/>
            </w:pPr>
            <w:r>
              <w:rPr>
                <w:b w:val="0"/>
                <w:sz w:val="18"/>
              </w:rPr>
              <w:t>Basic metals</w:t>
            </w:r>
          </w:p>
        </w:tc>
        <w:tc>
          <w:tcPr>
            <w:tcW w:type="dxa" w:w="2952"/>
            <w:vAlign w:val="top"/>
          </w:tcPr>
          <w:p>
            <w:pPr>
              <w:spacing w:after="60" w:before="60" w:line="252" w:lineRule="auto"/>
            </w:pPr>
            <w:r>
              <w:rPr>
                <w:b w:val="0"/>
                <w:sz w:val="18"/>
              </w:rPr>
              <w:t>Raw electricity OLS</w:t>
            </w:r>
          </w:p>
        </w:tc>
        <w:tc>
          <w:tcPr>
            <w:tcW w:type="dxa" w:w="1440"/>
            <w:vAlign w:val="top"/>
          </w:tcPr>
          <w:p>
            <w:pPr>
              <w:spacing w:after="60" w:before="60" w:line="252" w:lineRule="auto"/>
            </w:pPr>
            <w:r>
              <w:rPr>
                <w:b w:val="0"/>
                <w:sz w:val="18"/>
              </w:rPr>
              <w:t>2.039</w:t>
            </w:r>
          </w:p>
        </w:tc>
        <w:tc>
          <w:tcPr>
            <w:tcW w:type="dxa" w:w="1440"/>
            <w:vAlign w:val="top"/>
          </w:tcPr>
          <w:p>
            <w:pPr>
              <w:spacing w:after="60" w:before="60" w:line="252" w:lineRule="auto"/>
            </w:pPr>
            <w:r>
              <w:rPr>
                <w:b w:val="0"/>
                <w:sz w:val="18"/>
              </w:rPr>
              <w:t>2.453</w:t>
            </w:r>
          </w:p>
        </w:tc>
        <w:tc>
          <w:tcPr>
            <w:tcW w:type="dxa" w:w="1872"/>
            <w:vAlign w:val="top"/>
          </w:tcPr>
          <w:p>
            <w:pPr>
              <w:spacing w:after="60" w:before="60" w:line="252" w:lineRule="auto"/>
            </w:pPr>
            <w:r>
              <w:rPr>
                <w:b w:val="0"/>
                <w:sz w:val="18"/>
              </w:rPr>
              <w:t>-1.10</w:t>
            </w:r>
          </w:p>
        </w:tc>
      </w:tr>
      <w:tr>
        <w:trPr>
          <w:cantSplit/>
        </w:trPr>
        <w:tc>
          <w:tcPr>
            <w:tcW w:type="dxa" w:w="2088"/>
            <w:vAlign w:val="top"/>
          </w:tcPr>
          <w:p>
            <w:pPr>
              <w:spacing w:after="60" w:before="60" w:line="252" w:lineRule="auto"/>
            </w:pPr>
            <w:r>
              <w:rPr>
                <w:b w:val="0"/>
                <w:sz w:val="18"/>
              </w:rPr>
              <w:t>Basic metals</w:t>
            </w:r>
          </w:p>
        </w:tc>
        <w:tc>
          <w:tcPr>
            <w:tcW w:type="dxa" w:w="2952"/>
            <w:vAlign w:val="top"/>
          </w:tcPr>
          <w:p>
            <w:pPr>
              <w:spacing w:after="60" w:before="60" w:line="252" w:lineRule="auto"/>
            </w:pPr>
            <w:r>
              <w:rPr>
                <w:b w:val="0"/>
                <w:sz w:val="18"/>
              </w:rPr>
              <w:t>Adjusted electricity OLS</w:t>
            </w:r>
          </w:p>
        </w:tc>
        <w:tc>
          <w:tcPr>
            <w:tcW w:type="dxa" w:w="1440"/>
            <w:vAlign w:val="top"/>
          </w:tcPr>
          <w:p>
            <w:pPr>
              <w:spacing w:after="60" w:before="60" w:line="252" w:lineRule="auto"/>
            </w:pPr>
            <w:r>
              <w:rPr>
                <w:b w:val="0"/>
                <w:sz w:val="18"/>
              </w:rPr>
              <w:t>2.115</w:t>
            </w:r>
          </w:p>
        </w:tc>
        <w:tc>
          <w:tcPr>
            <w:tcW w:type="dxa" w:w="1440"/>
            <w:vAlign w:val="top"/>
          </w:tcPr>
          <w:p>
            <w:pPr>
              <w:spacing w:after="60" w:before="60" w:line="252" w:lineRule="auto"/>
            </w:pPr>
            <w:r>
              <w:rPr>
                <w:b w:val="0"/>
                <w:sz w:val="18"/>
              </w:rPr>
              <w:t>2.587</w:t>
            </w:r>
          </w:p>
        </w:tc>
        <w:tc>
          <w:tcPr>
            <w:tcW w:type="dxa" w:w="1872"/>
            <w:vAlign w:val="top"/>
          </w:tcPr>
          <w:p>
            <w:pPr>
              <w:spacing w:after="60" w:before="60" w:line="252" w:lineRule="auto"/>
            </w:pPr>
            <w:r>
              <w:rPr>
                <w:b w:val="0"/>
                <w:sz w:val="18"/>
              </w:rPr>
              <w:t>-4.89</w:t>
            </w:r>
          </w:p>
        </w:tc>
      </w:tr>
      <w:tr>
        <w:trPr>
          <w:cantSplit/>
        </w:trPr>
        <w:tc>
          <w:tcPr>
            <w:tcW w:type="dxa" w:w="2088"/>
            <w:vAlign w:val="top"/>
          </w:tcPr>
          <w:p>
            <w:pPr>
              <w:spacing w:after="60" w:before="60" w:line="252" w:lineRule="auto"/>
            </w:pPr>
            <w:r>
              <w:rPr>
                <w:b w:val="0"/>
                <w:sz w:val="18"/>
              </w:rPr>
              <w:t>Basic metals</w:t>
            </w:r>
          </w:p>
        </w:tc>
        <w:tc>
          <w:tcPr>
            <w:tcW w:type="dxa" w:w="2952"/>
            <w:vAlign w:val="top"/>
          </w:tcPr>
          <w:p>
            <w:pPr>
              <w:spacing w:after="60" w:before="60" w:line="252" w:lineRule="auto"/>
            </w:pPr>
            <w:r>
              <w:rPr>
                <w:b w:val="0"/>
                <w:sz w:val="18"/>
              </w:rPr>
              <w:t>Adjusted electricity ridge</w:t>
            </w:r>
          </w:p>
        </w:tc>
        <w:tc>
          <w:tcPr>
            <w:tcW w:type="dxa" w:w="1440"/>
            <w:vAlign w:val="top"/>
          </w:tcPr>
          <w:p>
            <w:pPr>
              <w:spacing w:after="60" w:before="60" w:line="252" w:lineRule="auto"/>
            </w:pPr>
            <w:r>
              <w:rPr>
                <w:b w:val="0"/>
                <w:sz w:val="18"/>
              </w:rPr>
              <w:t>2.116</w:t>
            </w:r>
          </w:p>
        </w:tc>
        <w:tc>
          <w:tcPr>
            <w:tcW w:type="dxa" w:w="1440"/>
            <w:vAlign w:val="top"/>
          </w:tcPr>
          <w:p>
            <w:pPr>
              <w:spacing w:after="60" w:before="60" w:line="252" w:lineRule="auto"/>
            </w:pPr>
            <w:r>
              <w:rPr>
                <w:b w:val="0"/>
                <w:sz w:val="18"/>
              </w:rPr>
              <w:t>2.610</w:t>
            </w:r>
          </w:p>
        </w:tc>
        <w:tc>
          <w:tcPr>
            <w:tcW w:type="dxa" w:w="1872"/>
            <w:vAlign w:val="top"/>
          </w:tcPr>
          <w:p>
            <w:pPr>
              <w:spacing w:after="60" w:before="60" w:line="252" w:lineRule="auto"/>
            </w:pPr>
            <w:r>
              <w:rPr>
                <w:b w:val="0"/>
                <w:sz w:val="18"/>
              </w:rPr>
              <w:t>-4.95</w:t>
            </w:r>
          </w:p>
        </w:tc>
      </w:tr>
      <w:tr>
        <w:trPr>
          <w:cantSplit/>
        </w:trPr>
        <w:tc>
          <w:tcPr>
            <w:tcW w:type="dxa" w:w="2088"/>
            <w:vAlign w:val="top"/>
          </w:tcPr>
          <w:p>
            <w:pPr>
              <w:spacing w:after="60" w:before="60" w:line="252" w:lineRule="auto"/>
            </w:pPr>
            <w:r>
              <w:rPr>
                <w:b w:val="0"/>
                <w:sz w:val="18"/>
              </w:rPr>
              <w:t>Non metallic minerals</w:t>
            </w:r>
          </w:p>
        </w:tc>
        <w:tc>
          <w:tcPr>
            <w:tcW w:type="dxa" w:w="2952"/>
            <w:vAlign w:val="top"/>
          </w:tcPr>
          <w:p>
            <w:pPr>
              <w:spacing w:after="60" w:before="60" w:line="252" w:lineRule="auto"/>
            </w:pPr>
            <w:r>
              <w:rPr>
                <w:b w:val="0"/>
                <w:sz w:val="18"/>
              </w:rPr>
              <w:t>IIP only OLS</w:t>
            </w:r>
          </w:p>
        </w:tc>
        <w:tc>
          <w:tcPr>
            <w:tcW w:type="dxa" w:w="1440"/>
            <w:vAlign w:val="top"/>
          </w:tcPr>
          <w:p>
            <w:pPr>
              <w:spacing w:after="60" w:before="60" w:line="252" w:lineRule="auto"/>
            </w:pPr>
            <w:r>
              <w:rPr>
                <w:b w:val="0"/>
                <w:sz w:val="18"/>
              </w:rPr>
              <w:t>3.100</w:t>
            </w:r>
          </w:p>
        </w:tc>
        <w:tc>
          <w:tcPr>
            <w:tcW w:type="dxa" w:w="1440"/>
            <w:vAlign w:val="top"/>
          </w:tcPr>
          <w:p>
            <w:pPr>
              <w:spacing w:after="60" w:before="60" w:line="252" w:lineRule="auto"/>
            </w:pPr>
            <w:r>
              <w:rPr>
                <w:b w:val="0"/>
                <w:sz w:val="18"/>
              </w:rPr>
              <w:t>3.644</w:t>
            </w:r>
          </w:p>
        </w:tc>
        <w:tc>
          <w:tcPr>
            <w:tcW w:type="dxa" w:w="1872"/>
            <w:vAlign w:val="top"/>
          </w:tcPr>
          <w:p>
            <w:pPr>
              <w:spacing w:after="60" w:before="60" w:line="252" w:lineRule="auto"/>
            </w:pPr>
            <w:r>
              <w:rPr>
                <w:b w:val="0"/>
                <w:sz w:val="18"/>
              </w:rPr>
              <w:t>+0.00</w:t>
            </w:r>
          </w:p>
        </w:tc>
      </w:tr>
      <w:tr>
        <w:trPr>
          <w:cantSplit/>
        </w:trPr>
        <w:tc>
          <w:tcPr>
            <w:tcW w:type="dxa" w:w="2088"/>
            <w:vAlign w:val="top"/>
          </w:tcPr>
          <w:p>
            <w:pPr>
              <w:spacing w:after="60" w:before="60" w:line="252" w:lineRule="auto"/>
            </w:pPr>
            <w:r>
              <w:rPr>
                <w:b w:val="0"/>
                <w:sz w:val="18"/>
              </w:rPr>
              <w:t>Non metallic minerals</w:t>
            </w:r>
          </w:p>
        </w:tc>
        <w:tc>
          <w:tcPr>
            <w:tcW w:type="dxa" w:w="2952"/>
            <w:vAlign w:val="top"/>
          </w:tcPr>
          <w:p>
            <w:pPr>
              <w:spacing w:after="60" w:before="60" w:line="252" w:lineRule="auto"/>
            </w:pPr>
            <w:r>
              <w:rPr>
                <w:b w:val="0"/>
                <w:sz w:val="18"/>
              </w:rPr>
              <w:t>Raw electricity OLS</w:t>
            </w:r>
          </w:p>
        </w:tc>
        <w:tc>
          <w:tcPr>
            <w:tcW w:type="dxa" w:w="1440"/>
            <w:vAlign w:val="top"/>
          </w:tcPr>
          <w:p>
            <w:pPr>
              <w:spacing w:after="60" w:before="60" w:line="252" w:lineRule="auto"/>
            </w:pPr>
            <w:r>
              <w:rPr>
                <w:b w:val="0"/>
                <w:sz w:val="18"/>
              </w:rPr>
              <w:t>3.288</w:t>
            </w:r>
          </w:p>
        </w:tc>
        <w:tc>
          <w:tcPr>
            <w:tcW w:type="dxa" w:w="1440"/>
            <w:vAlign w:val="top"/>
          </w:tcPr>
          <w:p>
            <w:pPr>
              <w:spacing w:after="60" w:before="60" w:line="252" w:lineRule="auto"/>
            </w:pPr>
            <w:r>
              <w:rPr>
                <w:b w:val="0"/>
                <w:sz w:val="18"/>
              </w:rPr>
              <w:t>4.084</w:t>
            </w:r>
          </w:p>
        </w:tc>
        <w:tc>
          <w:tcPr>
            <w:tcW w:type="dxa" w:w="1872"/>
            <w:vAlign w:val="top"/>
          </w:tcPr>
          <w:p>
            <w:pPr>
              <w:spacing w:after="60" w:before="60" w:line="252" w:lineRule="auto"/>
            </w:pPr>
            <w:r>
              <w:rPr>
                <w:b w:val="0"/>
                <w:sz w:val="18"/>
              </w:rPr>
              <w:t>-6.06</w:t>
            </w:r>
          </w:p>
        </w:tc>
      </w:tr>
      <w:tr>
        <w:trPr>
          <w:cantSplit/>
        </w:trPr>
        <w:tc>
          <w:tcPr>
            <w:tcW w:type="dxa" w:w="2088"/>
            <w:vAlign w:val="top"/>
          </w:tcPr>
          <w:p>
            <w:pPr>
              <w:spacing w:after="60" w:before="60" w:line="252" w:lineRule="auto"/>
            </w:pPr>
            <w:r>
              <w:rPr>
                <w:b w:val="0"/>
                <w:sz w:val="18"/>
              </w:rPr>
              <w:t>Non metallic minerals</w:t>
            </w:r>
          </w:p>
        </w:tc>
        <w:tc>
          <w:tcPr>
            <w:tcW w:type="dxa" w:w="2952"/>
            <w:vAlign w:val="top"/>
          </w:tcPr>
          <w:p>
            <w:pPr>
              <w:spacing w:after="60" w:before="60" w:line="252" w:lineRule="auto"/>
            </w:pPr>
            <w:r>
              <w:rPr>
                <w:b w:val="0"/>
                <w:sz w:val="18"/>
              </w:rPr>
              <w:t>Adjusted electricity OLS</w:t>
            </w:r>
          </w:p>
        </w:tc>
        <w:tc>
          <w:tcPr>
            <w:tcW w:type="dxa" w:w="1440"/>
            <w:vAlign w:val="top"/>
          </w:tcPr>
          <w:p>
            <w:pPr>
              <w:spacing w:after="60" w:before="60" w:line="252" w:lineRule="auto"/>
            </w:pPr>
            <w:r>
              <w:rPr>
                <w:b w:val="0"/>
                <w:sz w:val="18"/>
              </w:rPr>
              <w:t>3.164</w:t>
            </w:r>
          </w:p>
        </w:tc>
        <w:tc>
          <w:tcPr>
            <w:tcW w:type="dxa" w:w="1440"/>
            <w:vAlign w:val="top"/>
          </w:tcPr>
          <w:p>
            <w:pPr>
              <w:spacing w:after="60" w:before="60" w:line="252" w:lineRule="auto"/>
            </w:pPr>
            <w:r>
              <w:rPr>
                <w:b w:val="0"/>
                <w:sz w:val="18"/>
              </w:rPr>
              <w:t>4.059</w:t>
            </w:r>
          </w:p>
        </w:tc>
        <w:tc>
          <w:tcPr>
            <w:tcW w:type="dxa" w:w="1872"/>
            <w:vAlign w:val="top"/>
          </w:tcPr>
          <w:p>
            <w:pPr>
              <w:spacing w:after="60" w:before="60" w:line="252" w:lineRule="auto"/>
            </w:pPr>
            <w:r>
              <w:rPr>
                <w:b w:val="0"/>
                <w:sz w:val="18"/>
              </w:rPr>
              <w:t>-2.08</w:t>
            </w:r>
          </w:p>
        </w:tc>
      </w:tr>
      <w:tr>
        <w:trPr>
          <w:cantSplit/>
        </w:trPr>
        <w:tc>
          <w:tcPr>
            <w:tcW w:type="dxa" w:w="2088"/>
            <w:vAlign w:val="top"/>
          </w:tcPr>
          <w:p>
            <w:pPr>
              <w:spacing w:after="60" w:before="60" w:line="252" w:lineRule="auto"/>
            </w:pPr>
            <w:r>
              <w:rPr>
                <w:b w:val="0"/>
                <w:sz w:val="18"/>
              </w:rPr>
              <w:t>Non metallic minerals</w:t>
            </w:r>
          </w:p>
        </w:tc>
        <w:tc>
          <w:tcPr>
            <w:tcW w:type="dxa" w:w="2952"/>
            <w:vAlign w:val="top"/>
          </w:tcPr>
          <w:p>
            <w:pPr>
              <w:spacing w:after="60" w:before="60" w:line="252" w:lineRule="auto"/>
            </w:pPr>
            <w:r>
              <w:rPr>
                <w:b w:val="0"/>
                <w:sz w:val="18"/>
              </w:rPr>
              <w:t>Adjusted electricity ridge</w:t>
            </w:r>
          </w:p>
        </w:tc>
        <w:tc>
          <w:tcPr>
            <w:tcW w:type="dxa" w:w="1440"/>
            <w:vAlign w:val="top"/>
          </w:tcPr>
          <w:p>
            <w:pPr>
              <w:spacing w:after="60" w:before="60" w:line="252" w:lineRule="auto"/>
            </w:pPr>
            <w:r>
              <w:rPr>
                <w:b w:val="0"/>
                <w:sz w:val="18"/>
              </w:rPr>
              <w:t>3.140</w:t>
            </w:r>
          </w:p>
        </w:tc>
        <w:tc>
          <w:tcPr>
            <w:tcW w:type="dxa" w:w="1440"/>
            <w:vAlign w:val="top"/>
          </w:tcPr>
          <w:p>
            <w:pPr>
              <w:spacing w:after="60" w:before="60" w:line="252" w:lineRule="auto"/>
            </w:pPr>
            <w:r>
              <w:rPr>
                <w:b w:val="0"/>
                <w:sz w:val="18"/>
              </w:rPr>
              <w:t>4.018</w:t>
            </w:r>
          </w:p>
        </w:tc>
        <w:tc>
          <w:tcPr>
            <w:tcW w:type="dxa" w:w="1872"/>
            <w:vAlign w:val="top"/>
          </w:tcPr>
          <w:p>
            <w:pPr>
              <w:spacing w:after="60" w:before="60" w:line="252" w:lineRule="auto"/>
            </w:pPr>
            <w:r>
              <w:rPr>
                <w:b w:val="0"/>
                <w:sz w:val="18"/>
              </w:rPr>
              <w:t>-1.29</w:t>
            </w:r>
          </w:p>
        </w:tc>
      </w:tr>
      <w:tr>
        <w:trPr>
          <w:cantSplit/>
        </w:trPr>
        <w:tc>
          <w:tcPr>
            <w:tcW w:type="dxa" w:w="2088"/>
            <w:vAlign w:val="top"/>
          </w:tcPr>
          <w:p>
            <w:pPr>
              <w:spacing w:after="60" w:before="60" w:line="252" w:lineRule="auto"/>
            </w:pPr>
            <w:r>
              <w:rPr>
                <w:b w:val="0"/>
                <w:sz w:val="18"/>
              </w:rPr>
              <w:t>Wearing apparel</w:t>
            </w:r>
          </w:p>
        </w:tc>
        <w:tc>
          <w:tcPr>
            <w:tcW w:type="dxa" w:w="2952"/>
            <w:vAlign w:val="top"/>
          </w:tcPr>
          <w:p>
            <w:pPr>
              <w:spacing w:after="60" w:before="60" w:line="252" w:lineRule="auto"/>
            </w:pPr>
            <w:r>
              <w:rPr>
                <w:b w:val="0"/>
                <w:sz w:val="18"/>
              </w:rPr>
              <w:t>IIP only OLS</w:t>
            </w:r>
          </w:p>
        </w:tc>
        <w:tc>
          <w:tcPr>
            <w:tcW w:type="dxa" w:w="1440"/>
            <w:vAlign w:val="top"/>
          </w:tcPr>
          <w:p>
            <w:pPr>
              <w:spacing w:after="60" w:before="60" w:line="252" w:lineRule="auto"/>
            </w:pPr>
            <w:r>
              <w:rPr>
                <w:b w:val="0"/>
                <w:sz w:val="18"/>
              </w:rPr>
              <w:t>6.769</w:t>
            </w:r>
          </w:p>
        </w:tc>
        <w:tc>
          <w:tcPr>
            <w:tcW w:type="dxa" w:w="1440"/>
            <w:vAlign w:val="top"/>
          </w:tcPr>
          <w:p>
            <w:pPr>
              <w:spacing w:after="60" w:before="60" w:line="252" w:lineRule="auto"/>
            </w:pPr>
            <w:r>
              <w:rPr>
                <w:b w:val="0"/>
                <w:sz w:val="18"/>
              </w:rPr>
              <w:t>7.850</w:t>
            </w:r>
          </w:p>
        </w:tc>
        <w:tc>
          <w:tcPr>
            <w:tcW w:type="dxa" w:w="1872"/>
            <w:vAlign w:val="top"/>
          </w:tcPr>
          <w:p>
            <w:pPr>
              <w:spacing w:after="60" w:before="60" w:line="252" w:lineRule="auto"/>
            </w:pPr>
            <w:r>
              <w:rPr>
                <w:b w:val="0"/>
                <w:sz w:val="18"/>
              </w:rPr>
              <w:t>+0.00</w:t>
            </w:r>
          </w:p>
        </w:tc>
      </w:tr>
      <w:tr>
        <w:trPr>
          <w:cantSplit/>
        </w:trPr>
        <w:tc>
          <w:tcPr>
            <w:tcW w:type="dxa" w:w="2088"/>
            <w:vAlign w:val="top"/>
          </w:tcPr>
          <w:p>
            <w:pPr>
              <w:spacing w:after="60" w:before="60" w:line="252" w:lineRule="auto"/>
            </w:pPr>
            <w:r>
              <w:rPr>
                <w:b w:val="0"/>
                <w:sz w:val="18"/>
              </w:rPr>
              <w:t>Wearing apparel</w:t>
            </w:r>
          </w:p>
        </w:tc>
        <w:tc>
          <w:tcPr>
            <w:tcW w:type="dxa" w:w="2952"/>
            <w:vAlign w:val="top"/>
          </w:tcPr>
          <w:p>
            <w:pPr>
              <w:spacing w:after="60" w:before="60" w:line="252" w:lineRule="auto"/>
            </w:pPr>
            <w:r>
              <w:rPr>
                <w:b w:val="0"/>
                <w:sz w:val="18"/>
              </w:rPr>
              <w:t>Raw electricity OLS</w:t>
            </w:r>
          </w:p>
        </w:tc>
        <w:tc>
          <w:tcPr>
            <w:tcW w:type="dxa" w:w="1440"/>
            <w:vAlign w:val="top"/>
          </w:tcPr>
          <w:p>
            <w:pPr>
              <w:spacing w:after="60" w:before="60" w:line="252" w:lineRule="auto"/>
            </w:pPr>
            <w:r>
              <w:rPr>
                <w:b w:val="0"/>
                <w:sz w:val="18"/>
              </w:rPr>
              <w:t>6.678</w:t>
            </w:r>
          </w:p>
        </w:tc>
        <w:tc>
          <w:tcPr>
            <w:tcW w:type="dxa" w:w="1440"/>
            <w:vAlign w:val="top"/>
          </w:tcPr>
          <w:p>
            <w:pPr>
              <w:spacing w:after="60" w:before="60" w:line="252" w:lineRule="auto"/>
            </w:pPr>
            <w:r>
              <w:rPr>
                <w:b w:val="0"/>
                <w:sz w:val="18"/>
              </w:rPr>
              <w:t>8.089</w:t>
            </w:r>
          </w:p>
        </w:tc>
        <w:tc>
          <w:tcPr>
            <w:tcW w:type="dxa" w:w="1872"/>
            <w:vAlign w:val="top"/>
          </w:tcPr>
          <w:p>
            <w:pPr>
              <w:spacing w:after="60" w:before="60" w:line="252" w:lineRule="auto"/>
            </w:pPr>
            <w:r>
              <w:rPr>
                <w:b w:val="0"/>
                <w:sz w:val="18"/>
              </w:rPr>
              <w:t>+1.35</w:t>
            </w:r>
          </w:p>
        </w:tc>
      </w:tr>
      <w:tr>
        <w:trPr>
          <w:cantSplit/>
        </w:trPr>
        <w:tc>
          <w:tcPr>
            <w:tcW w:type="dxa" w:w="2088"/>
            <w:vAlign w:val="top"/>
          </w:tcPr>
          <w:p>
            <w:pPr>
              <w:spacing w:after="60" w:before="60" w:line="252" w:lineRule="auto"/>
            </w:pPr>
            <w:r>
              <w:rPr>
                <w:b w:val="0"/>
                <w:sz w:val="18"/>
              </w:rPr>
              <w:t>Wearing apparel</w:t>
            </w:r>
          </w:p>
        </w:tc>
        <w:tc>
          <w:tcPr>
            <w:tcW w:type="dxa" w:w="2952"/>
            <w:vAlign w:val="top"/>
          </w:tcPr>
          <w:p>
            <w:pPr>
              <w:spacing w:after="60" w:before="60" w:line="252" w:lineRule="auto"/>
            </w:pPr>
            <w:r>
              <w:rPr>
                <w:b w:val="0"/>
                <w:sz w:val="18"/>
              </w:rPr>
              <w:t>Adjusted electricity OLS</w:t>
            </w:r>
          </w:p>
        </w:tc>
        <w:tc>
          <w:tcPr>
            <w:tcW w:type="dxa" w:w="1440"/>
            <w:vAlign w:val="top"/>
          </w:tcPr>
          <w:p>
            <w:pPr>
              <w:spacing w:after="60" w:before="60" w:line="252" w:lineRule="auto"/>
            </w:pPr>
            <w:r>
              <w:rPr>
                <w:b w:val="0"/>
                <w:sz w:val="18"/>
              </w:rPr>
              <w:t>7.084</w:t>
            </w:r>
          </w:p>
        </w:tc>
        <w:tc>
          <w:tcPr>
            <w:tcW w:type="dxa" w:w="1440"/>
            <w:vAlign w:val="top"/>
          </w:tcPr>
          <w:p>
            <w:pPr>
              <w:spacing w:after="60" w:before="60" w:line="252" w:lineRule="auto"/>
            </w:pPr>
            <w:r>
              <w:rPr>
                <w:b w:val="0"/>
                <w:sz w:val="18"/>
              </w:rPr>
              <w:t>8.196</w:t>
            </w:r>
          </w:p>
        </w:tc>
        <w:tc>
          <w:tcPr>
            <w:tcW w:type="dxa" w:w="1872"/>
            <w:vAlign w:val="top"/>
          </w:tcPr>
          <w:p>
            <w:pPr>
              <w:spacing w:after="60" w:before="60" w:line="252" w:lineRule="auto"/>
            </w:pPr>
            <w:r>
              <w:rPr>
                <w:b w:val="0"/>
                <w:sz w:val="18"/>
              </w:rPr>
              <w:t>-4.66</w:t>
            </w:r>
          </w:p>
        </w:tc>
      </w:tr>
      <w:tr>
        <w:trPr>
          <w:cantSplit/>
        </w:trPr>
        <w:tc>
          <w:tcPr>
            <w:tcW w:type="dxa" w:w="2088"/>
            <w:vAlign w:val="top"/>
          </w:tcPr>
          <w:p>
            <w:pPr>
              <w:spacing w:after="60" w:before="60" w:line="252" w:lineRule="auto"/>
            </w:pPr>
            <w:r>
              <w:rPr>
                <w:b w:val="0"/>
                <w:sz w:val="18"/>
              </w:rPr>
              <w:t>Wearing apparel</w:t>
            </w:r>
          </w:p>
        </w:tc>
        <w:tc>
          <w:tcPr>
            <w:tcW w:type="dxa" w:w="2952"/>
            <w:vAlign w:val="top"/>
          </w:tcPr>
          <w:p>
            <w:pPr>
              <w:spacing w:after="60" w:before="60" w:line="252" w:lineRule="auto"/>
            </w:pPr>
            <w:r>
              <w:rPr>
                <w:b w:val="0"/>
                <w:sz w:val="18"/>
              </w:rPr>
              <w:t>Adjusted electricity ridge</w:t>
            </w:r>
          </w:p>
        </w:tc>
        <w:tc>
          <w:tcPr>
            <w:tcW w:type="dxa" w:w="1440"/>
            <w:vAlign w:val="top"/>
          </w:tcPr>
          <w:p>
            <w:pPr>
              <w:spacing w:after="60" w:before="60" w:line="252" w:lineRule="auto"/>
            </w:pPr>
            <w:r>
              <w:rPr>
                <w:b w:val="0"/>
                <w:sz w:val="18"/>
              </w:rPr>
              <w:t>6.736</w:t>
            </w:r>
          </w:p>
        </w:tc>
        <w:tc>
          <w:tcPr>
            <w:tcW w:type="dxa" w:w="1440"/>
            <w:vAlign w:val="top"/>
          </w:tcPr>
          <w:p>
            <w:pPr>
              <w:spacing w:after="60" w:before="60" w:line="252" w:lineRule="auto"/>
            </w:pPr>
            <w:r>
              <w:rPr>
                <w:b w:val="0"/>
                <w:sz w:val="18"/>
              </w:rPr>
              <w:t>7.761</w:t>
            </w:r>
          </w:p>
        </w:tc>
        <w:tc>
          <w:tcPr>
            <w:tcW w:type="dxa" w:w="1872"/>
            <w:vAlign w:val="top"/>
          </w:tcPr>
          <w:p>
            <w:pPr>
              <w:spacing w:after="60" w:before="60" w:line="252" w:lineRule="auto"/>
            </w:pPr>
            <w:r>
              <w:rPr>
                <w:b w:val="0"/>
                <w:sz w:val="18"/>
              </w:rPr>
              <w:t>+0.48</w:t>
            </w:r>
          </w:p>
        </w:tc>
      </w:tr>
    </w:tbl>
    <w:p>
      <w:pPr>
        <w:spacing w:after="40"/>
      </w:pPr>
    </w:p>
    <w:p>
      <w:r>
        <w:t>All methods use the same 24 test months. Lower MAE and RMSE are better. A positive relative MAE gain means a smaller error than the corresponding IIP-only benchmark. Values are rounded only for display.</w:t>
      </w:r>
    </w:p>
    <w:p>
      <w:r>
        <w:t>The benchmark MAEs fall to 1.357, 2.017, 3.100 and 6.769 percentage points respectively. Adjusted ridge is slightly worse on the first three targets. Apparel adjusted ridge improves MAE by 0.033 percentage points, about 0.48 percent, and raw OLS improves it by 0.091 percentage points, about 1.35 percent. Those small gains are exploratory and uncertain. There is no consistent industry pattern supporting the claim that the national proxy helps the presumed energy-intensive groups most.</w:t>
      </w:r>
    </w:p>
    <w:p>
      <w:r>
        <w:drawing>
          <wp:inline xmlns:a="http://schemas.openxmlformats.org/drawingml/2006/main" xmlns:pic="http://schemas.openxmlformats.org/drawingml/2006/picture">
            <wp:extent cx="6126480" cy="4288536"/>
            <wp:docPr id="1" name="Picture 1"/>
            <wp:cNvGraphicFramePr>
              <a:graphicFrameLocks noChangeAspect="1"/>
            </wp:cNvGraphicFramePr>
            <a:graphic>
              <a:graphicData uri="http://schemas.openxmlformats.org/drawingml/2006/picture">
                <pic:pic>
                  <pic:nvPicPr>
                    <pic:cNvPr id="0" name="test_mae.png"/>
                    <pic:cNvPicPr/>
                  </pic:nvPicPr>
                  <pic:blipFill>
                    <a:blip r:embed="rId11"/>
                    <a:stretch>
                      <a:fillRect/>
                    </a:stretch>
                  </pic:blipFill>
                  <pic:spPr>
                    <a:xfrm>
                      <a:off x="0" y="0"/>
                      <a:ext cx="6126480" cy="4288536"/>
                    </a:xfrm>
                    <a:prstGeom prst="rect"/>
                  </pic:spPr>
                </pic:pic>
              </a:graphicData>
            </a:graphic>
          </wp:inline>
        </w:drawing>
      </w:r>
    </w:p>
    <w:p>
      <w:r>
        <w:t>Figure 1  Test MAE for all four setups and both fitting cases. Solid bars use full history; hatched bars use strict exclusions. Panel scales differ because target volatility differs.</w:t>
      </w:r>
    </w:p>
    <w:p>
      <w:pPr>
        <w:pStyle w:val="Heading1"/>
        <w:pageBreakBefore/>
      </w:pPr>
      <w:r>
        <w:t>10 Paired comparisons and robustness</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Pr>
      <w:tblGrid>
        <w:gridCol w:w="1008"/>
        <w:gridCol w:w="2880"/>
        <w:gridCol w:w="2880"/>
        <w:gridCol w:w="3024"/>
      </w:tblGrid>
      <w:tr>
        <w:trPr>
          <w:tblHeader/>
          <w:cantSplit/>
        </w:trPr>
        <w:tc>
          <w:tcPr>
            <w:tcW w:type="dxa" w:w="1008"/>
            <w:shd w:fill="EDEDED"/>
            <w:vAlign w:val="top"/>
          </w:tcPr>
          <w:p>
            <w:pPr>
              <w:spacing w:after="60" w:before="60" w:line="252" w:lineRule="auto"/>
            </w:pPr>
            <w:r>
              <w:rPr>
                <w:b/>
                <w:sz w:val="18"/>
              </w:rPr>
              <w:t>Case</w:t>
            </w:r>
          </w:p>
        </w:tc>
        <w:tc>
          <w:tcPr>
            <w:tcW w:type="dxa" w:w="2880"/>
            <w:shd w:fill="EDEDED"/>
            <w:vAlign w:val="top"/>
          </w:tcPr>
          <w:p>
            <w:pPr>
              <w:spacing w:after="60" w:before="60" w:line="252" w:lineRule="auto"/>
            </w:pPr>
            <w:r>
              <w:rPr>
                <w:b/>
                <w:sz w:val="18"/>
              </w:rPr>
              <w:t>Target</w:t>
            </w:r>
          </w:p>
        </w:tc>
        <w:tc>
          <w:tcPr>
            <w:tcW w:type="dxa" w:w="2880"/>
            <w:shd w:fill="EDEDED"/>
            <w:vAlign w:val="top"/>
          </w:tcPr>
          <w:p>
            <w:pPr>
              <w:spacing w:after="60" w:before="60" w:line="252" w:lineRule="auto"/>
            </w:pPr>
            <w:r>
              <w:rPr>
                <w:b/>
                <w:sz w:val="18"/>
              </w:rPr>
              <w:t>Ridge minus benchmark MAE pp</w:t>
            </w:r>
          </w:p>
        </w:tc>
        <w:tc>
          <w:tcPr>
            <w:tcW w:type="dxa" w:w="3024"/>
            <w:shd w:fill="EDEDED"/>
            <w:vAlign w:val="top"/>
          </w:tcPr>
          <w:p>
            <w:pPr>
              <w:spacing w:after="60" w:before="60" w:line="252" w:lineRule="auto"/>
            </w:pPr>
            <w:r>
              <w:rPr>
                <w:b/>
                <w:sz w:val="18"/>
              </w:rPr>
              <w:t>Exploratory 95 percent interval</w:t>
            </w:r>
          </w:p>
        </w:tc>
      </w:tr>
      <w:tr>
        <w:trPr>
          <w:cantSplit/>
        </w:trPr>
        <w:tc>
          <w:tcPr>
            <w:tcW w:type="dxa" w:w="1008"/>
            <w:vAlign w:val="top"/>
          </w:tcPr>
          <w:p>
            <w:pPr>
              <w:spacing w:after="60" w:before="60" w:line="252" w:lineRule="auto"/>
            </w:pPr>
            <w:r>
              <w:rPr>
                <w:b w:val="0"/>
                <w:sz w:val="18"/>
              </w:rPr>
              <w:t>Full</w:t>
            </w:r>
          </w:p>
        </w:tc>
        <w:tc>
          <w:tcPr>
            <w:tcW w:type="dxa" w:w="2880"/>
            <w:vAlign w:val="top"/>
          </w:tcPr>
          <w:p>
            <w:pPr>
              <w:spacing w:after="60" w:before="60" w:line="252" w:lineRule="auto"/>
            </w:pPr>
            <w:r>
              <w:rPr>
                <w:b w:val="0"/>
                <w:sz w:val="18"/>
              </w:rPr>
              <w:t>Manufacturing</w:t>
            </w:r>
          </w:p>
        </w:tc>
        <w:tc>
          <w:tcPr>
            <w:tcW w:type="dxa" w:w="2880"/>
            <w:vAlign w:val="top"/>
          </w:tcPr>
          <w:p>
            <w:pPr>
              <w:spacing w:after="60" w:before="60" w:line="252" w:lineRule="auto"/>
            </w:pPr>
            <w:r>
              <w:rPr>
                <w:b w:val="0"/>
                <w:sz w:val="18"/>
              </w:rPr>
              <w:t>+1.540</w:t>
            </w:r>
          </w:p>
        </w:tc>
        <w:tc>
          <w:tcPr>
            <w:tcW w:type="dxa" w:w="3024"/>
            <w:vAlign w:val="top"/>
          </w:tcPr>
          <w:p>
            <w:pPr>
              <w:spacing w:after="60" w:before="60" w:line="252" w:lineRule="auto"/>
            </w:pPr>
            <w:r>
              <w:rPr>
                <w:b w:val="0"/>
                <w:sz w:val="18"/>
              </w:rPr>
              <w:t>[+0.619, +2.760]</w:t>
            </w:r>
          </w:p>
        </w:tc>
      </w:tr>
      <w:tr>
        <w:trPr>
          <w:cantSplit/>
        </w:trPr>
        <w:tc>
          <w:tcPr>
            <w:tcW w:type="dxa" w:w="1008"/>
            <w:vAlign w:val="top"/>
          </w:tcPr>
          <w:p>
            <w:pPr>
              <w:spacing w:after="60" w:before="60" w:line="252" w:lineRule="auto"/>
            </w:pPr>
            <w:r>
              <w:rPr>
                <w:b w:val="0"/>
                <w:sz w:val="18"/>
              </w:rPr>
              <w:t>Full</w:t>
            </w:r>
          </w:p>
        </w:tc>
        <w:tc>
          <w:tcPr>
            <w:tcW w:type="dxa" w:w="2880"/>
            <w:vAlign w:val="top"/>
          </w:tcPr>
          <w:p>
            <w:pPr>
              <w:spacing w:after="60" w:before="60" w:line="252" w:lineRule="auto"/>
            </w:pPr>
            <w:r>
              <w:rPr>
                <w:b w:val="0"/>
                <w:sz w:val="18"/>
              </w:rPr>
              <w:t>Basic metals</w:t>
            </w:r>
          </w:p>
        </w:tc>
        <w:tc>
          <w:tcPr>
            <w:tcW w:type="dxa" w:w="2880"/>
            <w:vAlign w:val="top"/>
          </w:tcPr>
          <w:p>
            <w:pPr>
              <w:spacing w:after="60" w:before="60" w:line="252" w:lineRule="auto"/>
            </w:pPr>
            <w:r>
              <w:rPr>
                <w:b w:val="0"/>
                <w:sz w:val="18"/>
              </w:rPr>
              <w:t>+1.279</w:t>
            </w:r>
          </w:p>
        </w:tc>
        <w:tc>
          <w:tcPr>
            <w:tcW w:type="dxa" w:w="3024"/>
            <w:vAlign w:val="top"/>
          </w:tcPr>
          <w:p>
            <w:pPr>
              <w:spacing w:after="60" w:before="60" w:line="252" w:lineRule="auto"/>
            </w:pPr>
            <w:r>
              <w:rPr>
                <w:b w:val="0"/>
                <w:sz w:val="18"/>
              </w:rPr>
              <w:t>[+0.088, +2.812]</w:t>
            </w:r>
          </w:p>
        </w:tc>
      </w:tr>
      <w:tr>
        <w:trPr>
          <w:cantSplit/>
        </w:trPr>
        <w:tc>
          <w:tcPr>
            <w:tcW w:type="dxa" w:w="1008"/>
            <w:vAlign w:val="top"/>
          </w:tcPr>
          <w:p>
            <w:pPr>
              <w:spacing w:after="60" w:before="60" w:line="252" w:lineRule="auto"/>
            </w:pPr>
            <w:r>
              <w:rPr>
                <w:b w:val="0"/>
                <w:sz w:val="18"/>
              </w:rPr>
              <w:t>Full</w:t>
            </w:r>
          </w:p>
        </w:tc>
        <w:tc>
          <w:tcPr>
            <w:tcW w:type="dxa" w:w="2880"/>
            <w:vAlign w:val="top"/>
          </w:tcPr>
          <w:p>
            <w:pPr>
              <w:spacing w:after="60" w:before="60" w:line="252" w:lineRule="auto"/>
            </w:pPr>
            <w:r>
              <w:rPr>
                <w:b w:val="0"/>
                <w:sz w:val="18"/>
              </w:rPr>
              <w:t>Non metallic minerals</w:t>
            </w:r>
          </w:p>
        </w:tc>
        <w:tc>
          <w:tcPr>
            <w:tcW w:type="dxa" w:w="2880"/>
            <w:vAlign w:val="top"/>
          </w:tcPr>
          <w:p>
            <w:pPr>
              <w:spacing w:after="60" w:before="60" w:line="252" w:lineRule="auto"/>
            </w:pPr>
            <w:r>
              <w:rPr>
                <w:b w:val="0"/>
                <w:sz w:val="18"/>
              </w:rPr>
              <w:t>+2.230</w:t>
            </w:r>
          </w:p>
        </w:tc>
        <w:tc>
          <w:tcPr>
            <w:tcW w:type="dxa" w:w="3024"/>
            <w:vAlign w:val="top"/>
          </w:tcPr>
          <w:p>
            <w:pPr>
              <w:spacing w:after="60" w:before="60" w:line="252" w:lineRule="auto"/>
            </w:pPr>
            <w:r>
              <w:rPr>
                <w:b w:val="0"/>
                <w:sz w:val="18"/>
              </w:rPr>
              <w:t>[-0.861, +5.653]</w:t>
            </w:r>
          </w:p>
        </w:tc>
      </w:tr>
      <w:tr>
        <w:trPr>
          <w:cantSplit/>
        </w:trPr>
        <w:tc>
          <w:tcPr>
            <w:tcW w:type="dxa" w:w="1008"/>
            <w:vAlign w:val="top"/>
          </w:tcPr>
          <w:p>
            <w:pPr>
              <w:spacing w:after="60" w:before="60" w:line="252" w:lineRule="auto"/>
            </w:pPr>
            <w:r>
              <w:rPr>
                <w:b w:val="0"/>
                <w:sz w:val="18"/>
              </w:rPr>
              <w:t>Full</w:t>
            </w:r>
          </w:p>
        </w:tc>
        <w:tc>
          <w:tcPr>
            <w:tcW w:type="dxa" w:w="2880"/>
            <w:vAlign w:val="top"/>
          </w:tcPr>
          <w:p>
            <w:pPr>
              <w:spacing w:after="60" w:before="60" w:line="252" w:lineRule="auto"/>
            </w:pPr>
            <w:r>
              <w:rPr>
                <w:b w:val="0"/>
                <w:sz w:val="18"/>
              </w:rPr>
              <w:t>Wearing apparel</w:t>
            </w:r>
          </w:p>
        </w:tc>
        <w:tc>
          <w:tcPr>
            <w:tcW w:type="dxa" w:w="2880"/>
            <w:vAlign w:val="top"/>
          </w:tcPr>
          <w:p>
            <w:pPr>
              <w:spacing w:after="60" w:before="60" w:line="252" w:lineRule="auto"/>
            </w:pPr>
            <w:r>
              <w:rPr>
                <w:b w:val="0"/>
                <w:sz w:val="18"/>
              </w:rPr>
              <w:t>+3.070</w:t>
            </w:r>
          </w:p>
        </w:tc>
        <w:tc>
          <w:tcPr>
            <w:tcW w:type="dxa" w:w="3024"/>
            <w:vAlign w:val="top"/>
          </w:tcPr>
          <w:p>
            <w:pPr>
              <w:spacing w:after="60" w:before="60" w:line="252" w:lineRule="auto"/>
            </w:pPr>
            <w:r>
              <w:rPr>
                <w:b w:val="0"/>
                <w:sz w:val="18"/>
              </w:rPr>
              <w:t>[-1.257, +7.033]</w:t>
            </w:r>
          </w:p>
        </w:tc>
      </w:tr>
      <w:tr>
        <w:trPr>
          <w:cantSplit/>
        </w:trPr>
        <w:tc>
          <w:tcPr>
            <w:tcW w:type="dxa" w:w="1008"/>
            <w:vAlign w:val="top"/>
          </w:tcPr>
          <w:p>
            <w:pPr>
              <w:spacing w:after="60" w:before="60" w:line="252" w:lineRule="auto"/>
            </w:pPr>
            <w:r>
              <w:rPr>
                <w:b w:val="0"/>
                <w:sz w:val="18"/>
              </w:rPr>
              <w:t>Strict</w:t>
            </w:r>
          </w:p>
        </w:tc>
        <w:tc>
          <w:tcPr>
            <w:tcW w:type="dxa" w:w="2880"/>
            <w:vAlign w:val="top"/>
          </w:tcPr>
          <w:p>
            <w:pPr>
              <w:spacing w:after="60" w:before="60" w:line="252" w:lineRule="auto"/>
            </w:pPr>
            <w:r>
              <w:rPr>
                <w:b w:val="0"/>
                <w:sz w:val="18"/>
              </w:rPr>
              <w:t>Manufacturing</w:t>
            </w:r>
          </w:p>
        </w:tc>
        <w:tc>
          <w:tcPr>
            <w:tcW w:type="dxa" w:w="2880"/>
            <w:vAlign w:val="top"/>
          </w:tcPr>
          <w:p>
            <w:pPr>
              <w:spacing w:after="60" w:before="60" w:line="252" w:lineRule="auto"/>
            </w:pPr>
            <w:r>
              <w:rPr>
                <w:b w:val="0"/>
                <w:sz w:val="18"/>
              </w:rPr>
              <w:t>+0.129</w:t>
            </w:r>
          </w:p>
        </w:tc>
        <w:tc>
          <w:tcPr>
            <w:tcW w:type="dxa" w:w="3024"/>
            <w:vAlign w:val="top"/>
          </w:tcPr>
          <w:p>
            <w:pPr>
              <w:spacing w:after="60" w:before="60" w:line="252" w:lineRule="auto"/>
            </w:pPr>
            <w:r>
              <w:rPr>
                <w:b w:val="0"/>
                <w:sz w:val="18"/>
              </w:rPr>
              <w:t>[-0.200, +0.427]</w:t>
            </w:r>
          </w:p>
        </w:tc>
      </w:tr>
      <w:tr>
        <w:trPr>
          <w:cantSplit/>
        </w:trPr>
        <w:tc>
          <w:tcPr>
            <w:tcW w:type="dxa" w:w="1008"/>
            <w:vAlign w:val="top"/>
          </w:tcPr>
          <w:p>
            <w:pPr>
              <w:spacing w:after="60" w:before="60" w:line="252" w:lineRule="auto"/>
            </w:pPr>
            <w:r>
              <w:rPr>
                <w:b w:val="0"/>
                <w:sz w:val="18"/>
              </w:rPr>
              <w:t>Strict</w:t>
            </w:r>
          </w:p>
        </w:tc>
        <w:tc>
          <w:tcPr>
            <w:tcW w:type="dxa" w:w="2880"/>
            <w:vAlign w:val="top"/>
          </w:tcPr>
          <w:p>
            <w:pPr>
              <w:spacing w:after="60" w:before="60" w:line="252" w:lineRule="auto"/>
            </w:pPr>
            <w:r>
              <w:rPr>
                <w:b w:val="0"/>
                <w:sz w:val="18"/>
              </w:rPr>
              <w:t>Basic metals</w:t>
            </w:r>
          </w:p>
        </w:tc>
        <w:tc>
          <w:tcPr>
            <w:tcW w:type="dxa" w:w="2880"/>
            <w:vAlign w:val="top"/>
          </w:tcPr>
          <w:p>
            <w:pPr>
              <w:spacing w:after="60" w:before="60" w:line="252" w:lineRule="auto"/>
            </w:pPr>
            <w:r>
              <w:rPr>
                <w:b w:val="0"/>
                <w:sz w:val="18"/>
              </w:rPr>
              <w:t>+0.100</w:t>
            </w:r>
          </w:p>
        </w:tc>
        <w:tc>
          <w:tcPr>
            <w:tcW w:type="dxa" w:w="3024"/>
            <w:vAlign w:val="top"/>
          </w:tcPr>
          <w:p>
            <w:pPr>
              <w:spacing w:after="60" w:before="60" w:line="252" w:lineRule="auto"/>
            </w:pPr>
            <w:r>
              <w:rPr>
                <w:b w:val="0"/>
                <w:sz w:val="18"/>
              </w:rPr>
              <w:t>[+0.008, +0.200]</w:t>
            </w:r>
          </w:p>
        </w:tc>
      </w:tr>
      <w:tr>
        <w:trPr>
          <w:cantSplit/>
        </w:trPr>
        <w:tc>
          <w:tcPr>
            <w:tcW w:type="dxa" w:w="1008"/>
            <w:vAlign w:val="top"/>
          </w:tcPr>
          <w:p>
            <w:pPr>
              <w:spacing w:after="60" w:before="60" w:line="252" w:lineRule="auto"/>
            </w:pPr>
            <w:r>
              <w:rPr>
                <w:b w:val="0"/>
                <w:sz w:val="18"/>
              </w:rPr>
              <w:t>Strict</w:t>
            </w:r>
          </w:p>
        </w:tc>
        <w:tc>
          <w:tcPr>
            <w:tcW w:type="dxa" w:w="2880"/>
            <w:vAlign w:val="top"/>
          </w:tcPr>
          <w:p>
            <w:pPr>
              <w:spacing w:after="60" w:before="60" w:line="252" w:lineRule="auto"/>
            </w:pPr>
            <w:r>
              <w:rPr>
                <w:b w:val="0"/>
                <w:sz w:val="18"/>
              </w:rPr>
              <w:t>Non metallic minerals</w:t>
            </w:r>
          </w:p>
        </w:tc>
        <w:tc>
          <w:tcPr>
            <w:tcW w:type="dxa" w:w="2880"/>
            <w:vAlign w:val="top"/>
          </w:tcPr>
          <w:p>
            <w:pPr>
              <w:spacing w:after="60" w:before="60" w:line="252" w:lineRule="auto"/>
            </w:pPr>
            <w:r>
              <w:rPr>
                <w:b w:val="0"/>
                <w:sz w:val="18"/>
              </w:rPr>
              <w:t>+0.040</w:t>
            </w:r>
          </w:p>
        </w:tc>
        <w:tc>
          <w:tcPr>
            <w:tcW w:type="dxa" w:w="3024"/>
            <w:vAlign w:val="top"/>
          </w:tcPr>
          <w:p>
            <w:pPr>
              <w:spacing w:after="60" w:before="60" w:line="252" w:lineRule="auto"/>
            </w:pPr>
            <w:r>
              <w:rPr>
                <w:b w:val="0"/>
                <w:sz w:val="18"/>
              </w:rPr>
              <w:t>[-0.493, +0.493]</w:t>
            </w:r>
          </w:p>
        </w:tc>
      </w:tr>
      <w:tr>
        <w:trPr>
          <w:cantSplit/>
        </w:trPr>
        <w:tc>
          <w:tcPr>
            <w:tcW w:type="dxa" w:w="1008"/>
            <w:vAlign w:val="top"/>
          </w:tcPr>
          <w:p>
            <w:pPr>
              <w:spacing w:after="60" w:before="60" w:line="252" w:lineRule="auto"/>
            </w:pPr>
            <w:r>
              <w:rPr>
                <w:b w:val="0"/>
                <w:sz w:val="18"/>
              </w:rPr>
              <w:t>Strict</w:t>
            </w:r>
          </w:p>
        </w:tc>
        <w:tc>
          <w:tcPr>
            <w:tcW w:type="dxa" w:w="2880"/>
            <w:vAlign w:val="top"/>
          </w:tcPr>
          <w:p>
            <w:pPr>
              <w:spacing w:after="60" w:before="60" w:line="252" w:lineRule="auto"/>
            </w:pPr>
            <w:r>
              <w:rPr>
                <w:b w:val="0"/>
                <w:sz w:val="18"/>
              </w:rPr>
              <w:t>Wearing apparel</w:t>
            </w:r>
          </w:p>
        </w:tc>
        <w:tc>
          <w:tcPr>
            <w:tcW w:type="dxa" w:w="2880"/>
            <w:vAlign w:val="top"/>
          </w:tcPr>
          <w:p>
            <w:pPr>
              <w:spacing w:after="60" w:before="60" w:line="252" w:lineRule="auto"/>
            </w:pPr>
            <w:r>
              <w:rPr>
                <w:b w:val="0"/>
                <w:sz w:val="18"/>
              </w:rPr>
              <w:t>-0.033</w:t>
            </w:r>
          </w:p>
        </w:tc>
        <w:tc>
          <w:tcPr>
            <w:tcW w:type="dxa" w:w="3024"/>
            <w:vAlign w:val="top"/>
          </w:tcPr>
          <w:p>
            <w:pPr>
              <w:spacing w:after="60" w:before="60" w:line="252" w:lineRule="auto"/>
            </w:pPr>
            <w:r>
              <w:rPr>
                <w:b w:val="0"/>
                <w:sz w:val="18"/>
              </w:rPr>
              <w:t>[-0.748, +0.597]</w:t>
            </w:r>
          </w:p>
        </w:tc>
      </w:tr>
    </w:tbl>
    <w:p>
      <w:pPr>
        <w:spacing w:after="40"/>
      </w:pPr>
    </w:p>
    <w:p>
      <w:r>
        <w:t>Negative differences favor ridge. In the strict apparel case the interval is −0.748 to +0.597 percentage points, spanning gains and losses much larger than the point estimate. Omitting a single month changes that estimate across a range of −0.147 to +0.157, so even its sign is sensitive to individual observations. Strict non-metallic minerals also changes sign under this diagnostic. No month is removed from the reported main results on that basis.</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Pr>
      <w:tblGrid>
        <w:gridCol w:w="2448"/>
        <w:gridCol w:w="2448"/>
        <w:gridCol w:w="2016"/>
        <w:gridCol w:w="2880"/>
      </w:tblGrid>
      <w:tr>
        <w:trPr>
          <w:tblHeader/>
          <w:cantSplit/>
        </w:trPr>
        <w:tc>
          <w:tcPr>
            <w:tcW w:type="dxa" w:w="2448"/>
            <w:shd w:fill="EDEDED"/>
            <w:vAlign w:val="top"/>
          </w:tcPr>
          <w:p>
            <w:pPr>
              <w:spacing w:after="60" w:before="60" w:line="252" w:lineRule="auto"/>
            </w:pPr>
            <w:r>
              <w:rPr>
                <w:b/>
                <w:sz w:val="18"/>
              </w:rPr>
              <w:t>Target</w:t>
            </w:r>
          </w:p>
        </w:tc>
        <w:tc>
          <w:tcPr>
            <w:tcW w:type="dxa" w:w="2448"/>
            <w:shd w:fill="EDEDED"/>
            <w:vAlign w:val="top"/>
          </w:tcPr>
          <w:p>
            <w:pPr>
              <w:spacing w:after="60" w:before="60" w:line="252" w:lineRule="auto"/>
            </w:pPr>
            <w:r>
              <w:rPr>
                <w:b/>
                <w:sz w:val="18"/>
              </w:rPr>
              <w:t>Method</w:t>
            </w:r>
          </w:p>
        </w:tc>
        <w:tc>
          <w:tcPr>
            <w:tcW w:type="dxa" w:w="2016"/>
            <w:shd w:fill="EDEDED"/>
            <w:vAlign w:val="top"/>
          </w:tcPr>
          <w:p>
            <w:pPr>
              <w:spacing w:after="60" w:before="60" w:line="252" w:lineRule="auto"/>
            </w:pPr>
            <w:r>
              <w:rPr>
                <w:b/>
                <w:sz w:val="18"/>
              </w:rPr>
              <w:t>Strict minus full MAE pp</w:t>
            </w:r>
          </w:p>
        </w:tc>
        <w:tc>
          <w:tcPr>
            <w:tcW w:type="dxa" w:w="2880"/>
            <w:shd w:fill="EDEDED"/>
            <w:vAlign w:val="top"/>
          </w:tcPr>
          <w:p>
            <w:pPr>
              <w:spacing w:after="60" w:before="60" w:line="252" w:lineRule="auto"/>
            </w:pPr>
            <w:r>
              <w:rPr>
                <w:b/>
                <w:sz w:val="18"/>
              </w:rPr>
              <w:t>Exploratory 95 percent interval</w:t>
            </w:r>
          </w:p>
        </w:tc>
      </w:tr>
      <w:tr>
        <w:trPr>
          <w:cantSplit/>
        </w:trPr>
        <w:tc>
          <w:tcPr>
            <w:tcW w:type="dxa" w:w="2448"/>
            <w:vAlign w:val="top"/>
          </w:tcPr>
          <w:p>
            <w:pPr>
              <w:spacing w:after="60" w:before="60" w:line="252" w:lineRule="auto"/>
            </w:pPr>
            <w:r>
              <w:rPr>
                <w:b w:val="0"/>
                <w:sz w:val="18"/>
              </w:rPr>
              <w:t>Manufacturing</w:t>
            </w:r>
          </w:p>
        </w:tc>
        <w:tc>
          <w:tcPr>
            <w:tcW w:type="dxa" w:w="2448"/>
            <w:vAlign w:val="top"/>
          </w:tcPr>
          <w:p>
            <w:pPr>
              <w:spacing w:after="60" w:before="60" w:line="252" w:lineRule="auto"/>
            </w:pPr>
            <w:r>
              <w:rPr>
                <w:b w:val="0"/>
                <w:sz w:val="18"/>
              </w:rPr>
              <w:t>IIP only OLS</w:t>
            </w:r>
          </w:p>
        </w:tc>
        <w:tc>
          <w:tcPr>
            <w:tcW w:type="dxa" w:w="2016"/>
            <w:vAlign w:val="top"/>
          </w:tcPr>
          <w:p>
            <w:pPr>
              <w:spacing w:after="60" w:before="60" w:line="252" w:lineRule="auto"/>
            </w:pPr>
            <w:r>
              <w:rPr>
                <w:b w:val="0"/>
                <w:sz w:val="18"/>
              </w:rPr>
              <w:t>-0.809</w:t>
            </w:r>
          </w:p>
        </w:tc>
        <w:tc>
          <w:tcPr>
            <w:tcW w:type="dxa" w:w="2880"/>
            <w:vAlign w:val="top"/>
          </w:tcPr>
          <w:p>
            <w:pPr>
              <w:spacing w:after="60" w:before="60" w:line="252" w:lineRule="auto"/>
            </w:pPr>
            <w:r>
              <w:rPr>
                <w:b w:val="0"/>
                <w:sz w:val="18"/>
              </w:rPr>
              <w:t>[-1.390, -0.285]</w:t>
            </w:r>
          </w:p>
        </w:tc>
      </w:tr>
      <w:tr>
        <w:trPr>
          <w:cantSplit/>
        </w:trPr>
        <w:tc>
          <w:tcPr>
            <w:tcW w:type="dxa" w:w="2448"/>
            <w:vAlign w:val="top"/>
          </w:tcPr>
          <w:p>
            <w:pPr>
              <w:spacing w:after="60" w:before="60" w:line="252" w:lineRule="auto"/>
            </w:pPr>
            <w:r>
              <w:rPr>
                <w:b w:val="0"/>
                <w:sz w:val="18"/>
              </w:rPr>
              <w:t>Manufacturing</w:t>
            </w:r>
          </w:p>
        </w:tc>
        <w:tc>
          <w:tcPr>
            <w:tcW w:type="dxa" w:w="2448"/>
            <w:vAlign w:val="top"/>
          </w:tcPr>
          <w:p>
            <w:pPr>
              <w:spacing w:after="60" w:before="60" w:line="252" w:lineRule="auto"/>
            </w:pPr>
            <w:r>
              <w:rPr>
                <w:b w:val="0"/>
                <w:sz w:val="18"/>
              </w:rPr>
              <w:t>Adjusted electricity ridge</w:t>
            </w:r>
          </w:p>
        </w:tc>
        <w:tc>
          <w:tcPr>
            <w:tcW w:type="dxa" w:w="2016"/>
            <w:vAlign w:val="top"/>
          </w:tcPr>
          <w:p>
            <w:pPr>
              <w:spacing w:after="60" w:before="60" w:line="252" w:lineRule="auto"/>
            </w:pPr>
            <w:r>
              <w:rPr>
                <w:b w:val="0"/>
                <w:sz w:val="18"/>
              </w:rPr>
              <w:t>-2.220</w:t>
            </w:r>
          </w:p>
        </w:tc>
        <w:tc>
          <w:tcPr>
            <w:tcW w:type="dxa" w:w="2880"/>
            <w:vAlign w:val="top"/>
          </w:tcPr>
          <w:p>
            <w:pPr>
              <w:spacing w:after="60" w:before="60" w:line="252" w:lineRule="auto"/>
            </w:pPr>
            <w:r>
              <w:rPr>
                <w:b w:val="0"/>
                <w:sz w:val="18"/>
              </w:rPr>
              <w:t>[-3.425, -1.310]</w:t>
            </w:r>
          </w:p>
        </w:tc>
      </w:tr>
      <w:tr>
        <w:trPr>
          <w:cantSplit/>
        </w:trPr>
        <w:tc>
          <w:tcPr>
            <w:tcW w:type="dxa" w:w="2448"/>
            <w:vAlign w:val="top"/>
          </w:tcPr>
          <w:p>
            <w:pPr>
              <w:spacing w:after="60" w:before="60" w:line="252" w:lineRule="auto"/>
            </w:pPr>
            <w:r>
              <w:rPr>
                <w:b w:val="0"/>
                <w:sz w:val="18"/>
              </w:rPr>
              <w:t>Basic metals</w:t>
            </w:r>
          </w:p>
        </w:tc>
        <w:tc>
          <w:tcPr>
            <w:tcW w:type="dxa" w:w="2448"/>
            <w:vAlign w:val="top"/>
          </w:tcPr>
          <w:p>
            <w:pPr>
              <w:spacing w:after="60" w:before="60" w:line="252" w:lineRule="auto"/>
            </w:pPr>
            <w:r>
              <w:rPr>
                <w:b w:val="0"/>
                <w:sz w:val="18"/>
              </w:rPr>
              <w:t>IIP only OLS</w:t>
            </w:r>
          </w:p>
        </w:tc>
        <w:tc>
          <w:tcPr>
            <w:tcW w:type="dxa" w:w="2016"/>
            <w:vAlign w:val="top"/>
          </w:tcPr>
          <w:p>
            <w:pPr>
              <w:spacing w:after="60" w:before="60" w:line="252" w:lineRule="auto"/>
            </w:pPr>
            <w:r>
              <w:rPr>
                <w:b w:val="0"/>
                <w:sz w:val="18"/>
              </w:rPr>
              <w:t>-1.589</w:t>
            </w:r>
          </w:p>
        </w:tc>
        <w:tc>
          <w:tcPr>
            <w:tcW w:type="dxa" w:w="2880"/>
            <w:vAlign w:val="top"/>
          </w:tcPr>
          <w:p>
            <w:pPr>
              <w:spacing w:after="60" w:before="60" w:line="252" w:lineRule="auto"/>
            </w:pPr>
            <w:r>
              <w:rPr>
                <w:b w:val="0"/>
                <w:sz w:val="18"/>
              </w:rPr>
              <w:t>[-2.683, -0.497]</w:t>
            </w:r>
          </w:p>
        </w:tc>
      </w:tr>
      <w:tr>
        <w:trPr>
          <w:cantSplit/>
        </w:trPr>
        <w:tc>
          <w:tcPr>
            <w:tcW w:type="dxa" w:w="2448"/>
            <w:vAlign w:val="top"/>
          </w:tcPr>
          <w:p>
            <w:pPr>
              <w:spacing w:after="60" w:before="60" w:line="252" w:lineRule="auto"/>
            </w:pPr>
            <w:r>
              <w:rPr>
                <w:b w:val="0"/>
                <w:sz w:val="18"/>
              </w:rPr>
              <w:t>Basic metals</w:t>
            </w:r>
          </w:p>
        </w:tc>
        <w:tc>
          <w:tcPr>
            <w:tcW w:type="dxa" w:w="2448"/>
            <w:vAlign w:val="top"/>
          </w:tcPr>
          <w:p>
            <w:pPr>
              <w:spacing w:after="60" w:before="60" w:line="252" w:lineRule="auto"/>
            </w:pPr>
            <w:r>
              <w:rPr>
                <w:b w:val="0"/>
                <w:sz w:val="18"/>
              </w:rPr>
              <w:t>Adjusted electricity ridge</w:t>
            </w:r>
          </w:p>
        </w:tc>
        <w:tc>
          <w:tcPr>
            <w:tcW w:type="dxa" w:w="2016"/>
            <w:vAlign w:val="top"/>
          </w:tcPr>
          <w:p>
            <w:pPr>
              <w:spacing w:after="60" w:before="60" w:line="252" w:lineRule="auto"/>
            </w:pPr>
            <w:r>
              <w:rPr>
                <w:b w:val="0"/>
                <w:sz w:val="18"/>
              </w:rPr>
              <w:t>-2.767</w:t>
            </w:r>
          </w:p>
        </w:tc>
        <w:tc>
          <w:tcPr>
            <w:tcW w:type="dxa" w:w="2880"/>
            <w:vAlign w:val="top"/>
          </w:tcPr>
          <w:p>
            <w:pPr>
              <w:spacing w:after="60" w:before="60" w:line="252" w:lineRule="auto"/>
            </w:pPr>
            <w:r>
              <w:rPr>
                <w:b w:val="0"/>
                <w:sz w:val="18"/>
              </w:rPr>
              <w:t>[-4.384, -1.515]</w:t>
            </w:r>
          </w:p>
        </w:tc>
      </w:tr>
      <w:tr>
        <w:trPr>
          <w:cantSplit/>
        </w:trPr>
        <w:tc>
          <w:tcPr>
            <w:tcW w:type="dxa" w:w="2448"/>
            <w:vAlign w:val="top"/>
          </w:tcPr>
          <w:p>
            <w:pPr>
              <w:spacing w:after="60" w:before="60" w:line="252" w:lineRule="auto"/>
            </w:pPr>
            <w:r>
              <w:rPr>
                <w:b w:val="0"/>
                <w:sz w:val="18"/>
              </w:rPr>
              <w:t>Non metallic minerals</w:t>
            </w:r>
          </w:p>
        </w:tc>
        <w:tc>
          <w:tcPr>
            <w:tcW w:type="dxa" w:w="2448"/>
            <w:vAlign w:val="top"/>
          </w:tcPr>
          <w:p>
            <w:pPr>
              <w:spacing w:after="60" w:before="60" w:line="252" w:lineRule="auto"/>
            </w:pPr>
            <w:r>
              <w:rPr>
                <w:b w:val="0"/>
                <w:sz w:val="18"/>
              </w:rPr>
              <w:t>IIP only OLS</w:t>
            </w:r>
          </w:p>
        </w:tc>
        <w:tc>
          <w:tcPr>
            <w:tcW w:type="dxa" w:w="2016"/>
            <w:vAlign w:val="top"/>
          </w:tcPr>
          <w:p>
            <w:pPr>
              <w:spacing w:after="60" w:before="60" w:line="252" w:lineRule="auto"/>
            </w:pPr>
            <w:r>
              <w:rPr>
                <w:b w:val="0"/>
                <w:sz w:val="18"/>
              </w:rPr>
              <w:t>-4.657</w:t>
            </w:r>
          </w:p>
        </w:tc>
        <w:tc>
          <w:tcPr>
            <w:tcW w:type="dxa" w:w="2880"/>
            <w:vAlign w:val="top"/>
          </w:tcPr>
          <w:p>
            <w:pPr>
              <w:spacing w:after="60" w:before="60" w:line="252" w:lineRule="auto"/>
            </w:pPr>
            <w:r>
              <w:rPr>
                <w:b w:val="0"/>
                <w:sz w:val="18"/>
              </w:rPr>
              <w:t>[-7.445, -2.191]</w:t>
            </w:r>
          </w:p>
        </w:tc>
      </w:tr>
      <w:tr>
        <w:trPr>
          <w:cantSplit/>
        </w:trPr>
        <w:tc>
          <w:tcPr>
            <w:tcW w:type="dxa" w:w="2448"/>
            <w:vAlign w:val="top"/>
          </w:tcPr>
          <w:p>
            <w:pPr>
              <w:spacing w:after="60" w:before="60" w:line="252" w:lineRule="auto"/>
            </w:pPr>
            <w:r>
              <w:rPr>
                <w:b w:val="0"/>
                <w:sz w:val="18"/>
              </w:rPr>
              <w:t>Non metallic minerals</w:t>
            </w:r>
          </w:p>
        </w:tc>
        <w:tc>
          <w:tcPr>
            <w:tcW w:type="dxa" w:w="2448"/>
            <w:vAlign w:val="top"/>
          </w:tcPr>
          <w:p>
            <w:pPr>
              <w:spacing w:after="60" w:before="60" w:line="252" w:lineRule="auto"/>
            </w:pPr>
            <w:r>
              <w:rPr>
                <w:b w:val="0"/>
                <w:sz w:val="18"/>
              </w:rPr>
              <w:t>Adjusted electricity ridge</w:t>
            </w:r>
          </w:p>
        </w:tc>
        <w:tc>
          <w:tcPr>
            <w:tcW w:type="dxa" w:w="2016"/>
            <w:vAlign w:val="top"/>
          </w:tcPr>
          <w:p>
            <w:pPr>
              <w:spacing w:after="60" w:before="60" w:line="252" w:lineRule="auto"/>
            </w:pPr>
            <w:r>
              <w:rPr>
                <w:b w:val="0"/>
                <w:sz w:val="18"/>
              </w:rPr>
              <w:t>-6.847</w:t>
            </w:r>
          </w:p>
        </w:tc>
        <w:tc>
          <w:tcPr>
            <w:tcW w:type="dxa" w:w="2880"/>
            <w:vAlign w:val="top"/>
          </w:tcPr>
          <w:p>
            <w:pPr>
              <w:spacing w:after="60" w:before="60" w:line="252" w:lineRule="auto"/>
            </w:pPr>
            <w:r>
              <w:rPr>
                <w:b w:val="0"/>
                <w:sz w:val="18"/>
              </w:rPr>
              <w:t>[-10.265, -3.644]</w:t>
            </w:r>
          </w:p>
        </w:tc>
      </w:tr>
      <w:tr>
        <w:trPr>
          <w:cantSplit/>
        </w:trPr>
        <w:tc>
          <w:tcPr>
            <w:tcW w:type="dxa" w:w="2448"/>
            <w:vAlign w:val="top"/>
          </w:tcPr>
          <w:p>
            <w:pPr>
              <w:spacing w:after="60" w:before="60" w:line="252" w:lineRule="auto"/>
            </w:pPr>
            <w:r>
              <w:rPr>
                <w:b w:val="0"/>
                <w:sz w:val="18"/>
              </w:rPr>
              <w:t>Wearing apparel</w:t>
            </w:r>
          </w:p>
        </w:tc>
        <w:tc>
          <w:tcPr>
            <w:tcW w:type="dxa" w:w="2448"/>
            <w:vAlign w:val="top"/>
          </w:tcPr>
          <w:p>
            <w:pPr>
              <w:spacing w:after="60" w:before="60" w:line="252" w:lineRule="auto"/>
            </w:pPr>
            <w:r>
              <w:rPr>
                <w:b w:val="0"/>
                <w:sz w:val="18"/>
              </w:rPr>
              <w:t>IIP only OLS</w:t>
            </w:r>
          </w:p>
        </w:tc>
        <w:tc>
          <w:tcPr>
            <w:tcW w:type="dxa" w:w="2016"/>
            <w:vAlign w:val="top"/>
          </w:tcPr>
          <w:p>
            <w:pPr>
              <w:spacing w:after="60" w:before="60" w:line="252" w:lineRule="auto"/>
            </w:pPr>
            <w:r>
              <w:rPr>
                <w:b w:val="0"/>
                <w:sz w:val="18"/>
              </w:rPr>
              <w:t>-3.634</w:t>
            </w:r>
          </w:p>
        </w:tc>
        <w:tc>
          <w:tcPr>
            <w:tcW w:type="dxa" w:w="2880"/>
            <w:vAlign w:val="top"/>
          </w:tcPr>
          <w:p>
            <w:pPr>
              <w:spacing w:after="60" w:before="60" w:line="252" w:lineRule="auto"/>
            </w:pPr>
            <w:r>
              <w:rPr>
                <w:b w:val="0"/>
                <w:sz w:val="18"/>
              </w:rPr>
              <w:t>[-6.019, -1.445]</w:t>
            </w:r>
          </w:p>
        </w:tc>
      </w:tr>
      <w:tr>
        <w:trPr>
          <w:cantSplit/>
        </w:trPr>
        <w:tc>
          <w:tcPr>
            <w:tcW w:type="dxa" w:w="2448"/>
            <w:vAlign w:val="top"/>
          </w:tcPr>
          <w:p>
            <w:pPr>
              <w:spacing w:after="60" w:before="60" w:line="252" w:lineRule="auto"/>
            </w:pPr>
            <w:r>
              <w:rPr>
                <w:b w:val="0"/>
                <w:sz w:val="18"/>
              </w:rPr>
              <w:t>Wearing apparel</w:t>
            </w:r>
          </w:p>
        </w:tc>
        <w:tc>
          <w:tcPr>
            <w:tcW w:type="dxa" w:w="2448"/>
            <w:vAlign w:val="top"/>
          </w:tcPr>
          <w:p>
            <w:pPr>
              <w:spacing w:after="60" w:before="60" w:line="252" w:lineRule="auto"/>
            </w:pPr>
            <w:r>
              <w:rPr>
                <w:b w:val="0"/>
                <w:sz w:val="18"/>
              </w:rPr>
              <w:t>Adjusted electricity ridge</w:t>
            </w:r>
          </w:p>
        </w:tc>
        <w:tc>
          <w:tcPr>
            <w:tcW w:type="dxa" w:w="2016"/>
            <w:vAlign w:val="top"/>
          </w:tcPr>
          <w:p>
            <w:pPr>
              <w:spacing w:after="60" w:before="60" w:line="252" w:lineRule="auto"/>
            </w:pPr>
            <w:r>
              <w:rPr>
                <w:b w:val="0"/>
                <w:sz w:val="18"/>
              </w:rPr>
              <w:t>-6.736</w:t>
            </w:r>
          </w:p>
        </w:tc>
        <w:tc>
          <w:tcPr>
            <w:tcW w:type="dxa" w:w="2880"/>
            <w:vAlign w:val="top"/>
          </w:tcPr>
          <w:p>
            <w:pPr>
              <w:spacing w:after="60" w:before="60" w:line="252" w:lineRule="auto"/>
            </w:pPr>
            <w:r>
              <w:rPr>
                <w:b w:val="0"/>
                <w:sz w:val="18"/>
              </w:rPr>
              <w:t>[-10.009, -3.457]</w:t>
            </w:r>
          </w:p>
        </w:tc>
      </w:tr>
    </w:tbl>
    <w:p>
      <w:pPr>
        <w:spacing w:after="40"/>
      </w:pPr>
    </w:p>
    <w:p>
      <w:r>
        <w:t>Every method’s point MAE is lower under strict exclusions. This includes IIP-only OLS, which has no electricity predictors. The pattern is consistent with instability associated with shock-exposed training data and changed estimation. It does not identify a separate electricity contribution, and the case comparison also changes training size and ridge tuning.</w:t>
      </w:r>
    </w:p>
    <w:p>
      <w:pPr>
        <w:pStyle w:val="Heading1"/>
        <w:pageBreakBefore w:val="0"/>
      </w:pPr>
      <w:r>
        <w:t>11 Economic interpretation and limits</w:t>
      </w:r>
    </w:p>
    <w:p>
      <w:r>
        <w:t>Production uses energy, but all-India grid energy met is shared by many users. Captive generation, outages, changing efficiency, product mix, irrigation and cooling can alter its relationship with any one industry’s measured output. Weather adjustment can reduce some predictable demand variation while removing useful covariation or leaving other confounders. A three-industry result is not a ranking of industrial electricity intensity or a causal production elasticity.</w:t>
      </w:r>
    </w:p>
    <w:p>
      <w:r>
        <w:t>The benchmark’s own released output information is useful and became more recent in 2025. An economic relationship can exist without improving forecasts conditional on those predictors. The severe full-history OLS errors are compatible with sensitivity to large annual growth observations and unstable fitted coefficients; the current exercise cannot prove that mechanism caused every error. Ridge constrains fitted slopes but cannot manufacture an informative proxy.</w:t>
      </w:r>
    </w:p>
    <w:p>
      <w:r>
        <w:t>There are only 24 test dates and shared national electricity inputs, so 768 forecast rows do not constitute 768 independent economic observations. Revised IIP, reanalysis weather, nominal legacy training release dates, approximate daily timing and the mirror-based original-report audit limit operational claims. The strict case has little recent validation. The short holdout, multiple comparisons and absence of an IIP-only ridge ablation all narrow interpretation. A longer prospective vintage-aware exercise would be needed to justify operational use.</w:t>
      </w:r>
    </w:p>
    <w:p>
      <w:r>
        <w:t>The appropriate conclusion is a bounded negative finding: in these samples, these national electricity features and these four setups do not reliably improve on a released-IIP benchmark for the selected targets. Shock exposure deserves explicit handling and transparent sensitivity reporting. The results do not justify a universal rejection of electricity indicators or a claim that deleting a shock restores a stable structural economy.</w:t>
      </w:r>
    </w:p>
    <w:p>
      <w:pPr>
        <w:pStyle w:val="Heading1"/>
        <w:pageBreakBefore/>
      </w:pPr>
      <w:r>
        <w:t>12 Verification and reproducibility</w:t>
      </w:r>
    </w:p>
    <w:p>
      <w:r>
        <w:t>The isolated extension leaves 339 original experiment files unchanged. Eight targeted extension tests and 22 original pipeline tests pass. A clean holdout rerun reproduces all six forecast, feature, coefficient, ledger and score CSV files byte for byte. Independent arithmetic verifies all 32 accuracy cells, all 32 within-case paired intervals, 2868 forecast reconstructions from saved coefficients and 32 first-origin forecasts rebuilt from the raw daily design and an alternative ridge least-squares calculation. The maximum numerical discrepancy in these checks is below one billionth of a percentage point.</w:t>
      </w:r>
    </w:p>
    <w:p>
      <w:r>
        <w:t>The saved information ledger records the training months, forecast date, last released label, daily adjustment end and training counts at every origin. Exposure reasons retain calendar dates. The protocol and input hashes were frozen before holdout scoring. After the initial run, a reproducibility amendment made cached preparation retain its existing metadata timestamp. The earlier freeze and before-and-after hashes are preserved, and all five prepared CSVs and six test CSVs remain byte-identical. The amendment changed no source values, model settings, tuning choices or study scope. Reproduction uses pinned package versions.</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Pr>
      <w:tblGrid>
        <w:gridCol w:w="2880"/>
        <w:gridCol w:w="6912"/>
      </w:tblGrid>
      <w:tr>
        <w:trPr>
          <w:tblHeader/>
          <w:cantSplit/>
        </w:trPr>
        <w:tc>
          <w:tcPr>
            <w:tcW w:type="dxa" w:w="2880"/>
            <w:shd w:fill="EDEDED"/>
            <w:vAlign w:val="top"/>
          </w:tcPr>
          <w:p>
            <w:pPr>
              <w:spacing w:after="60" w:before="60" w:line="252" w:lineRule="auto"/>
            </w:pPr>
            <w:r>
              <w:rPr>
                <w:b/>
                <w:sz w:val="18"/>
              </w:rPr>
              <w:t>Evidence</w:t>
            </w:r>
          </w:p>
        </w:tc>
        <w:tc>
          <w:tcPr>
            <w:tcW w:type="dxa" w:w="6912"/>
            <w:shd w:fill="EDEDED"/>
            <w:vAlign w:val="top"/>
          </w:tcPr>
          <w:p>
            <w:pPr>
              <w:spacing w:after="60" w:before="60" w:line="252" w:lineRule="auto"/>
            </w:pPr>
            <w:r>
              <w:rPr>
                <w:b/>
                <w:sz w:val="18"/>
              </w:rPr>
              <w:t>Location within the project</w:t>
            </w:r>
          </w:p>
        </w:tc>
      </w:tr>
      <w:tr>
        <w:trPr>
          <w:cantSplit/>
        </w:trPr>
        <w:tc>
          <w:tcPr>
            <w:tcW w:type="dxa" w:w="2880"/>
            <w:vAlign w:val="top"/>
          </w:tcPr>
          <w:p>
            <w:pPr>
              <w:spacing w:after="60" w:before="60" w:line="252" w:lineRule="auto"/>
            </w:pPr>
            <w:r>
              <w:rPr>
                <w:b w:val="0"/>
                <w:sz w:val="18"/>
              </w:rPr>
              <w:t>Configuration and runnable stages</w:t>
            </w:r>
          </w:p>
        </w:tc>
        <w:tc>
          <w:tcPr>
            <w:tcW w:type="dxa" w:w="6912"/>
            <w:vAlign w:val="top"/>
          </w:tcPr>
          <w:p>
            <w:pPr>
              <w:spacing w:after="60" w:before="60" w:line="252" w:lineRule="auto"/>
            </w:pPr>
            <w:r>
              <w:rPr>
                <w:b w:val="0"/>
                <w:sz w:val="18"/>
              </w:rPr>
              <w:t>extension/config.json; extension/prepare_data.py; extension/backtest.py; extension/report.py</w:t>
            </w:r>
          </w:p>
        </w:tc>
      </w:tr>
      <w:tr>
        <w:trPr>
          <w:cantSplit/>
        </w:trPr>
        <w:tc>
          <w:tcPr>
            <w:tcW w:type="dxa" w:w="2880"/>
            <w:vAlign w:val="top"/>
          </w:tcPr>
          <w:p>
            <w:pPr>
              <w:spacing w:after="60" w:before="60" w:line="252" w:lineRule="auto"/>
            </w:pPr>
            <w:r>
              <w:rPr>
                <w:b w:val="0"/>
                <w:sz w:val="18"/>
              </w:rPr>
              <w:t>Sources and exposure audit</w:t>
            </w:r>
          </w:p>
        </w:tc>
        <w:tc>
          <w:tcPr>
            <w:tcW w:type="dxa" w:w="6912"/>
            <w:vAlign w:val="top"/>
          </w:tcPr>
          <w:p>
            <w:pPr>
              <w:spacing w:after="60" w:before="60" w:line="252" w:lineRule="auto"/>
            </w:pPr>
            <w:r>
              <w:rPr>
                <w:b w:val="0"/>
                <w:sz w:val="18"/>
              </w:rPr>
              <w:t>extension/data; extension/raw/manifest.json; extension/results/exposure_ledger.csv</w:t>
            </w:r>
          </w:p>
        </w:tc>
      </w:tr>
      <w:tr>
        <w:trPr>
          <w:cantSplit/>
        </w:trPr>
        <w:tc>
          <w:tcPr>
            <w:tcW w:type="dxa" w:w="2880"/>
            <w:vAlign w:val="top"/>
          </w:tcPr>
          <w:p>
            <w:pPr>
              <w:spacing w:after="60" w:before="60" w:line="252" w:lineRule="auto"/>
            </w:pPr>
            <w:r>
              <w:rPr>
                <w:b w:val="0"/>
                <w:sz w:val="18"/>
              </w:rPr>
              <w:t>Freeze and forecasts</w:t>
            </w:r>
          </w:p>
        </w:tc>
        <w:tc>
          <w:tcPr>
            <w:tcW w:type="dxa" w:w="6912"/>
            <w:vAlign w:val="top"/>
          </w:tcPr>
          <w:p>
            <w:pPr>
              <w:spacing w:after="60" w:before="60" w:line="252" w:lineRule="auto"/>
            </w:pPr>
            <w:r>
              <w:rPr>
                <w:b w:val="0"/>
                <w:sz w:val="18"/>
              </w:rPr>
              <w:t>extension/results/experiment_freeze.json; test_predictions.csv; test_ledger.csv</w:t>
            </w:r>
          </w:p>
        </w:tc>
      </w:tr>
      <w:tr>
        <w:trPr>
          <w:cantSplit/>
        </w:trPr>
        <w:tc>
          <w:tcPr>
            <w:tcW w:type="dxa" w:w="2880"/>
            <w:vAlign w:val="top"/>
          </w:tcPr>
          <w:p>
            <w:pPr>
              <w:spacing w:after="60" w:before="60" w:line="252" w:lineRule="auto"/>
            </w:pPr>
            <w:r>
              <w:rPr>
                <w:b w:val="0"/>
                <w:sz w:val="18"/>
              </w:rPr>
              <w:t>Metrics and all paired contrasts</w:t>
            </w:r>
          </w:p>
        </w:tc>
        <w:tc>
          <w:tcPr>
            <w:tcW w:type="dxa" w:w="6912"/>
            <w:vAlign w:val="top"/>
          </w:tcPr>
          <w:p>
            <w:pPr>
              <w:spacing w:after="60" w:before="60" w:line="252" w:lineRule="auto"/>
            </w:pPr>
            <w:r>
              <w:rPr>
                <w:b w:val="0"/>
                <w:sz w:val="18"/>
              </w:rPr>
              <w:t>extension/results/metrics.csv; paired_contrasts.csv; case_contrasts.csv; influence.csv</w:t>
            </w:r>
          </w:p>
        </w:tc>
      </w:tr>
      <w:tr>
        <w:trPr>
          <w:cantSplit/>
        </w:trPr>
        <w:tc>
          <w:tcPr>
            <w:tcW w:type="dxa" w:w="2880"/>
            <w:vAlign w:val="top"/>
          </w:tcPr>
          <w:p>
            <w:pPr>
              <w:spacing w:after="60" w:before="60" w:line="252" w:lineRule="auto"/>
            </w:pPr>
            <w:r>
              <w:rPr>
                <w:b w:val="0"/>
                <w:sz w:val="18"/>
              </w:rPr>
              <w:t>Independent checks</w:t>
            </w:r>
          </w:p>
        </w:tc>
        <w:tc>
          <w:tcPr>
            <w:tcW w:type="dxa" w:w="6912"/>
            <w:vAlign w:val="top"/>
          </w:tcPr>
          <w:p>
            <w:pPr>
              <w:spacing w:after="60" w:before="60" w:line="252" w:lineRule="auto"/>
            </w:pPr>
            <w:r>
              <w:rPr>
                <w:b w:val="0"/>
                <w:sz w:val="18"/>
              </w:rPr>
              <w:t>extension/verify.py; extension/qa/numerical_verification.json; extension/qa/test_results.txt</w:t>
            </w:r>
          </w:p>
        </w:tc>
      </w:tr>
      <w:tr>
        <w:trPr>
          <w:cantSplit/>
        </w:trPr>
        <w:tc>
          <w:tcPr>
            <w:tcW w:type="dxa" w:w="2880"/>
            <w:vAlign w:val="top"/>
          </w:tcPr>
          <w:p>
            <w:pPr>
              <w:spacing w:after="60" w:before="60" w:line="252" w:lineRule="auto"/>
            </w:pPr>
            <w:r>
              <w:rPr>
                <w:b w:val="0"/>
                <w:sz w:val="18"/>
              </w:rPr>
              <w:t>Reproduction instructions</w:t>
            </w:r>
          </w:p>
        </w:tc>
        <w:tc>
          <w:tcPr>
            <w:tcW w:type="dxa" w:w="6912"/>
            <w:vAlign w:val="top"/>
          </w:tcPr>
          <w:p>
            <w:pPr>
              <w:spacing w:after="60" w:before="60" w:line="252" w:lineRule="auto"/>
            </w:pPr>
            <w:r>
              <w:rPr>
                <w:b w:val="0"/>
                <w:sz w:val="18"/>
              </w:rPr>
              <w:t>extension/README.txt</w:t>
            </w:r>
          </w:p>
        </w:tc>
      </w:tr>
    </w:tbl>
    <w:p>
      <w:pPr>
        <w:spacing w:after="40"/>
      </w:pPr>
    </w:p>
    <w:p>
      <w:r>
        <w:t>A frozen rerun uses the project virtual environment and these commands: python -m extension.prepare_data; python -m unittest extension.test_extension; python -m extension.backtest reproduce; python -m extension.report; python -m extension.verify. Initial validation and freeze are separate one-time stages and must not be repeated over the delivered experiment. Preparation can run from cached sources without network access. See README.txt for setup and the treatment of existing freeze files.</w:t>
      </w:r>
    </w:p>
    <w:p>
      <w:pPr>
        <w:pStyle w:val="Heading1"/>
        <w:pageBreakBefore/>
      </w:pPr>
      <w:r>
        <w:t>Appendix Complete matched OLS contrasts</w:t>
      </w:r>
    </w:p>
    <w:p>
      <w:r>
        <w:t>Each entry reports left-method MAE minus right-method MAE in percentage points. Negative values favor the left method. All intervals use the frozen paired block procedure; none adjusts for multiple comparisons.</w:t>
      </w:r>
    </w:p>
    <w:p>
      <w:pPr>
        <w:pStyle w:val="Heading2"/>
        <w:pageBreakBefore w:val="0"/>
      </w:pPr>
      <w:r>
        <w:t>Full history</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Pr>
      <w:tblGrid>
        <w:gridCol w:w="2160"/>
        <w:gridCol w:w="3384"/>
        <w:gridCol w:w="1440"/>
        <w:gridCol w:w="2808"/>
      </w:tblGrid>
      <w:tr>
        <w:trPr>
          <w:tblHeader/>
          <w:cantSplit/>
        </w:trPr>
        <w:tc>
          <w:tcPr>
            <w:tcW w:type="dxa" w:w="2160"/>
            <w:shd w:fill="EDEDED"/>
            <w:vAlign w:val="top"/>
          </w:tcPr>
          <w:p>
            <w:pPr>
              <w:spacing w:after="60" w:before="60" w:line="252" w:lineRule="auto"/>
            </w:pPr>
            <w:r>
              <w:rPr>
                <w:b/>
                <w:sz w:val="18"/>
              </w:rPr>
              <w:t>Target</w:t>
            </w:r>
          </w:p>
        </w:tc>
        <w:tc>
          <w:tcPr>
            <w:tcW w:type="dxa" w:w="3384"/>
            <w:shd w:fill="EDEDED"/>
            <w:vAlign w:val="top"/>
          </w:tcPr>
          <w:p>
            <w:pPr>
              <w:spacing w:after="60" w:before="60" w:line="252" w:lineRule="auto"/>
            </w:pPr>
            <w:r>
              <w:rPr>
                <w:b/>
                <w:sz w:val="18"/>
              </w:rPr>
              <w:t>Matched estimator contrast</w:t>
            </w:r>
          </w:p>
        </w:tc>
        <w:tc>
          <w:tcPr>
            <w:tcW w:type="dxa" w:w="1440"/>
            <w:shd w:fill="EDEDED"/>
            <w:vAlign w:val="top"/>
          </w:tcPr>
          <w:p>
            <w:pPr>
              <w:spacing w:after="60" w:before="60" w:line="252" w:lineRule="auto"/>
            </w:pPr>
            <w:r>
              <w:rPr>
                <w:b/>
                <w:sz w:val="18"/>
              </w:rPr>
              <w:t>Difference pp</w:t>
            </w:r>
          </w:p>
        </w:tc>
        <w:tc>
          <w:tcPr>
            <w:tcW w:type="dxa" w:w="2808"/>
            <w:shd w:fill="EDEDED"/>
            <w:vAlign w:val="top"/>
          </w:tcPr>
          <w:p>
            <w:pPr>
              <w:spacing w:after="60" w:before="60" w:line="252" w:lineRule="auto"/>
            </w:pPr>
            <w:r>
              <w:rPr>
                <w:b/>
                <w:sz w:val="18"/>
              </w:rPr>
              <w:t>95 percent interval</w:t>
            </w:r>
          </w:p>
        </w:tc>
      </w:tr>
      <w:tr>
        <w:trPr>
          <w:cantSplit/>
        </w:trPr>
        <w:tc>
          <w:tcPr>
            <w:tcW w:type="dxa" w:w="2160"/>
            <w:vAlign w:val="top"/>
          </w:tcPr>
          <w:p>
            <w:pPr>
              <w:spacing w:after="60" w:before="60" w:line="252" w:lineRule="auto"/>
            </w:pPr>
            <w:r>
              <w:rPr>
                <w:b w:val="0"/>
                <w:sz w:val="18"/>
              </w:rPr>
              <w:t>Manufacturing</w:t>
            </w:r>
          </w:p>
        </w:tc>
        <w:tc>
          <w:tcPr>
            <w:tcW w:type="dxa" w:w="3384"/>
            <w:vAlign w:val="top"/>
          </w:tcPr>
          <w:p>
            <w:pPr>
              <w:spacing w:after="60" w:before="60" w:line="252" w:lineRule="auto"/>
            </w:pPr>
            <w:r>
              <w:rPr>
                <w:b w:val="0"/>
                <w:sz w:val="18"/>
              </w:rPr>
              <w:t>Raw OLS minus IIP OLS</w:t>
            </w:r>
          </w:p>
        </w:tc>
        <w:tc>
          <w:tcPr>
            <w:tcW w:type="dxa" w:w="1440"/>
            <w:vAlign w:val="top"/>
          </w:tcPr>
          <w:p>
            <w:pPr>
              <w:spacing w:after="60" w:before="60" w:line="252" w:lineRule="auto"/>
            </w:pPr>
            <w:r>
              <w:rPr>
                <w:b w:val="0"/>
                <w:sz w:val="18"/>
              </w:rPr>
              <w:t>+6.950</w:t>
            </w:r>
          </w:p>
        </w:tc>
        <w:tc>
          <w:tcPr>
            <w:tcW w:type="dxa" w:w="2808"/>
            <w:vAlign w:val="top"/>
          </w:tcPr>
          <w:p>
            <w:pPr>
              <w:spacing w:after="60" w:before="60" w:line="252" w:lineRule="auto"/>
            </w:pPr>
            <w:r>
              <w:rPr>
                <w:b w:val="0"/>
                <w:sz w:val="18"/>
              </w:rPr>
              <w:t>[+4.852, +9.909]</w:t>
            </w:r>
          </w:p>
        </w:tc>
      </w:tr>
      <w:tr>
        <w:trPr>
          <w:cantSplit/>
        </w:trPr>
        <w:tc>
          <w:tcPr>
            <w:tcW w:type="dxa" w:w="2160"/>
            <w:vAlign w:val="top"/>
          </w:tcPr>
          <w:p>
            <w:pPr>
              <w:spacing w:after="60" w:before="60" w:line="252" w:lineRule="auto"/>
            </w:pPr>
            <w:r>
              <w:rPr>
                <w:b w:val="0"/>
                <w:sz w:val="18"/>
              </w:rPr>
              <w:t>Manufacturing</w:t>
            </w:r>
          </w:p>
        </w:tc>
        <w:tc>
          <w:tcPr>
            <w:tcW w:type="dxa" w:w="3384"/>
            <w:vAlign w:val="top"/>
          </w:tcPr>
          <w:p>
            <w:pPr>
              <w:spacing w:after="60" w:before="60" w:line="252" w:lineRule="auto"/>
            </w:pPr>
            <w:r>
              <w:rPr>
                <w:b w:val="0"/>
                <w:sz w:val="18"/>
              </w:rPr>
              <w:t>Adjusted OLS minus IIP OLS</w:t>
            </w:r>
          </w:p>
        </w:tc>
        <w:tc>
          <w:tcPr>
            <w:tcW w:type="dxa" w:w="1440"/>
            <w:vAlign w:val="top"/>
          </w:tcPr>
          <w:p>
            <w:pPr>
              <w:spacing w:after="60" w:before="60" w:line="252" w:lineRule="auto"/>
            </w:pPr>
            <w:r>
              <w:rPr>
                <w:b w:val="0"/>
                <w:sz w:val="18"/>
              </w:rPr>
              <w:t>+4.501</w:t>
            </w:r>
          </w:p>
        </w:tc>
        <w:tc>
          <w:tcPr>
            <w:tcW w:type="dxa" w:w="2808"/>
            <w:vAlign w:val="top"/>
          </w:tcPr>
          <w:p>
            <w:pPr>
              <w:spacing w:after="60" w:before="60" w:line="252" w:lineRule="auto"/>
            </w:pPr>
            <w:r>
              <w:rPr>
                <w:b w:val="0"/>
                <w:sz w:val="18"/>
              </w:rPr>
              <w:t>[+2.654, +7.156]</w:t>
            </w:r>
          </w:p>
        </w:tc>
      </w:tr>
      <w:tr>
        <w:trPr>
          <w:cantSplit/>
        </w:trPr>
        <w:tc>
          <w:tcPr>
            <w:tcW w:type="dxa" w:w="2160"/>
            <w:vAlign w:val="top"/>
          </w:tcPr>
          <w:p>
            <w:pPr>
              <w:spacing w:after="60" w:before="60" w:line="252" w:lineRule="auto"/>
            </w:pPr>
            <w:r>
              <w:rPr>
                <w:b w:val="0"/>
                <w:sz w:val="18"/>
              </w:rPr>
              <w:t>Manufacturing</w:t>
            </w:r>
          </w:p>
        </w:tc>
        <w:tc>
          <w:tcPr>
            <w:tcW w:type="dxa" w:w="3384"/>
            <w:vAlign w:val="top"/>
          </w:tcPr>
          <w:p>
            <w:pPr>
              <w:spacing w:after="60" w:before="60" w:line="252" w:lineRule="auto"/>
            </w:pPr>
            <w:r>
              <w:rPr>
                <w:b w:val="0"/>
                <w:sz w:val="18"/>
              </w:rPr>
              <w:t>Adjusted OLS minus raw OLS</w:t>
            </w:r>
          </w:p>
        </w:tc>
        <w:tc>
          <w:tcPr>
            <w:tcW w:type="dxa" w:w="1440"/>
            <w:vAlign w:val="top"/>
          </w:tcPr>
          <w:p>
            <w:pPr>
              <w:spacing w:after="60" w:before="60" w:line="252" w:lineRule="auto"/>
            </w:pPr>
            <w:r>
              <w:rPr>
                <w:b w:val="0"/>
                <w:sz w:val="18"/>
              </w:rPr>
              <w:t>-2.449</w:t>
            </w:r>
          </w:p>
        </w:tc>
        <w:tc>
          <w:tcPr>
            <w:tcW w:type="dxa" w:w="2808"/>
            <w:vAlign w:val="top"/>
          </w:tcPr>
          <w:p>
            <w:pPr>
              <w:spacing w:after="60" w:before="60" w:line="252" w:lineRule="auto"/>
            </w:pPr>
            <w:r>
              <w:rPr>
                <w:b w:val="0"/>
                <w:sz w:val="18"/>
              </w:rPr>
              <w:t>[-5.296, -0.188]</w:t>
            </w:r>
          </w:p>
        </w:tc>
      </w:tr>
      <w:tr>
        <w:trPr>
          <w:cantSplit/>
        </w:trPr>
        <w:tc>
          <w:tcPr>
            <w:tcW w:type="dxa" w:w="2160"/>
            <w:vAlign w:val="top"/>
          </w:tcPr>
          <w:p>
            <w:pPr>
              <w:spacing w:after="60" w:before="60" w:line="252" w:lineRule="auto"/>
            </w:pPr>
            <w:r>
              <w:rPr>
                <w:b w:val="0"/>
                <w:sz w:val="18"/>
              </w:rPr>
              <w:t>Basic metals</w:t>
            </w:r>
          </w:p>
        </w:tc>
        <w:tc>
          <w:tcPr>
            <w:tcW w:type="dxa" w:w="3384"/>
            <w:vAlign w:val="top"/>
          </w:tcPr>
          <w:p>
            <w:pPr>
              <w:spacing w:after="60" w:before="60" w:line="252" w:lineRule="auto"/>
            </w:pPr>
            <w:r>
              <w:rPr>
                <w:b w:val="0"/>
                <w:sz w:val="18"/>
              </w:rPr>
              <w:t>Raw OLS minus IIP OLS</w:t>
            </w:r>
          </w:p>
        </w:tc>
        <w:tc>
          <w:tcPr>
            <w:tcW w:type="dxa" w:w="1440"/>
            <w:vAlign w:val="top"/>
          </w:tcPr>
          <w:p>
            <w:pPr>
              <w:spacing w:after="60" w:before="60" w:line="252" w:lineRule="auto"/>
            </w:pPr>
            <w:r>
              <w:rPr>
                <w:b w:val="0"/>
                <w:sz w:val="18"/>
              </w:rPr>
              <w:t>+8.673</w:t>
            </w:r>
          </w:p>
        </w:tc>
        <w:tc>
          <w:tcPr>
            <w:tcW w:type="dxa" w:w="2808"/>
            <w:vAlign w:val="top"/>
          </w:tcPr>
          <w:p>
            <w:pPr>
              <w:spacing w:after="60" w:before="60" w:line="252" w:lineRule="auto"/>
            </w:pPr>
            <w:r>
              <w:rPr>
                <w:b w:val="0"/>
                <w:sz w:val="18"/>
              </w:rPr>
              <w:t>[+5.601, +12.681]</w:t>
            </w:r>
          </w:p>
        </w:tc>
      </w:tr>
      <w:tr>
        <w:trPr>
          <w:cantSplit/>
        </w:trPr>
        <w:tc>
          <w:tcPr>
            <w:tcW w:type="dxa" w:w="2160"/>
            <w:vAlign w:val="top"/>
          </w:tcPr>
          <w:p>
            <w:pPr>
              <w:spacing w:after="60" w:before="60" w:line="252" w:lineRule="auto"/>
            </w:pPr>
            <w:r>
              <w:rPr>
                <w:b w:val="0"/>
                <w:sz w:val="18"/>
              </w:rPr>
              <w:t>Basic metals</w:t>
            </w:r>
          </w:p>
        </w:tc>
        <w:tc>
          <w:tcPr>
            <w:tcW w:type="dxa" w:w="3384"/>
            <w:vAlign w:val="top"/>
          </w:tcPr>
          <w:p>
            <w:pPr>
              <w:spacing w:after="60" w:before="60" w:line="252" w:lineRule="auto"/>
            </w:pPr>
            <w:r>
              <w:rPr>
                <w:b w:val="0"/>
                <w:sz w:val="18"/>
              </w:rPr>
              <w:t>Adjusted OLS minus IIP OLS</w:t>
            </w:r>
          </w:p>
        </w:tc>
        <w:tc>
          <w:tcPr>
            <w:tcW w:type="dxa" w:w="1440"/>
            <w:vAlign w:val="top"/>
          </w:tcPr>
          <w:p>
            <w:pPr>
              <w:spacing w:after="60" w:before="60" w:line="252" w:lineRule="auto"/>
            </w:pPr>
            <w:r>
              <w:rPr>
                <w:b w:val="0"/>
                <w:sz w:val="18"/>
              </w:rPr>
              <w:t>+5.243</w:t>
            </w:r>
          </w:p>
        </w:tc>
        <w:tc>
          <w:tcPr>
            <w:tcW w:type="dxa" w:w="2808"/>
            <w:vAlign w:val="top"/>
          </w:tcPr>
          <w:p>
            <w:pPr>
              <w:spacing w:after="60" w:before="60" w:line="252" w:lineRule="auto"/>
            </w:pPr>
            <w:r>
              <w:rPr>
                <w:b w:val="0"/>
                <w:sz w:val="18"/>
              </w:rPr>
              <w:t>[+2.690, +8.711]</w:t>
            </w:r>
          </w:p>
        </w:tc>
      </w:tr>
      <w:tr>
        <w:trPr>
          <w:cantSplit/>
        </w:trPr>
        <w:tc>
          <w:tcPr>
            <w:tcW w:type="dxa" w:w="2160"/>
            <w:vAlign w:val="top"/>
          </w:tcPr>
          <w:p>
            <w:pPr>
              <w:spacing w:after="60" w:before="60" w:line="252" w:lineRule="auto"/>
            </w:pPr>
            <w:r>
              <w:rPr>
                <w:b w:val="0"/>
                <w:sz w:val="18"/>
              </w:rPr>
              <w:t>Basic metals</w:t>
            </w:r>
          </w:p>
        </w:tc>
        <w:tc>
          <w:tcPr>
            <w:tcW w:type="dxa" w:w="3384"/>
            <w:vAlign w:val="top"/>
          </w:tcPr>
          <w:p>
            <w:pPr>
              <w:spacing w:after="60" w:before="60" w:line="252" w:lineRule="auto"/>
            </w:pPr>
            <w:r>
              <w:rPr>
                <w:b w:val="0"/>
                <w:sz w:val="18"/>
              </w:rPr>
              <w:t>Adjusted OLS minus raw OLS</w:t>
            </w:r>
          </w:p>
        </w:tc>
        <w:tc>
          <w:tcPr>
            <w:tcW w:type="dxa" w:w="1440"/>
            <w:vAlign w:val="top"/>
          </w:tcPr>
          <w:p>
            <w:pPr>
              <w:spacing w:after="60" w:before="60" w:line="252" w:lineRule="auto"/>
            </w:pPr>
            <w:r>
              <w:rPr>
                <w:b w:val="0"/>
                <w:sz w:val="18"/>
              </w:rPr>
              <w:t>-3.430</w:t>
            </w:r>
          </w:p>
        </w:tc>
        <w:tc>
          <w:tcPr>
            <w:tcW w:type="dxa" w:w="2808"/>
            <w:vAlign w:val="top"/>
          </w:tcPr>
          <w:p>
            <w:pPr>
              <w:spacing w:after="60" w:before="60" w:line="252" w:lineRule="auto"/>
            </w:pPr>
            <w:r>
              <w:rPr>
                <w:b w:val="0"/>
                <w:sz w:val="18"/>
              </w:rPr>
              <w:t>[-7.301, -0.160]</w:t>
            </w:r>
          </w:p>
        </w:tc>
      </w:tr>
      <w:tr>
        <w:trPr>
          <w:cantSplit/>
        </w:trPr>
        <w:tc>
          <w:tcPr>
            <w:tcW w:type="dxa" w:w="2160"/>
            <w:vAlign w:val="top"/>
          </w:tcPr>
          <w:p>
            <w:pPr>
              <w:spacing w:after="60" w:before="60" w:line="252" w:lineRule="auto"/>
            </w:pPr>
            <w:r>
              <w:rPr>
                <w:b w:val="0"/>
                <w:sz w:val="18"/>
              </w:rPr>
              <w:t>Non metallic minerals</w:t>
            </w:r>
          </w:p>
        </w:tc>
        <w:tc>
          <w:tcPr>
            <w:tcW w:type="dxa" w:w="3384"/>
            <w:vAlign w:val="top"/>
          </w:tcPr>
          <w:p>
            <w:pPr>
              <w:spacing w:after="60" w:before="60" w:line="252" w:lineRule="auto"/>
            </w:pPr>
            <w:r>
              <w:rPr>
                <w:b w:val="0"/>
                <w:sz w:val="18"/>
              </w:rPr>
              <w:t>Raw OLS minus IIP OLS</w:t>
            </w:r>
          </w:p>
        </w:tc>
        <w:tc>
          <w:tcPr>
            <w:tcW w:type="dxa" w:w="1440"/>
            <w:vAlign w:val="top"/>
          </w:tcPr>
          <w:p>
            <w:pPr>
              <w:spacing w:after="60" w:before="60" w:line="252" w:lineRule="auto"/>
            </w:pPr>
            <w:r>
              <w:rPr>
                <w:b w:val="0"/>
                <w:sz w:val="18"/>
              </w:rPr>
              <w:t>+15.748</w:t>
            </w:r>
          </w:p>
        </w:tc>
        <w:tc>
          <w:tcPr>
            <w:tcW w:type="dxa" w:w="2808"/>
            <w:vAlign w:val="top"/>
          </w:tcPr>
          <w:p>
            <w:pPr>
              <w:spacing w:after="60" w:before="60" w:line="252" w:lineRule="auto"/>
            </w:pPr>
            <w:r>
              <w:rPr>
                <w:b w:val="0"/>
                <w:sz w:val="18"/>
              </w:rPr>
              <w:t>[+10.142, +23.286]</w:t>
            </w:r>
          </w:p>
        </w:tc>
      </w:tr>
      <w:tr>
        <w:trPr>
          <w:cantSplit/>
        </w:trPr>
        <w:tc>
          <w:tcPr>
            <w:tcW w:type="dxa" w:w="2160"/>
            <w:vAlign w:val="top"/>
          </w:tcPr>
          <w:p>
            <w:pPr>
              <w:spacing w:after="60" w:before="60" w:line="252" w:lineRule="auto"/>
            </w:pPr>
            <w:r>
              <w:rPr>
                <w:b w:val="0"/>
                <w:sz w:val="18"/>
              </w:rPr>
              <w:t>Non metallic minerals</w:t>
            </w:r>
          </w:p>
        </w:tc>
        <w:tc>
          <w:tcPr>
            <w:tcW w:type="dxa" w:w="3384"/>
            <w:vAlign w:val="top"/>
          </w:tcPr>
          <w:p>
            <w:pPr>
              <w:spacing w:after="60" w:before="60" w:line="252" w:lineRule="auto"/>
            </w:pPr>
            <w:r>
              <w:rPr>
                <w:b w:val="0"/>
                <w:sz w:val="18"/>
              </w:rPr>
              <w:t>Adjusted OLS minus IIP OLS</w:t>
            </w:r>
          </w:p>
        </w:tc>
        <w:tc>
          <w:tcPr>
            <w:tcW w:type="dxa" w:w="1440"/>
            <w:vAlign w:val="top"/>
          </w:tcPr>
          <w:p>
            <w:pPr>
              <w:spacing w:after="60" w:before="60" w:line="252" w:lineRule="auto"/>
            </w:pPr>
            <w:r>
              <w:rPr>
                <w:b w:val="0"/>
                <w:sz w:val="18"/>
              </w:rPr>
              <w:t>+10.014</w:t>
            </w:r>
          </w:p>
        </w:tc>
        <w:tc>
          <w:tcPr>
            <w:tcW w:type="dxa" w:w="2808"/>
            <w:vAlign w:val="top"/>
          </w:tcPr>
          <w:p>
            <w:pPr>
              <w:spacing w:after="60" w:before="60" w:line="252" w:lineRule="auto"/>
            </w:pPr>
            <w:r>
              <w:rPr>
                <w:b w:val="0"/>
                <w:sz w:val="18"/>
              </w:rPr>
              <w:t>[+4.259, +17.067]</w:t>
            </w:r>
          </w:p>
        </w:tc>
      </w:tr>
      <w:tr>
        <w:trPr>
          <w:cantSplit/>
        </w:trPr>
        <w:tc>
          <w:tcPr>
            <w:tcW w:type="dxa" w:w="2160"/>
            <w:vAlign w:val="top"/>
          </w:tcPr>
          <w:p>
            <w:pPr>
              <w:spacing w:after="60" w:before="60" w:line="252" w:lineRule="auto"/>
            </w:pPr>
            <w:r>
              <w:rPr>
                <w:b w:val="0"/>
                <w:sz w:val="18"/>
              </w:rPr>
              <w:t>Non metallic minerals</w:t>
            </w:r>
          </w:p>
        </w:tc>
        <w:tc>
          <w:tcPr>
            <w:tcW w:type="dxa" w:w="3384"/>
            <w:vAlign w:val="top"/>
          </w:tcPr>
          <w:p>
            <w:pPr>
              <w:spacing w:after="60" w:before="60" w:line="252" w:lineRule="auto"/>
            </w:pPr>
            <w:r>
              <w:rPr>
                <w:b w:val="0"/>
                <w:sz w:val="18"/>
              </w:rPr>
              <w:t>Adjusted OLS minus raw OLS</w:t>
            </w:r>
          </w:p>
        </w:tc>
        <w:tc>
          <w:tcPr>
            <w:tcW w:type="dxa" w:w="1440"/>
            <w:vAlign w:val="top"/>
          </w:tcPr>
          <w:p>
            <w:pPr>
              <w:spacing w:after="60" w:before="60" w:line="252" w:lineRule="auto"/>
            </w:pPr>
            <w:r>
              <w:rPr>
                <w:b w:val="0"/>
                <w:sz w:val="18"/>
              </w:rPr>
              <w:t>-5.734</w:t>
            </w:r>
          </w:p>
        </w:tc>
        <w:tc>
          <w:tcPr>
            <w:tcW w:type="dxa" w:w="2808"/>
            <w:vAlign w:val="top"/>
          </w:tcPr>
          <w:p>
            <w:pPr>
              <w:spacing w:after="60" w:before="60" w:line="252" w:lineRule="auto"/>
            </w:pPr>
            <w:r>
              <w:rPr>
                <w:b w:val="0"/>
                <w:sz w:val="18"/>
              </w:rPr>
              <w:t>[-13.211, +0.061]</w:t>
            </w:r>
          </w:p>
        </w:tc>
      </w:tr>
      <w:tr>
        <w:trPr>
          <w:cantSplit/>
        </w:trPr>
        <w:tc>
          <w:tcPr>
            <w:tcW w:type="dxa" w:w="2160"/>
            <w:vAlign w:val="top"/>
          </w:tcPr>
          <w:p>
            <w:pPr>
              <w:spacing w:after="60" w:before="60" w:line="252" w:lineRule="auto"/>
            </w:pPr>
            <w:r>
              <w:rPr>
                <w:b w:val="0"/>
                <w:sz w:val="18"/>
              </w:rPr>
              <w:t>Wearing apparel</w:t>
            </w:r>
          </w:p>
        </w:tc>
        <w:tc>
          <w:tcPr>
            <w:tcW w:type="dxa" w:w="3384"/>
            <w:vAlign w:val="top"/>
          </w:tcPr>
          <w:p>
            <w:pPr>
              <w:spacing w:after="60" w:before="60" w:line="252" w:lineRule="auto"/>
            </w:pPr>
            <w:r>
              <w:rPr>
                <w:b w:val="0"/>
                <w:sz w:val="18"/>
              </w:rPr>
              <w:t>Raw OLS minus IIP OLS</w:t>
            </w:r>
          </w:p>
        </w:tc>
        <w:tc>
          <w:tcPr>
            <w:tcW w:type="dxa" w:w="1440"/>
            <w:vAlign w:val="top"/>
          </w:tcPr>
          <w:p>
            <w:pPr>
              <w:spacing w:after="60" w:before="60" w:line="252" w:lineRule="auto"/>
            </w:pPr>
            <w:r>
              <w:rPr>
                <w:b w:val="0"/>
                <w:sz w:val="18"/>
              </w:rPr>
              <w:t>+16.703</w:t>
            </w:r>
          </w:p>
        </w:tc>
        <w:tc>
          <w:tcPr>
            <w:tcW w:type="dxa" w:w="2808"/>
            <w:vAlign w:val="top"/>
          </w:tcPr>
          <w:p>
            <w:pPr>
              <w:spacing w:after="60" w:before="60" w:line="252" w:lineRule="auto"/>
            </w:pPr>
            <w:r>
              <w:rPr>
                <w:b w:val="0"/>
                <w:sz w:val="18"/>
              </w:rPr>
              <w:t>[+9.110, +26.148]</w:t>
            </w:r>
          </w:p>
        </w:tc>
      </w:tr>
      <w:tr>
        <w:trPr>
          <w:cantSplit/>
        </w:trPr>
        <w:tc>
          <w:tcPr>
            <w:tcW w:type="dxa" w:w="2160"/>
            <w:vAlign w:val="top"/>
          </w:tcPr>
          <w:p>
            <w:pPr>
              <w:spacing w:after="60" w:before="60" w:line="252" w:lineRule="auto"/>
            </w:pPr>
            <w:r>
              <w:rPr>
                <w:b w:val="0"/>
                <w:sz w:val="18"/>
              </w:rPr>
              <w:t>Wearing apparel</w:t>
            </w:r>
          </w:p>
        </w:tc>
        <w:tc>
          <w:tcPr>
            <w:tcW w:type="dxa" w:w="3384"/>
            <w:vAlign w:val="top"/>
          </w:tcPr>
          <w:p>
            <w:pPr>
              <w:spacing w:after="60" w:before="60" w:line="252" w:lineRule="auto"/>
            </w:pPr>
            <w:r>
              <w:rPr>
                <w:b w:val="0"/>
                <w:sz w:val="18"/>
              </w:rPr>
              <w:t>Adjusted OLS minus IIP OLS</w:t>
            </w:r>
          </w:p>
        </w:tc>
        <w:tc>
          <w:tcPr>
            <w:tcW w:type="dxa" w:w="1440"/>
            <w:vAlign w:val="top"/>
          </w:tcPr>
          <w:p>
            <w:pPr>
              <w:spacing w:after="60" w:before="60" w:line="252" w:lineRule="auto"/>
            </w:pPr>
            <w:r>
              <w:rPr>
                <w:b w:val="0"/>
                <w:sz w:val="18"/>
              </w:rPr>
              <w:t>+11.577</w:t>
            </w:r>
          </w:p>
        </w:tc>
        <w:tc>
          <w:tcPr>
            <w:tcW w:type="dxa" w:w="2808"/>
            <w:vAlign w:val="top"/>
          </w:tcPr>
          <w:p>
            <w:pPr>
              <w:spacing w:after="60" w:before="60" w:line="252" w:lineRule="auto"/>
            </w:pPr>
            <w:r>
              <w:rPr>
                <w:b w:val="0"/>
                <w:sz w:val="18"/>
              </w:rPr>
              <w:t>[+3.912, +19.873]</w:t>
            </w:r>
          </w:p>
        </w:tc>
      </w:tr>
      <w:tr>
        <w:trPr>
          <w:cantSplit/>
        </w:trPr>
        <w:tc>
          <w:tcPr>
            <w:tcW w:type="dxa" w:w="2160"/>
            <w:vAlign w:val="top"/>
          </w:tcPr>
          <w:p>
            <w:pPr>
              <w:spacing w:after="60" w:before="60" w:line="252" w:lineRule="auto"/>
            </w:pPr>
            <w:r>
              <w:rPr>
                <w:b w:val="0"/>
                <w:sz w:val="18"/>
              </w:rPr>
              <w:t>Wearing apparel</w:t>
            </w:r>
          </w:p>
        </w:tc>
        <w:tc>
          <w:tcPr>
            <w:tcW w:type="dxa" w:w="3384"/>
            <w:vAlign w:val="top"/>
          </w:tcPr>
          <w:p>
            <w:pPr>
              <w:spacing w:after="60" w:before="60" w:line="252" w:lineRule="auto"/>
            </w:pPr>
            <w:r>
              <w:rPr>
                <w:b w:val="0"/>
                <w:sz w:val="18"/>
              </w:rPr>
              <w:t>Adjusted OLS minus raw OLS</w:t>
            </w:r>
          </w:p>
        </w:tc>
        <w:tc>
          <w:tcPr>
            <w:tcW w:type="dxa" w:w="1440"/>
            <w:vAlign w:val="top"/>
          </w:tcPr>
          <w:p>
            <w:pPr>
              <w:spacing w:after="60" w:before="60" w:line="252" w:lineRule="auto"/>
            </w:pPr>
            <w:r>
              <w:rPr>
                <w:b w:val="0"/>
                <w:sz w:val="18"/>
              </w:rPr>
              <w:t>-5.126</w:t>
            </w:r>
          </w:p>
        </w:tc>
        <w:tc>
          <w:tcPr>
            <w:tcW w:type="dxa" w:w="2808"/>
            <w:vAlign w:val="top"/>
          </w:tcPr>
          <w:p>
            <w:pPr>
              <w:spacing w:after="60" w:before="60" w:line="252" w:lineRule="auto"/>
            </w:pPr>
            <w:r>
              <w:rPr>
                <w:b w:val="0"/>
                <w:sz w:val="18"/>
              </w:rPr>
              <w:t>[-13.476, +0.654]</w:t>
            </w:r>
          </w:p>
        </w:tc>
      </w:tr>
    </w:tbl>
    <w:p>
      <w:pPr>
        <w:spacing w:after="40"/>
      </w:pPr>
    </w:p>
    <w:p>
      <w:pPr>
        <w:pStyle w:val="Heading2"/>
        <w:pageBreakBefore w:val="0"/>
      </w:pPr>
      <w:r>
        <w:t>Strict COVID exclusion</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Pr>
      <w:tblGrid>
        <w:gridCol w:w="2160"/>
        <w:gridCol w:w="3384"/>
        <w:gridCol w:w="1440"/>
        <w:gridCol w:w="2808"/>
      </w:tblGrid>
      <w:tr>
        <w:trPr>
          <w:tblHeader/>
          <w:cantSplit/>
        </w:trPr>
        <w:tc>
          <w:tcPr>
            <w:tcW w:type="dxa" w:w="2160"/>
            <w:shd w:fill="EDEDED"/>
            <w:vAlign w:val="top"/>
          </w:tcPr>
          <w:p>
            <w:pPr>
              <w:spacing w:after="60" w:before="60" w:line="252" w:lineRule="auto"/>
            </w:pPr>
            <w:r>
              <w:rPr>
                <w:b/>
                <w:sz w:val="18"/>
              </w:rPr>
              <w:t>Target</w:t>
            </w:r>
          </w:p>
        </w:tc>
        <w:tc>
          <w:tcPr>
            <w:tcW w:type="dxa" w:w="3384"/>
            <w:shd w:fill="EDEDED"/>
            <w:vAlign w:val="top"/>
          </w:tcPr>
          <w:p>
            <w:pPr>
              <w:spacing w:after="60" w:before="60" w:line="252" w:lineRule="auto"/>
            </w:pPr>
            <w:r>
              <w:rPr>
                <w:b/>
                <w:sz w:val="18"/>
              </w:rPr>
              <w:t>Matched estimator contrast</w:t>
            </w:r>
          </w:p>
        </w:tc>
        <w:tc>
          <w:tcPr>
            <w:tcW w:type="dxa" w:w="1440"/>
            <w:shd w:fill="EDEDED"/>
            <w:vAlign w:val="top"/>
          </w:tcPr>
          <w:p>
            <w:pPr>
              <w:spacing w:after="60" w:before="60" w:line="252" w:lineRule="auto"/>
            </w:pPr>
            <w:r>
              <w:rPr>
                <w:b/>
                <w:sz w:val="18"/>
              </w:rPr>
              <w:t>Difference pp</w:t>
            </w:r>
          </w:p>
        </w:tc>
        <w:tc>
          <w:tcPr>
            <w:tcW w:type="dxa" w:w="2808"/>
            <w:shd w:fill="EDEDED"/>
            <w:vAlign w:val="top"/>
          </w:tcPr>
          <w:p>
            <w:pPr>
              <w:spacing w:after="60" w:before="60" w:line="252" w:lineRule="auto"/>
            </w:pPr>
            <w:r>
              <w:rPr>
                <w:b/>
                <w:sz w:val="18"/>
              </w:rPr>
              <w:t>95 percent interval</w:t>
            </w:r>
          </w:p>
        </w:tc>
      </w:tr>
      <w:tr>
        <w:trPr>
          <w:cantSplit/>
        </w:trPr>
        <w:tc>
          <w:tcPr>
            <w:tcW w:type="dxa" w:w="2160"/>
            <w:vAlign w:val="top"/>
          </w:tcPr>
          <w:p>
            <w:pPr>
              <w:spacing w:after="60" w:before="60" w:line="252" w:lineRule="auto"/>
            </w:pPr>
            <w:r>
              <w:rPr>
                <w:b w:val="0"/>
                <w:sz w:val="18"/>
              </w:rPr>
              <w:t>Manufacturing</w:t>
            </w:r>
          </w:p>
        </w:tc>
        <w:tc>
          <w:tcPr>
            <w:tcW w:type="dxa" w:w="3384"/>
            <w:vAlign w:val="top"/>
          </w:tcPr>
          <w:p>
            <w:pPr>
              <w:spacing w:after="60" w:before="60" w:line="252" w:lineRule="auto"/>
            </w:pPr>
            <w:r>
              <w:rPr>
                <w:b w:val="0"/>
                <w:sz w:val="18"/>
              </w:rPr>
              <w:t>Raw OLS minus IIP OLS</w:t>
            </w:r>
          </w:p>
        </w:tc>
        <w:tc>
          <w:tcPr>
            <w:tcW w:type="dxa" w:w="1440"/>
            <w:vAlign w:val="top"/>
          </w:tcPr>
          <w:p>
            <w:pPr>
              <w:spacing w:after="60" w:before="60" w:line="252" w:lineRule="auto"/>
            </w:pPr>
            <w:r>
              <w:rPr>
                <w:b w:val="0"/>
                <w:sz w:val="18"/>
              </w:rPr>
              <w:t>+0.333</w:t>
            </w:r>
          </w:p>
        </w:tc>
        <w:tc>
          <w:tcPr>
            <w:tcW w:type="dxa" w:w="2808"/>
            <w:vAlign w:val="top"/>
          </w:tcPr>
          <w:p>
            <w:pPr>
              <w:spacing w:after="60" w:before="60" w:line="252" w:lineRule="auto"/>
            </w:pPr>
            <w:r>
              <w:rPr>
                <w:b w:val="0"/>
                <w:sz w:val="18"/>
              </w:rPr>
              <w:t>[-0.100, +0.780]</w:t>
            </w:r>
          </w:p>
        </w:tc>
      </w:tr>
      <w:tr>
        <w:trPr>
          <w:cantSplit/>
        </w:trPr>
        <w:tc>
          <w:tcPr>
            <w:tcW w:type="dxa" w:w="2160"/>
            <w:vAlign w:val="top"/>
          </w:tcPr>
          <w:p>
            <w:pPr>
              <w:spacing w:after="60" w:before="60" w:line="252" w:lineRule="auto"/>
            </w:pPr>
            <w:r>
              <w:rPr>
                <w:b w:val="0"/>
                <w:sz w:val="18"/>
              </w:rPr>
              <w:t>Manufacturing</w:t>
            </w:r>
          </w:p>
        </w:tc>
        <w:tc>
          <w:tcPr>
            <w:tcW w:type="dxa" w:w="3384"/>
            <w:vAlign w:val="top"/>
          </w:tcPr>
          <w:p>
            <w:pPr>
              <w:spacing w:after="60" w:before="60" w:line="252" w:lineRule="auto"/>
            </w:pPr>
            <w:r>
              <w:rPr>
                <w:b w:val="0"/>
                <w:sz w:val="18"/>
              </w:rPr>
              <w:t>Adjusted OLS minus IIP OLS</w:t>
            </w:r>
          </w:p>
        </w:tc>
        <w:tc>
          <w:tcPr>
            <w:tcW w:type="dxa" w:w="1440"/>
            <w:vAlign w:val="top"/>
          </w:tcPr>
          <w:p>
            <w:pPr>
              <w:spacing w:after="60" w:before="60" w:line="252" w:lineRule="auto"/>
            </w:pPr>
            <w:r>
              <w:rPr>
                <w:b w:val="0"/>
                <w:sz w:val="18"/>
              </w:rPr>
              <w:t>+0.198</w:t>
            </w:r>
          </w:p>
        </w:tc>
        <w:tc>
          <w:tcPr>
            <w:tcW w:type="dxa" w:w="2808"/>
            <w:vAlign w:val="top"/>
          </w:tcPr>
          <w:p>
            <w:pPr>
              <w:spacing w:after="60" w:before="60" w:line="252" w:lineRule="auto"/>
            </w:pPr>
            <w:r>
              <w:rPr>
                <w:b w:val="0"/>
                <w:sz w:val="18"/>
              </w:rPr>
              <w:t>[-0.128, +0.511]</w:t>
            </w:r>
          </w:p>
        </w:tc>
      </w:tr>
      <w:tr>
        <w:trPr>
          <w:cantSplit/>
        </w:trPr>
        <w:tc>
          <w:tcPr>
            <w:tcW w:type="dxa" w:w="2160"/>
            <w:vAlign w:val="top"/>
          </w:tcPr>
          <w:p>
            <w:pPr>
              <w:spacing w:after="60" w:before="60" w:line="252" w:lineRule="auto"/>
            </w:pPr>
            <w:r>
              <w:rPr>
                <w:b w:val="0"/>
                <w:sz w:val="18"/>
              </w:rPr>
              <w:t>Manufacturing</w:t>
            </w:r>
          </w:p>
        </w:tc>
        <w:tc>
          <w:tcPr>
            <w:tcW w:type="dxa" w:w="3384"/>
            <w:vAlign w:val="top"/>
          </w:tcPr>
          <w:p>
            <w:pPr>
              <w:spacing w:after="60" w:before="60" w:line="252" w:lineRule="auto"/>
            </w:pPr>
            <w:r>
              <w:rPr>
                <w:b w:val="0"/>
                <w:sz w:val="18"/>
              </w:rPr>
              <w:t>Adjusted OLS minus raw OLS</w:t>
            </w:r>
          </w:p>
        </w:tc>
        <w:tc>
          <w:tcPr>
            <w:tcW w:type="dxa" w:w="1440"/>
            <w:vAlign w:val="top"/>
          </w:tcPr>
          <w:p>
            <w:pPr>
              <w:spacing w:after="60" w:before="60" w:line="252" w:lineRule="auto"/>
            </w:pPr>
            <w:r>
              <w:rPr>
                <w:b w:val="0"/>
                <w:sz w:val="18"/>
              </w:rPr>
              <w:t>-0.135</w:t>
            </w:r>
          </w:p>
        </w:tc>
        <w:tc>
          <w:tcPr>
            <w:tcW w:type="dxa" w:w="2808"/>
            <w:vAlign w:val="top"/>
          </w:tcPr>
          <w:p>
            <w:pPr>
              <w:spacing w:after="60" w:before="60" w:line="252" w:lineRule="auto"/>
            </w:pPr>
            <w:r>
              <w:rPr>
                <w:b w:val="0"/>
                <w:sz w:val="18"/>
              </w:rPr>
              <w:t>[-0.373, +0.092]</w:t>
            </w:r>
          </w:p>
        </w:tc>
      </w:tr>
      <w:tr>
        <w:trPr>
          <w:cantSplit/>
        </w:trPr>
        <w:tc>
          <w:tcPr>
            <w:tcW w:type="dxa" w:w="2160"/>
            <w:vAlign w:val="top"/>
          </w:tcPr>
          <w:p>
            <w:pPr>
              <w:spacing w:after="60" w:before="60" w:line="252" w:lineRule="auto"/>
            </w:pPr>
            <w:r>
              <w:rPr>
                <w:b w:val="0"/>
                <w:sz w:val="18"/>
              </w:rPr>
              <w:t>Basic metals</w:t>
            </w:r>
          </w:p>
        </w:tc>
        <w:tc>
          <w:tcPr>
            <w:tcW w:type="dxa" w:w="3384"/>
            <w:vAlign w:val="top"/>
          </w:tcPr>
          <w:p>
            <w:pPr>
              <w:spacing w:after="60" w:before="60" w:line="252" w:lineRule="auto"/>
            </w:pPr>
            <w:r>
              <w:rPr>
                <w:b w:val="0"/>
                <w:sz w:val="18"/>
              </w:rPr>
              <w:t>Raw OLS minus IIP OLS</w:t>
            </w:r>
          </w:p>
        </w:tc>
        <w:tc>
          <w:tcPr>
            <w:tcW w:type="dxa" w:w="1440"/>
            <w:vAlign w:val="top"/>
          </w:tcPr>
          <w:p>
            <w:pPr>
              <w:spacing w:after="60" w:before="60" w:line="252" w:lineRule="auto"/>
            </w:pPr>
            <w:r>
              <w:rPr>
                <w:b w:val="0"/>
                <w:sz w:val="18"/>
              </w:rPr>
              <w:t>+0.022</w:t>
            </w:r>
          </w:p>
        </w:tc>
        <w:tc>
          <w:tcPr>
            <w:tcW w:type="dxa" w:w="2808"/>
            <w:vAlign w:val="top"/>
          </w:tcPr>
          <w:p>
            <w:pPr>
              <w:spacing w:after="60" w:before="60" w:line="252" w:lineRule="auto"/>
            </w:pPr>
            <w:r>
              <w:rPr>
                <w:b w:val="0"/>
                <w:sz w:val="18"/>
              </w:rPr>
              <w:t>[-0.100, +0.208]</w:t>
            </w:r>
          </w:p>
        </w:tc>
      </w:tr>
      <w:tr>
        <w:trPr>
          <w:cantSplit/>
        </w:trPr>
        <w:tc>
          <w:tcPr>
            <w:tcW w:type="dxa" w:w="2160"/>
            <w:vAlign w:val="top"/>
          </w:tcPr>
          <w:p>
            <w:pPr>
              <w:spacing w:after="60" w:before="60" w:line="252" w:lineRule="auto"/>
            </w:pPr>
            <w:r>
              <w:rPr>
                <w:b w:val="0"/>
                <w:sz w:val="18"/>
              </w:rPr>
              <w:t>Basic metals</w:t>
            </w:r>
          </w:p>
        </w:tc>
        <w:tc>
          <w:tcPr>
            <w:tcW w:type="dxa" w:w="3384"/>
            <w:vAlign w:val="top"/>
          </w:tcPr>
          <w:p>
            <w:pPr>
              <w:spacing w:after="60" w:before="60" w:line="252" w:lineRule="auto"/>
            </w:pPr>
            <w:r>
              <w:rPr>
                <w:b w:val="0"/>
                <w:sz w:val="18"/>
              </w:rPr>
              <w:t>Adjusted OLS minus IIP OLS</w:t>
            </w:r>
          </w:p>
        </w:tc>
        <w:tc>
          <w:tcPr>
            <w:tcW w:type="dxa" w:w="1440"/>
            <w:vAlign w:val="top"/>
          </w:tcPr>
          <w:p>
            <w:pPr>
              <w:spacing w:after="60" w:before="60" w:line="252" w:lineRule="auto"/>
            </w:pPr>
            <w:r>
              <w:rPr>
                <w:b w:val="0"/>
                <w:sz w:val="18"/>
              </w:rPr>
              <w:t>+0.099</w:t>
            </w:r>
          </w:p>
        </w:tc>
        <w:tc>
          <w:tcPr>
            <w:tcW w:type="dxa" w:w="2808"/>
            <w:vAlign w:val="top"/>
          </w:tcPr>
          <w:p>
            <w:pPr>
              <w:spacing w:after="60" w:before="60" w:line="252" w:lineRule="auto"/>
            </w:pPr>
            <w:r>
              <w:rPr>
                <w:b w:val="0"/>
                <w:sz w:val="18"/>
              </w:rPr>
              <w:t>[+0.044, +0.196]</w:t>
            </w:r>
          </w:p>
        </w:tc>
      </w:tr>
      <w:tr>
        <w:trPr>
          <w:cantSplit/>
        </w:trPr>
        <w:tc>
          <w:tcPr>
            <w:tcW w:type="dxa" w:w="2160"/>
            <w:vAlign w:val="top"/>
          </w:tcPr>
          <w:p>
            <w:pPr>
              <w:spacing w:after="60" w:before="60" w:line="252" w:lineRule="auto"/>
            </w:pPr>
            <w:r>
              <w:rPr>
                <w:b w:val="0"/>
                <w:sz w:val="18"/>
              </w:rPr>
              <w:t>Basic metals</w:t>
            </w:r>
          </w:p>
        </w:tc>
        <w:tc>
          <w:tcPr>
            <w:tcW w:type="dxa" w:w="3384"/>
            <w:vAlign w:val="top"/>
          </w:tcPr>
          <w:p>
            <w:pPr>
              <w:spacing w:after="60" w:before="60" w:line="252" w:lineRule="auto"/>
            </w:pPr>
            <w:r>
              <w:rPr>
                <w:b w:val="0"/>
                <w:sz w:val="18"/>
              </w:rPr>
              <w:t>Adjusted OLS minus raw OLS</w:t>
            </w:r>
          </w:p>
        </w:tc>
        <w:tc>
          <w:tcPr>
            <w:tcW w:type="dxa" w:w="1440"/>
            <w:vAlign w:val="top"/>
          </w:tcPr>
          <w:p>
            <w:pPr>
              <w:spacing w:after="60" w:before="60" w:line="252" w:lineRule="auto"/>
            </w:pPr>
            <w:r>
              <w:rPr>
                <w:b w:val="0"/>
                <w:sz w:val="18"/>
              </w:rPr>
              <w:t>+0.076</w:t>
            </w:r>
          </w:p>
        </w:tc>
        <w:tc>
          <w:tcPr>
            <w:tcW w:type="dxa" w:w="2808"/>
            <w:vAlign w:val="top"/>
          </w:tcPr>
          <w:p>
            <w:pPr>
              <w:spacing w:after="60" w:before="60" w:line="252" w:lineRule="auto"/>
            </w:pPr>
            <w:r>
              <w:rPr>
                <w:b w:val="0"/>
                <w:sz w:val="18"/>
              </w:rPr>
              <w:t>[-0.068, +0.173]</w:t>
            </w:r>
          </w:p>
        </w:tc>
      </w:tr>
      <w:tr>
        <w:trPr>
          <w:cantSplit/>
        </w:trPr>
        <w:tc>
          <w:tcPr>
            <w:tcW w:type="dxa" w:w="2160"/>
            <w:vAlign w:val="top"/>
          </w:tcPr>
          <w:p>
            <w:pPr>
              <w:spacing w:after="60" w:before="60" w:line="252" w:lineRule="auto"/>
            </w:pPr>
            <w:r>
              <w:rPr>
                <w:b w:val="0"/>
                <w:sz w:val="18"/>
              </w:rPr>
              <w:t>Non metallic minerals</w:t>
            </w:r>
          </w:p>
        </w:tc>
        <w:tc>
          <w:tcPr>
            <w:tcW w:type="dxa" w:w="3384"/>
            <w:vAlign w:val="top"/>
          </w:tcPr>
          <w:p>
            <w:pPr>
              <w:spacing w:after="60" w:before="60" w:line="252" w:lineRule="auto"/>
            </w:pPr>
            <w:r>
              <w:rPr>
                <w:b w:val="0"/>
                <w:sz w:val="18"/>
              </w:rPr>
              <w:t>Raw OLS minus IIP OLS</w:t>
            </w:r>
          </w:p>
        </w:tc>
        <w:tc>
          <w:tcPr>
            <w:tcW w:type="dxa" w:w="1440"/>
            <w:vAlign w:val="top"/>
          </w:tcPr>
          <w:p>
            <w:pPr>
              <w:spacing w:after="60" w:before="60" w:line="252" w:lineRule="auto"/>
            </w:pPr>
            <w:r>
              <w:rPr>
                <w:b w:val="0"/>
                <w:sz w:val="18"/>
              </w:rPr>
              <w:t>+0.188</w:t>
            </w:r>
          </w:p>
        </w:tc>
        <w:tc>
          <w:tcPr>
            <w:tcW w:type="dxa" w:w="2808"/>
            <w:vAlign w:val="top"/>
          </w:tcPr>
          <w:p>
            <w:pPr>
              <w:spacing w:after="60" w:before="60" w:line="252" w:lineRule="auto"/>
            </w:pPr>
            <w:r>
              <w:rPr>
                <w:b w:val="0"/>
                <w:sz w:val="18"/>
              </w:rPr>
              <w:t>[-0.256, +0.648]</w:t>
            </w:r>
          </w:p>
        </w:tc>
      </w:tr>
      <w:tr>
        <w:trPr>
          <w:cantSplit/>
        </w:trPr>
        <w:tc>
          <w:tcPr>
            <w:tcW w:type="dxa" w:w="2160"/>
            <w:vAlign w:val="top"/>
          </w:tcPr>
          <w:p>
            <w:pPr>
              <w:spacing w:after="60" w:before="60" w:line="252" w:lineRule="auto"/>
            </w:pPr>
            <w:r>
              <w:rPr>
                <w:b w:val="0"/>
                <w:sz w:val="18"/>
              </w:rPr>
              <w:t>Non metallic minerals</w:t>
            </w:r>
          </w:p>
        </w:tc>
        <w:tc>
          <w:tcPr>
            <w:tcW w:type="dxa" w:w="3384"/>
            <w:vAlign w:val="top"/>
          </w:tcPr>
          <w:p>
            <w:pPr>
              <w:spacing w:after="60" w:before="60" w:line="252" w:lineRule="auto"/>
            </w:pPr>
            <w:r>
              <w:rPr>
                <w:b w:val="0"/>
                <w:sz w:val="18"/>
              </w:rPr>
              <w:t>Adjusted OLS minus IIP OLS</w:t>
            </w:r>
          </w:p>
        </w:tc>
        <w:tc>
          <w:tcPr>
            <w:tcW w:type="dxa" w:w="1440"/>
            <w:vAlign w:val="top"/>
          </w:tcPr>
          <w:p>
            <w:pPr>
              <w:spacing w:after="60" w:before="60" w:line="252" w:lineRule="auto"/>
            </w:pPr>
            <w:r>
              <w:rPr>
                <w:b w:val="0"/>
                <w:sz w:val="18"/>
              </w:rPr>
              <w:t>+0.065</w:t>
            </w:r>
          </w:p>
        </w:tc>
        <w:tc>
          <w:tcPr>
            <w:tcW w:type="dxa" w:w="2808"/>
            <w:vAlign w:val="top"/>
          </w:tcPr>
          <w:p>
            <w:pPr>
              <w:spacing w:after="60" w:before="60" w:line="252" w:lineRule="auto"/>
            </w:pPr>
            <w:r>
              <w:rPr>
                <w:b w:val="0"/>
                <w:sz w:val="18"/>
              </w:rPr>
              <w:t>[-0.445, +0.532]</w:t>
            </w:r>
          </w:p>
        </w:tc>
      </w:tr>
      <w:tr>
        <w:trPr>
          <w:cantSplit/>
        </w:trPr>
        <w:tc>
          <w:tcPr>
            <w:tcW w:type="dxa" w:w="2160"/>
            <w:vAlign w:val="top"/>
          </w:tcPr>
          <w:p>
            <w:pPr>
              <w:spacing w:after="60" w:before="60" w:line="252" w:lineRule="auto"/>
            </w:pPr>
            <w:r>
              <w:rPr>
                <w:b w:val="0"/>
                <w:sz w:val="18"/>
              </w:rPr>
              <w:t>Non metallic minerals</w:t>
            </w:r>
          </w:p>
        </w:tc>
        <w:tc>
          <w:tcPr>
            <w:tcW w:type="dxa" w:w="3384"/>
            <w:vAlign w:val="top"/>
          </w:tcPr>
          <w:p>
            <w:pPr>
              <w:spacing w:after="60" w:before="60" w:line="252" w:lineRule="auto"/>
            </w:pPr>
            <w:r>
              <w:rPr>
                <w:b w:val="0"/>
                <w:sz w:val="18"/>
              </w:rPr>
              <w:t>Adjusted OLS minus raw OLS</w:t>
            </w:r>
          </w:p>
        </w:tc>
        <w:tc>
          <w:tcPr>
            <w:tcW w:type="dxa" w:w="1440"/>
            <w:vAlign w:val="top"/>
          </w:tcPr>
          <w:p>
            <w:pPr>
              <w:spacing w:after="60" w:before="60" w:line="252" w:lineRule="auto"/>
            </w:pPr>
            <w:r>
              <w:rPr>
                <w:b w:val="0"/>
                <w:sz w:val="18"/>
              </w:rPr>
              <w:t>-0.123</w:t>
            </w:r>
          </w:p>
        </w:tc>
        <w:tc>
          <w:tcPr>
            <w:tcW w:type="dxa" w:w="2808"/>
            <w:vAlign w:val="top"/>
          </w:tcPr>
          <w:p>
            <w:pPr>
              <w:spacing w:after="60" w:before="60" w:line="252" w:lineRule="auto"/>
            </w:pPr>
            <w:r>
              <w:rPr>
                <w:b w:val="0"/>
                <w:sz w:val="18"/>
              </w:rPr>
              <w:t>[-0.377, +0.097]</w:t>
            </w:r>
          </w:p>
        </w:tc>
      </w:tr>
      <w:tr>
        <w:trPr>
          <w:cantSplit/>
        </w:trPr>
        <w:tc>
          <w:tcPr>
            <w:tcW w:type="dxa" w:w="2160"/>
            <w:vAlign w:val="top"/>
          </w:tcPr>
          <w:p>
            <w:pPr>
              <w:spacing w:after="60" w:before="60" w:line="252" w:lineRule="auto"/>
            </w:pPr>
            <w:r>
              <w:rPr>
                <w:b w:val="0"/>
                <w:sz w:val="18"/>
              </w:rPr>
              <w:t>Wearing apparel</w:t>
            </w:r>
          </w:p>
        </w:tc>
        <w:tc>
          <w:tcPr>
            <w:tcW w:type="dxa" w:w="3384"/>
            <w:vAlign w:val="top"/>
          </w:tcPr>
          <w:p>
            <w:pPr>
              <w:spacing w:after="60" w:before="60" w:line="252" w:lineRule="auto"/>
            </w:pPr>
            <w:r>
              <w:rPr>
                <w:b w:val="0"/>
                <w:sz w:val="18"/>
              </w:rPr>
              <w:t>Raw OLS minus IIP OLS</w:t>
            </w:r>
          </w:p>
        </w:tc>
        <w:tc>
          <w:tcPr>
            <w:tcW w:type="dxa" w:w="1440"/>
            <w:vAlign w:val="top"/>
          </w:tcPr>
          <w:p>
            <w:pPr>
              <w:spacing w:after="60" w:before="60" w:line="252" w:lineRule="auto"/>
            </w:pPr>
            <w:r>
              <w:rPr>
                <w:b w:val="0"/>
                <w:sz w:val="18"/>
              </w:rPr>
              <w:t>-0.091</w:t>
            </w:r>
          </w:p>
        </w:tc>
        <w:tc>
          <w:tcPr>
            <w:tcW w:type="dxa" w:w="2808"/>
            <w:vAlign w:val="top"/>
          </w:tcPr>
          <w:p>
            <w:pPr>
              <w:spacing w:after="60" w:before="60" w:line="252" w:lineRule="auto"/>
            </w:pPr>
            <w:r>
              <w:rPr>
                <w:b w:val="0"/>
                <w:sz w:val="18"/>
              </w:rPr>
              <w:t>[-1.200, +0.948]</w:t>
            </w:r>
          </w:p>
        </w:tc>
      </w:tr>
      <w:tr>
        <w:trPr>
          <w:cantSplit/>
        </w:trPr>
        <w:tc>
          <w:tcPr>
            <w:tcW w:type="dxa" w:w="2160"/>
            <w:vAlign w:val="top"/>
          </w:tcPr>
          <w:p>
            <w:pPr>
              <w:spacing w:after="60" w:before="60" w:line="252" w:lineRule="auto"/>
            </w:pPr>
            <w:r>
              <w:rPr>
                <w:b w:val="0"/>
                <w:sz w:val="18"/>
              </w:rPr>
              <w:t>Wearing apparel</w:t>
            </w:r>
          </w:p>
        </w:tc>
        <w:tc>
          <w:tcPr>
            <w:tcW w:type="dxa" w:w="3384"/>
            <w:vAlign w:val="top"/>
          </w:tcPr>
          <w:p>
            <w:pPr>
              <w:spacing w:after="60" w:before="60" w:line="252" w:lineRule="auto"/>
            </w:pPr>
            <w:r>
              <w:rPr>
                <w:b w:val="0"/>
                <w:sz w:val="18"/>
              </w:rPr>
              <w:t>Adjusted OLS minus IIP OLS</w:t>
            </w:r>
          </w:p>
        </w:tc>
        <w:tc>
          <w:tcPr>
            <w:tcW w:type="dxa" w:w="1440"/>
            <w:vAlign w:val="top"/>
          </w:tcPr>
          <w:p>
            <w:pPr>
              <w:spacing w:after="60" w:before="60" w:line="252" w:lineRule="auto"/>
            </w:pPr>
            <w:r>
              <w:rPr>
                <w:b w:val="0"/>
                <w:sz w:val="18"/>
              </w:rPr>
              <w:t>+0.316</w:t>
            </w:r>
          </w:p>
        </w:tc>
        <w:tc>
          <w:tcPr>
            <w:tcW w:type="dxa" w:w="2808"/>
            <w:vAlign w:val="top"/>
          </w:tcPr>
          <w:p>
            <w:pPr>
              <w:spacing w:after="60" w:before="60" w:line="252" w:lineRule="auto"/>
            </w:pPr>
            <w:r>
              <w:rPr>
                <w:b w:val="0"/>
                <w:sz w:val="18"/>
              </w:rPr>
              <w:t>[-0.431, +0.839]</w:t>
            </w:r>
          </w:p>
        </w:tc>
      </w:tr>
      <w:tr>
        <w:trPr>
          <w:cantSplit/>
        </w:trPr>
        <w:tc>
          <w:tcPr>
            <w:tcW w:type="dxa" w:w="2160"/>
            <w:vAlign w:val="top"/>
          </w:tcPr>
          <w:p>
            <w:pPr>
              <w:spacing w:after="60" w:before="60" w:line="252" w:lineRule="auto"/>
            </w:pPr>
            <w:r>
              <w:rPr>
                <w:b w:val="0"/>
                <w:sz w:val="18"/>
              </w:rPr>
              <w:t>Wearing apparel</w:t>
            </w:r>
          </w:p>
        </w:tc>
        <w:tc>
          <w:tcPr>
            <w:tcW w:type="dxa" w:w="3384"/>
            <w:vAlign w:val="top"/>
          </w:tcPr>
          <w:p>
            <w:pPr>
              <w:spacing w:after="60" w:before="60" w:line="252" w:lineRule="auto"/>
            </w:pPr>
            <w:r>
              <w:rPr>
                <w:b w:val="0"/>
                <w:sz w:val="18"/>
              </w:rPr>
              <w:t>Adjusted OLS minus raw OLS</w:t>
            </w:r>
          </w:p>
        </w:tc>
        <w:tc>
          <w:tcPr>
            <w:tcW w:type="dxa" w:w="1440"/>
            <w:vAlign w:val="top"/>
          </w:tcPr>
          <w:p>
            <w:pPr>
              <w:spacing w:after="60" w:before="60" w:line="252" w:lineRule="auto"/>
            </w:pPr>
            <w:r>
              <w:rPr>
                <w:b w:val="0"/>
                <w:sz w:val="18"/>
              </w:rPr>
              <w:t>+0.407</w:t>
            </w:r>
          </w:p>
        </w:tc>
        <w:tc>
          <w:tcPr>
            <w:tcW w:type="dxa" w:w="2808"/>
            <w:vAlign w:val="top"/>
          </w:tcPr>
          <w:p>
            <w:pPr>
              <w:spacing w:after="60" w:before="60" w:line="252" w:lineRule="auto"/>
            </w:pPr>
            <w:r>
              <w:rPr>
                <w:b w:val="0"/>
                <w:sz w:val="18"/>
              </w:rPr>
              <w:t>[-0.345, +1.091]</w:t>
            </w:r>
          </w:p>
        </w:tc>
      </w:tr>
    </w:tbl>
    <w:p>
      <w:pPr>
        <w:spacing w:after="40"/>
      </w:pPr>
    </w:p>
    <w:p>
      <w:pPr>
        <w:pStyle w:val="Heading1"/>
        <w:pageBreakBefore/>
      </w:pPr>
      <w:r>
        <w:t>Sources and evidence</w:t>
      </w:r>
    </w:p>
    <w:p>
      <w:r>
        <w:t xml:space="preserve">S1  </w:t>
      </w:r>
      <w:hyperlink r:id="rId12">
        <w:r>
          <w:rPr>
            <w:color w:val="184C74"/>
          </w:rPr>
          <w:t>MoSPI IIP API and its frozen 2011–12-base manufacturing and industry records</w:t>
        </w:r>
      </w:hyperlink>
    </w:p>
    <w:p>
      <w:r>
        <w:t xml:space="preserve">S2  </w:t>
      </w:r>
      <w:hyperlink r:id="rId13">
        <w:r>
          <w:rPr>
            <w:color w:val="184C74"/>
          </w:rPr>
          <w:t>MoSPI December 2025 IIP release including the industry group definitions</w:t>
        </w:r>
      </w:hyperlink>
    </w:p>
    <w:p>
      <w:r>
        <w:t xml:space="preserve">S3  </w:t>
      </w:r>
      <w:hyperlink r:id="rId14">
        <w:r>
          <w:rPr>
            <w:color w:val="184C74"/>
          </w:rPr>
          <w:t>MoSPI announcement of the April 2025 release timetable change</w:t>
        </w:r>
      </w:hyperlink>
    </w:p>
    <w:p>
      <w:r>
        <w:t xml:space="preserve">S4  </w:t>
      </w:r>
      <w:hyperlink r:id="rId15">
        <w:r>
          <w:rPr>
            <w:color w:val="184C74"/>
          </w:rPr>
          <w:t>MoSPI actual October 2025 release on 1 December 2025</w:t>
        </w:r>
      </w:hyperlink>
    </w:p>
    <w:p>
      <w:r>
        <w:t xml:space="preserve">S5  </w:t>
      </w:r>
      <w:hyperlink r:id="rId16">
        <w:r>
          <w:rPr>
            <w:color w:val="184C74"/>
          </w:rPr>
          <w:t>Robbie Andrew Indian energy data and extraction documentation</w:t>
        </w:r>
      </w:hyperlink>
    </w:p>
    <w:p>
      <w:r>
        <w:t xml:space="preserve">S6  </w:t>
      </w:r>
      <w:hyperlink r:id="rId17">
        <w:r>
          <w:rPr>
            <w:color w:val="184C74"/>
          </w:rPr>
          <w:t>Grid India official daily PSP report archive</w:t>
        </w:r>
      </w:hyperlink>
    </w:p>
    <w:p>
      <w:r>
        <w:t xml:space="preserve">S7  </w:t>
      </w:r>
      <w:hyperlink r:id="rId18">
        <w:r>
          <w:rPr>
            <w:color w:val="184C74"/>
          </w:rPr>
          <w:t>Public archive preserving the original NLDC MOP_E workbooks used for the added audit</w:t>
        </w:r>
      </w:hyperlink>
    </w:p>
    <w:p>
      <w:r>
        <w:t xml:space="preserve">S8  </w:t>
      </w:r>
      <w:hyperlink r:id="rId19">
        <w:r>
          <w:rPr>
            <w:color w:val="184C74"/>
          </w:rPr>
          <w:t>NASA POWER daily point API documentation</w:t>
        </w:r>
      </w:hyperlink>
    </w:p>
    <w:p>
      <w:r>
        <w:t xml:space="preserve">S9  </w:t>
      </w:r>
      <w:hyperlink r:id="rId20">
        <w:r>
          <w:rPr>
            <w:color w:val="184C74"/>
          </w:rPr>
          <w:t>Bureau of Energy Efficiency Perform Achieve and Trade sector information</w:t>
        </w:r>
      </w:hyperlink>
    </w:p>
    <w:p>
      <w:r>
        <w:t xml:space="preserve">S10  </w:t>
      </w:r>
      <w:hyperlink r:id="rId21">
        <w:r>
          <w:rPr>
            <w:color w:val="184C74"/>
          </w:rPr>
          <w:t>Blonz and Williams on electricity demand as a high frequency economic indicator</w:t>
        </w:r>
      </w:hyperlink>
    </w:p>
    <w:p>
      <w:r>
        <w:t xml:space="preserve">S11  </w:t>
      </w:r>
      <w:hyperlink r:id="rId22">
        <w:r>
          <w:rPr>
            <w:color w:val="184C74"/>
          </w:rPr>
          <w:t>Government calendars checking Diwali on 31 October 2024 and 20 October 2025</w:t>
        </w:r>
      </w:hyperlink>
    </w:p>
    <w:p>
      <w:r>
        <w:t xml:space="preserve">S12  </w:t>
      </w:r>
      <w:hyperlink r:id="rId23">
        <w:r>
          <w:rPr>
            <w:color w:val="184C74"/>
          </w:rPr>
          <w:t>Government of Goa published holiday dates for 2025</w:t>
        </w:r>
      </w:hyperlink>
    </w:p>
    <w:p>
      <w:r>
        <w:t xml:space="preserve">S13  </w:t>
      </w:r>
      <w:hyperlink r:id="rId24">
        <w:r>
          <w:rPr>
            <w:color w:val="184C74"/>
          </w:rPr>
          <w:t>MoSPI October 2018 IIP release, checked for the oldest lag at the first validation origin</w:t>
        </w:r>
      </w:hyperlink>
    </w:p>
    <w:p>
      <w:r>
        <w:t>The local source manifest records retrieval times, full URLs and SHA-256 hashes. S7 is an access fallback for original documents, not a substitute derived dataset. The exact archive commit and Git blob identities are in extension/data/report_audit.csv. All 86 actual first-release dates and their cached primary publication lines are in extension/data/release_calendar.csv. Historical inputs and code used for the original study are separately protected by 339 file hashes.</w:t>
      </w:r>
    </w:p>
    <w:sectPr w:rsidR="00FC693F" w:rsidRPr="0006063C" w:rsidSect="00034616">
      <w:footerReference w:type="default" r:id="rId9"/>
      <w:headerReference w:type="default" r:id="rId10"/>
      <w:pgSz w:w="12240" w:h="15840"/>
      <w:pgMar w:top="1037" w:right="1224" w:bottom="1037"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Integrated research draft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264" w:lineRule="auto"/>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40" w:line="264" w:lineRule="auto"/>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64" w:lineRule="auto"/>
      <w:contextualSpacing/>
    </w:pPr>
    <w:rPr>
      <w:rFonts w:asciiTheme="majorHAnsi" w:eastAsiaTheme="majorEastAsia" w:hAnsiTheme="majorHAnsi" w:cstheme="majorBidi" w:ascii="Calibri" w:hAnsi="Calibri"/>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64" w:lineRule="auto"/>
    </w:pPr>
    <w:rPr>
      <w:rFonts w:asciiTheme="majorHAnsi" w:eastAsiaTheme="majorEastAsia" w:hAnsiTheme="majorHAnsi" w:cstheme="majorBidi" w:ascii="Calibri" w:hAnsi="Calibri"/>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4" w:lineRule="auto" w:after="140"/>
    </w:pPr>
    <w:rPr>
      <w:rFonts w:ascii="Calibri" w:hAnsi="Calibri"/>
      <w:b/>
      <w:bCs/>
      <w:i/>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5.png"/><Relationship Id="rId12" Type="http://schemas.openxmlformats.org/officeDocument/2006/relationships/hyperlink" Target="https://api.mospi.gov.in/api/iip/getIIPData?frequency=Monthly&amp;base_year=2011-12&amp;category_code=2&amp;limit=200&amp;page=1" TargetMode="External"/><Relationship Id="rId13" Type="http://schemas.openxmlformats.org/officeDocument/2006/relationships/hyperlink" Target="https://www.pib.gov.in/PressReleasePage.aspx?PRID=2219602&amp;lang=1&amp;reg=3" TargetMode="External"/><Relationship Id="rId14" Type="http://schemas.openxmlformats.org/officeDocument/2006/relationships/hyperlink" Target="https://www.pib.gov.in/PressReleasePage.aspx?PRID=2122427&amp;lang=2&amp;reg=3" TargetMode="External"/><Relationship Id="rId15" Type="http://schemas.openxmlformats.org/officeDocument/2006/relationships/hyperlink" Target="https://www.pib.gov.in/PressReleasePage.aspx?PRID=2196938&amp;lang=1&amp;reg=3" TargetMode="External"/><Relationship Id="rId16" Type="http://schemas.openxmlformats.org/officeDocument/2006/relationships/hyperlink" Target="https://robbieandrew.github.io/india/" TargetMode="External"/><Relationship Id="rId17" Type="http://schemas.openxmlformats.org/officeDocument/2006/relationships/hyperlink" Target="https://grid-india.in/en/reports/daily-psp-report" TargetMode="External"/><Relationship Id="rId18" Type="http://schemas.openxmlformats.org/officeDocument/2006/relationships/hyperlink" Target="https://github.com/HalcyonVector/Grid-Sentinel/tree/main/Dataset/Raw" TargetMode="External"/><Relationship Id="rId19" Type="http://schemas.openxmlformats.org/officeDocument/2006/relationships/hyperlink" Target="https://power.larc.nasa.gov/docs/services/api/temporal/daily/" TargetMode="External"/><Relationship Id="rId20" Type="http://schemas.openxmlformats.org/officeDocument/2006/relationships/hyperlink" Target="https://www.beeindia.gov.in/view_content.php?lang=1&amp;lid=613" TargetMode="External"/><Relationship Id="rId21" Type="http://schemas.openxmlformats.org/officeDocument/2006/relationships/hyperlink" Target="https://www.federalreserve.gov/econres/notes/feds-notes/electricity-demand-as-a-high-frequency-economic-indicator-20201021.html" TargetMode="External"/><Relationship Id="rId22" Type="http://schemas.openxmlformats.org/officeDocument/2006/relationships/hyperlink" Target="https://www.pib.gov.in/PressReleasePage.aspx?PRID=1976917&amp;lang=2&amp;reg=48" TargetMode="External"/><Relationship Id="rId23" Type="http://schemas.openxmlformats.org/officeDocument/2006/relationships/hyperlink" Target="https://dip.goa.gov.in/list-of-holidays-during-year-2025/" TargetMode="External"/><Relationship Id="rId24" Type="http://schemas.openxmlformats.org/officeDocument/2006/relationships/hyperlink" Target="https://www.pib.gov.in/Pressreleaseshare.aspx?PRID=1555680&amp;lang=2&amp;reg=4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Electricity and industrial production nowcasting in India</dc:title>
  <dc:subject>Electricity and Indian industrial production nowcasting</dc:subject>
  <dc:creator/>
  <cp:keywords/>
  <dc:description/>
  <cp:lastModifiedBy/>
  <cp:revision>1</cp:revision>
  <dcterms:created xsi:type="dcterms:W3CDTF">2013-12-23T23:15:00Z</dcterms:created>
  <dcterms:modified xsi:type="dcterms:W3CDTF">2013-12-23T23:15:00Z</dcterms:modified>
  <cp:category/>
</cp:coreProperties>
</file>