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i w:val="1"/>
        </w:rPr>
      </w:pPr>
      <w:r w:rsidDel="00000000" w:rsidR="00000000" w:rsidRPr="00000000">
        <w:rPr>
          <w:rFonts w:ascii="Times New Roman" w:cs="Times New Roman" w:eastAsia="Times New Roman" w:hAnsi="Times New Roman"/>
          <w:b w:val="1"/>
          <w:sz w:val="32"/>
          <w:szCs w:val="32"/>
          <w:rtl w:val="0"/>
        </w:rPr>
        <w:t xml:space="preserve">Machine learning–assisted selection of informative loci for strain-level phylogenetics of </w:t>
      </w:r>
      <w:r w:rsidDel="00000000" w:rsidR="00000000" w:rsidRPr="00000000">
        <w:rPr>
          <w:rFonts w:ascii="Times New Roman" w:cs="Times New Roman" w:eastAsia="Times New Roman" w:hAnsi="Times New Roman"/>
          <w:b w:val="1"/>
          <w:i w:val="1"/>
          <w:sz w:val="32"/>
          <w:szCs w:val="32"/>
          <w:rtl w:val="0"/>
        </w:rPr>
        <w:t xml:space="preserve">Neisseria gonorrhoeae</w:t>
      </w:r>
      <w:r w:rsidDel="00000000" w:rsidR="00000000" w:rsidRPr="00000000">
        <w:rPr>
          <w:rtl w:val="0"/>
        </w:rPr>
      </w:r>
    </w:p>
    <w:p w:rsidR="00000000" w:rsidDel="00000000" w:rsidP="00000000" w:rsidRDefault="00000000" w:rsidRPr="00000000" w14:paraId="00000002">
      <w:pPr>
        <w:pStyle w:val="Heading2"/>
        <w:keepNext w:val="0"/>
        <w:keepLines w:val="0"/>
        <w:spacing w:before="280" w:lineRule="auto"/>
        <w:ind w:firstLine="720"/>
        <w:rPr>
          <w:rFonts w:ascii="Times New Roman" w:cs="Times New Roman" w:eastAsia="Times New Roman" w:hAnsi="Times New Roman"/>
          <w:b w:val="1"/>
        </w:rPr>
      </w:pPr>
      <w:bookmarkStart w:colFirst="0" w:colLast="0" w:name="_fz83o2ijxvmy" w:id="0"/>
      <w:bookmarkEnd w:id="0"/>
      <w:r w:rsidDel="00000000" w:rsidR="00000000" w:rsidRPr="00000000">
        <w:rPr>
          <w:rFonts w:ascii="Times New Roman" w:cs="Times New Roman" w:eastAsia="Times New Roman" w:hAnsi="Times New Roman"/>
          <w:b w:val="1"/>
          <w:rtl w:val="0"/>
        </w:rPr>
        <w:t xml:space="preserve">ВВЕДЕНИЕ</w:t>
      </w:r>
    </w:p>
    <w:p w:rsidR="00000000" w:rsidDel="00000000" w:rsidP="00000000" w:rsidRDefault="00000000" w:rsidRPr="00000000" w14:paraId="00000003">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Метагеномные классификаторы, подробно рассмотренные Marić и соавт. (2024) [</w:t>
      </w:r>
      <w:hyperlink r:id="rId6">
        <w:r w:rsidDel="00000000" w:rsidR="00000000" w:rsidRPr="00000000">
          <w:rPr>
            <w:rFonts w:ascii="Times New Roman" w:cs="Times New Roman" w:eastAsia="Times New Roman" w:hAnsi="Times New Roman"/>
            <w:color w:val="1155cc"/>
            <w:sz w:val="28"/>
            <w:szCs w:val="28"/>
            <w:u w:val="single"/>
            <w:rtl w:val="0"/>
          </w:rPr>
          <w:t xml:space="preserve">https://doi.org/10.1186/s12859-024-05634-8</w:t>
        </w:r>
      </w:hyperlink>
      <w:r w:rsidDel="00000000" w:rsidR="00000000" w:rsidRPr="00000000">
        <w:rPr>
          <w:rFonts w:ascii="Times New Roman" w:cs="Times New Roman" w:eastAsia="Times New Roman" w:hAnsi="Times New Roman"/>
          <w:sz w:val="28"/>
          <w:szCs w:val="28"/>
          <w:rtl w:val="0"/>
        </w:rPr>
        <w:t xml:space="preserve">], демонстрируют удовлетворительную точность видовой идентификации, однако при переходе к штаммовому уровню сталкиваются с рядом принципиальных ограничений. У k-mer-ориентированных решений Kraken2 [</w:t>
      </w:r>
      <w:hyperlink r:id="rId7">
        <w:r w:rsidDel="00000000" w:rsidR="00000000" w:rsidRPr="00000000">
          <w:rPr>
            <w:rFonts w:ascii="Times New Roman" w:cs="Times New Roman" w:eastAsia="Times New Roman" w:hAnsi="Times New Roman"/>
            <w:color w:val="1155cc"/>
            <w:sz w:val="28"/>
            <w:szCs w:val="28"/>
            <w:u w:val="single"/>
            <w:rtl w:val="0"/>
          </w:rPr>
          <w:t xml:space="preserve">https://doi.org/10.1186/s13059-019-1891-0</w:t>
        </w:r>
      </w:hyperlink>
      <w:r w:rsidDel="00000000" w:rsidR="00000000" w:rsidRPr="00000000">
        <w:rPr>
          <w:rFonts w:ascii="Times New Roman" w:cs="Times New Roman" w:eastAsia="Times New Roman" w:hAnsi="Times New Roman"/>
          <w:sz w:val="28"/>
          <w:szCs w:val="28"/>
          <w:rtl w:val="0"/>
        </w:rPr>
        <w:t xml:space="preserve">] и Centrifuge [</w:t>
      </w:r>
      <w:hyperlink r:id="rId8">
        <w:r w:rsidDel="00000000" w:rsidR="00000000" w:rsidRPr="00000000">
          <w:rPr>
            <w:rFonts w:ascii="Times New Roman" w:cs="Times New Roman" w:eastAsia="Times New Roman" w:hAnsi="Times New Roman"/>
            <w:color w:val="1155cc"/>
            <w:sz w:val="28"/>
            <w:szCs w:val="28"/>
            <w:u w:val="single"/>
            <w:rtl w:val="0"/>
          </w:rPr>
          <w:t xml:space="preserve">https://ccb.jhu.edu/software/centrifuge/</w:t>
        </w:r>
      </w:hyperlink>
      <w:r w:rsidDel="00000000" w:rsidR="00000000" w:rsidRPr="00000000">
        <w:rPr>
          <w:rFonts w:ascii="Times New Roman" w:cs="Times New Roman" w:eastAsia="Times New Roman" w:hAnsi="Times New Roman"/>
          <w:sz w:val="28"/>
          <w:szCs w:val="28"/>
          <w:rtl w:val="0"/>
        </w:rPr>
        <w:t xml:space="preserve">] избыточная полиморфность коротких олигонуклеотидов приводит к ложноположительным классификациям. Mapping-подходы Minimap2 [</w:t>
      </w:r>
      <w:hyperlink r:id="rId9">
        <w:r w:rsidDel="00000000" w:rsidR="00000000" w:rsidRPr="00000000">
          <w:rPr>
            <w:rFonts w:ascii="Times New Roman" w:cs="Times New Roman" w:eastAsia="Times New Roman" w:hAnsi="Times New Roman"/>
            <w:color w:val="1155cc"/>
            <w:sz w:val="28"/>
            <w:szCs w:val="28"/>
            <w:u w:val="single"/>
            <w:rtl w:val="0"/>
          </w:rPr>
          <w:t xml:space="preserve">https://doi.org/10.1093/bioinformatics/bty191</w:t>
        </w:r>
      </w:hyperlink>
      <w:r w:rsidDel="00000000" w:rsidR="00000000" w:rsidRPr="00000000">
        <w:rPr>
          <w:rFonts w:ascii="Times New Roman" w:cs="Times New Roman" w:eastAsia="Times New Roman" w:hAnsi="Times New Roman"/>
          <w:sz w:val="28"/>
          <w:szCs w:val="28"/>
          <w:rtl w:val="0"/>
        </w:rPr>
        <w:t xml:space="preserve">] и MetaMaps [</w:t>
      </w:r>
      <w:hyperlink r:id="rId10">
        <w:r w:rsidDel="00000000" w:rsidR="00000000" w:rsidRPr="00000000">
          <w:rPr>
            <w:rFonts w:ascii="Times New Roman" w:cs="Times New Roman" w:eastAsia="Times New Roman" w:hAnsi="Times New Roman"/>
            <w:color w:val="1155cc"/>
            <w:sz w:val="28"/>
            <w:szCs w:val="28"/>
            <w:u w:val="single"/>
            <w:rtl w:val="0"/>
          </w:rPr>
          <w:t xml:space="preserve">https://github.com/DiltheyLab/MetaMaps</w:t>
        </w:r>
      </w:hyperlink>
      <w:r w:rsidDel="00000000" w:rsidR="00000000" w:rsidRPr="00000000">
        <w:rPr>
          <w:rFonts w:ascii="Times New Roman" w:cs="Times New Roman" w:eastAsia="Times New Roman" w:hAnsi="Times New Roman"/>
          <w:sz w:val="28"/>
          <w:szCs w:val="28"/>
          <w:rtl w:val="0"/>
        </w:rPr>
        <w:t xml:space="preserve">] зависят от полноты справочника и требуют значительных вычислительных ресурсов, а универсального бенчмарка для длинночитаемых данных пока не существует.</w:t>
      </w:r>
    </w:p>
    <w:p w:rsidR="00000000" w:rsidDel="00000000" w:rsidP="00000000" w:rsidRDefault="00000000" w:rsidRPr="00000000" w14:paraId="00000004">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2023 по 2025 гг. появились инструменты, частично нивелирующие указанные недостатки. Demixer [</w:t>
      </w:r>
      <w:hyperlink r:id="rId11">
        <w:r w:rsidDel="00000000" w:rsidR="00000000" w:rsidRPr="00000000">
          <w:rPr>
            <w:rFonts w:ascii="Times New Roman" w:cs="Times New Roman" w:eastAsia="Times New Roman" w:hAnsi="Times New Roman"/>
            <w:color w:val="1155cc"/>
            <w:sz w:val="28"/>
            <w:szCs w:val="28"/>
            <w:u w:val="single"/>
            <w:rtl w:val="0"/>
          </w:rPr>
          <w:t xml:space="preserve">https://doi.org/10.1093/bioinformatics/btaf139</w:t>
        </w:r>
      </w:hyperlink>
      <w:r w:rsidDel="00000000" w:rsidR="00000000" w:rsidRPr="00000000">
        <w:rPr>
          <w:rFonts w:ascii="Times New Roman" w:cs="Times New Roman" w:eastAsia="Times New Roman" w:hAnsi="Times New Roman"/>
          <w:sz w:val="28"/>
          <w:szCs w:val="28"/>
          <w:rtl w:val="0"/>
        </w:rPr>
        <w:t xml:space="preserve">] сочетает байесовскую оценку долей известных клонов с реконструкцией </w:t>
      </w:r>
      <w:r w:rsidDel="00000000" w:rsidR="00000000" w:rsidRPr="00000000">
        <w:rPr>
          <w:rFonts w:ascii="Times New Roman" w:cs="Times New Roman" w:eastAsia="Times New Roman" w:hAnsi="Times New Roman"/>
          <w:i w:val="1"/>
          <w:sz w:val="28"/>
          <w:szCs w:val="28"/>
          <w:rtl w:val="0"/>
        </w:rPr>
        <w:t xml:space="preserve">de novo</w:t>
      </w:r>
      <w:r w:rsidDel="00000000" w:rsidR="00000000" w:rsidRPr="00000000">
        <w:rPr>
          <w:rFonts w:ascii="Gungsuh" w:cs="Gungsuh" w:eastAsia="Gungsuh" w:hAnsi="Gungsuh"/>
          <w:sz w:val="28"/>
          <w:szCs w:val="28"/>
          <w:rtl w:val="0"/>
        </w:rPr>
        <w:t xml:space="preserve"> SNP-профилей, устраняя «reference-bias», но надежно работает лишь при покрытии ≥ 20× и чувствителен к рекомбинации. MADRe [</w:t>
      </w:r>
      <w:hyperlink r:id="rId12">
        <w:r w:rsidDel="00000000" w:rsidR="00000000" w:rsidRPr="00000000">
          <w:rPr>
            <w:rFonts w:ascii="Times New Roman" w:cs="Times New Roman" w:eastAsia="Times New Roman" w:hAnsi="Times New Roman"/>
            <w:color w:val="1155cc"/>
            <w:sz w:val="28"/>
            <w:szCs w:val="28"/>
            <w:u w:val="single"/>
            <w:rtl w:val="0"/>
          </w:rPr>
          <w:t xml:space="preserve">https://doi.org/10.1101/2025.05.12.653324</w:t>
        </w:r>
      </w:hyperlink>
      <w:r w:rsidDel="00000000" w:rsidR="00000000" w:rsidRPr="00000000">
        <w:rPr>
          <w:rFonts w:ascii="Times New Roman" w:cs="Times New Roman" w:eastAsia="Times New Roman" w:hAnsi="Times New Roman"/>
          <w:sz w:val="28"/>
          <w:szCs w:val="28"/>
          <w:rtl w:val="0"/>
        </w:rPr>
        <w:t xml:space="preserve">] уменьшает число ложноположительных детекций за счёт предварительной сборки контигов и автоматического сокращения базы, однако удлиняет время анализа и требует хорошего покрытия. Clasnip [</w:t>
      </w:r>
      <w:hyperlink r:id="rId13">
        <w:r w:rsidDel="00000000" w:rsidR="00000000" w:rsidRPr="00000000">
          <w:rPr>
            <w:rFonts w:ascii="Times New Roman" w:cs="Times New Roman" w:eastAsia="Times New Roman" w:hAnsi="Times New Roman"/>
            <w:color w:val="1155cc"/>
            <w:sz w:val="28"/>
            <w:szCs w:val="28"/>
            <w:u w:val="single"/>
            <w:rtl w:val="0"/>
          </w:rPr>
          <w:t xml:space="preserve">https://doi.org/10.7717/peerj.14490</w:t>
        </w:r>
      </w:hyperlink>
      <w:r w:rsidDel="00000000" w:rsidR="00000000" w:rsidRPr="00000000">
        <w:rPr>
          <w:rFonts w:ascii="Times New Roman" w:cs="Times New Roman" w:eastAsia="Times New Roman" w:hAnsi="Times New Roman"/>
          <w:sz w:val="28"/>
          <w:szCs w:val="28"/>
          <w:rtl w:val="0"/>
        </w:rPr>
        <w:t xml:space="preserve">] предлагает HMM-типирование по коротким ампликонам через web-интерфейс, повышая доступность скрининга, но полностью зависит от актуальности базы и не поддерживает смешанные образцы.</w:t>
      </w:r>
    </w:p>
    <w:p w:rsidR="00000000" w:rsidDel="00000000" w:rsidP="00000000" w:rsidRDefault="00000000" w:rsidRPr="00000000" w14:paraId="00000005">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Наряду с публикацией </w:t>
      </w:r>
      <w:r w:rsidDel="00000000" w:rsidR="00000000" w:rsidRPr="00000000">
        <w:rPr>
          <w:rFonts w:ascii="Times New Roman" w:cs="Times New Roman" w:eastAsia="Times New Roman" w:hAnsi="Times New Roman"/>
          <w:b w:val="1"/>
          <w:sz w:val="28"/>
          <w:szCs w:val="28"/>
          <w:rtl w:val="0"/>
        </w:rPr>
        <w:t xml:space="preserve">minMLST</w:t>
      </w:r>
      <w:r w:rsidDel="00000000" w:rsidR="00000000" w:rsidRPr="00000000">
        <w:rPr>
          <w:rFonts w:ascii="Times New Roman" w:cs="Times New Roman" w:eastAsia="Times New Roman" w:hAnsi="Times New Roman"/>
          <w:sz w:val="28"/>
          <w:szCs w:val="28"/>
          <w:rtl w:val="0"/>
        </w:rPr>
        <w:t xml:space="preserve"> [</w:t>
      </w:r>
      <w:hyperlink r:id="rId14">
        <w:r w:rsidDel="00000000" w:rsidR="00000000" w:rsidRPr="00000000">
          <w:rPr>
            <w:rFonts w:ascii="Times New Roman" w:cs="Times New Roman" w:eastAsia="Times New Roman" w:hAnsi="Times New Roman"/>
            <w:color w:val="1155cc"/>
            <w:sz w:val="28"/>
            <w:szCs w:val="28"/>
            <w:u w:val="single"/>
            <w:rtl w:val="0"/>
          </w:rPr>
          <w:t xml:space="preserve">https://doi.org/10.1093/bioinformatics/btaa724</w:t>
        </w:r>
      </w:hyperlink>
      <w:r w:rsidDel="00000000" w:rsidR="00000000" w:rsidRPr="00000000">
        <w:rPr>
          <w:rFonts w:ascii="Times New Roman" w:cs="Times New Roman" w:eastAsia="Times New Roman" w:hAnsi="Times New Roman"/>
          <w:sz w:val="28"/>
          <w:szCs w:val="28"/>
          <w:rtl w:val="0"/>
        </w:rPr>
        <w:t xml:space="preserve">], где методом XGBoost отбирается минимальный набор локусов из cgMLST-схем [</w:t>
      </w:r>
      <w:hyperlink r:id="rId15">
        <w:r w:rsidDel="00000000" w:rsidR="00000000" w:rsidRPr="00000000">
          <w:rPr>
            <w:rFonts w:ascii="Times New Roman" w:cs="Times New Roman" w:eastAsia="Times New Roman" w:hAnsi="Times New Roman"/>
            <w:color w:val="1155cc"/>
            <w:sz w:val="28"/>
            <w:szCs w:val="28"/>
            <w:u w:val="single"/>
            <w:rtl w:val="0"/>
          </w:rPr>
          <w:t xml:space="preserve">https://www.cgmlst.org/ncs</w:t>
        </w:r>
      </w:hyperlink>
      <w:r w:rsidDel="00000000" w:rsidR="00000000" w:rsidRPr="00000000">
        <w:rPr>
          <w:rFonts w:ascii="Times New Roman" w:cs="Times New Roman" w:eastAsia="Times New Roman" w:hAnsi="Times New Roman"/>
          <w:sz w:val="28"/>
          <w:szCs w:val="28"/>
          <w:rtl w:val="0"/>
        </w:rPr>
        <w:t xml:space="preserve">] при сохранении приемлемого разрешения (скорректированный индекс Рэнда 0,4–0,93), активно развиваются и marker-ориентированные метагеномные методы, например StrainPhlAn [</w:t>
      </w:r>
      <w:hyperlink r:id="rId16">
        <w:r w:rsidDel="00000000" w:rsidR="00000000" w:rsidRPr="00000000">
          <w:rPr>
            <w:rFonts w:ascii="Times New Roman" w:cs="Times New Roman" w:eastAsia="Times New Roman" w:hAnsi="Times New Roman"/>
            <w:color w:val="1155cc"/>
            <w:sz w:val="28"/>
            <w:szCs w:val="28"/>
            <w:u w:val="single"/>
            <w:rtl w:val="0"/>
          </w:rPr>
          <w:t xml:space="preserve">https://doi.org/10.1101/2022.08.22.504593</w:t>
        </w:r>
      </w:hyperlink>
      <w:r w:rsidDel="00000000" w:rsidR="00000000" w:rsidRPr="00000000">
        <w:rPr>
          <w:rFonts w:ascii="Times New Roman" w:cs="Times New Roman" w:eastAsia="Times New Roman" w:hAnsi="Times New Roman"/>
          <w:sz w:val="28"/>
          <w:szCs w:val="28"/>
          <w:rtl w:val="0"/>
        </w:rPr>
        <w:t xml:space="preserve">]. Последний использует видоспецифичные маркеры или пангеномные базы и потенциально может быть адаптирован для анализа изолятов при соответствующей модификации алгоритма.</w:t>
      </w:r>
    </w:p>
    <w:p w:rsidR="00000000" w:rsidDel="00000000" w:rsidP="00000000" w:rsidRDefault="00000000" w:rsidRPr="00000000" w14:paraId="00000006">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 не менее ни один из существующих инструментов не объединяет высокое штаммовое разрешение, умеренные вычислительные требования и полноценную интеграцию в рутинную диагностику.</w:t>
      </w:r>
    </w:p>
    <w:p w:rsidR="00000000" w:rsidDel="00000000" w:rsidP="00000000" w:rsidRDefault="00000000" w:rsidRPr="00000000" w14:paraId="00000007">
      <w:pPr>
        <w:pStyle w:val="Heading4"/>
        <w:keepNext w:val="0"/>
        <w:keepLines w:val="0"/>
        <w:spacing w:after="40" w:before="240" w:line="360" w:lineRule="auto"/>
        <w:ind w:firstLine="720"/>
        <w:rPr>
          <w:rFonts w:ascii="Times New Roman" w:cs="Times New Roman" w:eastAsia="Times New Roman" w:hAnsi="Times New Roman"/>
          <w:b w:val="1"/>
          <w:i w:val="1"/>
          <w:color w:val="000000"/>
          <w:sz w:val="28"/>
          <w:szCs w:val="28"/>
        </w:rPr>
      </w:pPr>
      <w:bookmarkStart w:colFirst="0" w:colLast="0" w:name="_vp6eb3fypo41" w:id="1"/>
      <w:bookmarkEnd w:id="1"/>
      <w:r w:rsidDel="00000000" w:rsidR="00000000" w:rsidRPr="00000000">
        <w:rPr>
          <w:rFonts w:ascii="Times New Roman" w:cs="Times New Roman" w:eastAsia="Times New Roman" w:hAnsi="Times New Roman"/>
          <w:b w:val="1"/>
          <w:color w:val="000000"/>
          <w:sz w:val="28"/>
          <w:szCs w:val="28"/>
          <w:rtl w:val="0"/>
        </w:rPr>
        <w:t xml:space="preserve">Специфика </w:t>
      </w:r>
      <w:r w:rsidDel="00000000" w:rsidR="00000000" w:rsidRPr="00000000">
        <w:rPr>
          <w:rFonts w:ascii="Times New Roman" w:cs="Times New Roman" w:eastAsia="Times New Roman" w:hAnsi="Times New Roman"/>
          <w:b w:val="1"/>
          <w:i w:val="1"/>
          <w:color w:val="000000"/>
          <w:sz w:val="28"/>
          <w:szCs w:val="28"/>
          <w:rtl w:val="0"/>
        </w:rPr>
        <w:t xml:space="preserve">Neisseria gonorrhoeae</w:t>
      </w:r>
    </w:p>
    <w:p w:rsidR="00000000" w:rsidDel="00000000" w:rsidP="00000000" w:rsidRDefault="00000000" w:rsidRPr="00000000" w14:paraId="00000008">
      <w:pPr>
        <w:spacing w:after="240" w:before="240" w:line="360" w:lineRule="auto"/>
        <w:ind w:firstLine="720"/>
        <w:jc w:val="both"/>
        <w:rPr/>
      </w:pPr>
      <w:r w:rsidDel="00000000" w:rsidR="00000000" w:rsidRPr="00000000">
        <w:rPr>
          <w:rFonts w:ascii="Times New Roman" w:cs="Times New Roman" w:eastAsia="Times New Roman" w:hAnsi="Times New Roman"/>
          <w:i w:val="1"/>
          <w:sz w:val="28"/>
          <w:szCs w:val="28"/>
          <w:rtl w:val="0"/>
        </w:rPr>
        <w:t xml:space="preserve">Neisseria gonorrhoeae</w:t>
      </w:r>
      <w:r w:rsidDel="00000000" w:rsidR="00000000" w:rsidRPr="00000000">
        <w:rPr>
          <w:rFonts w:ascii="Gungsuh" w:cs="Gungsuh" w:eastAsia="Gungsuh" w:hAnsi="Gungsuh"/>
          <w:sz w:val="28"/>
          <w:szCs w:val="28"/>
          <w:rtl w:val="0"/>
        </w:rPr>
        <w:t xml:space="preserve"> отличается минимальным межгеномным расстоянием между циркулирующими клонами (≤ 0,001 замен/сайт) и высоким уровнем рекомбинации (r/m ≈ 2,5) [</w:t>
      </w:r>
      <w:hyperlink r:id="rId17">
        <w:r w:rsidDel="00000000" w:rsidR="00000000" w:rsidRPr="00000000">
          <w:rPr>
            <w:rFonts w:ascii="Times New Roman" w:cs="Times New Roman" w:eastAsia="Times New Roman" w:hAnsi="Times New Roman"/>
            <w:color w:val="1155cc"/>
            <w:sz w:val="28"/>
            <w:szCs w:val="28"/>
            <w:u w:val="single"/>
            <w:rtl w:val="0"/>
          </w:rPr>
          <w:t xml:space="preserve">https://doi.org/10.1099/00221287-139-11-2603</w:t>
        </w:r>
      </w:hyperlink>
      <w:r w:rsidDel="00000000" w:rsidR="00000000" w:rsidRPr="00000000">
        <w:rPr>
          <w:rFonts w:ascii="Times New Roman" w:cs="Times New Roman" w:eastAsia="Times New Roman" w:hAnsi="Times New Roman"/>
          <w:sz w:val="28"/>
          <w:szCs w:val="28"/>
          <w:rtl w:val="0"/>
        </w:rPr>
        <w:t xml:space="preserve">;</w:t>
      </w:r>
      <w:hyperlink r:id="rId18">
        <w:r w:rsidDel="00000000" w:rsidR="00000000" w:rsidRPr="00000000">
          <w:rPr>
            <w:rFonts w:ascii="Times New Roman" w:cs="Times New Roman" w:eastAsia="Times New Roman" w:hAnsi="Times New Roman"/>
            <w:sz w:val="28"/>
            <w:szCs w:val="28"/>
            <w:rtl w:val="0"/>
          </w:rPr>
          <w:t xml:space="preserve"> </w:t>
        </w:r>
      </w:hyperlink>
      <w:hyperlink r:id="rId19">
        <w:r w:rsidDel="00000000" w:rsidR="00000000" w:rsidRPr="00000000">
          <w:rPr>
            <w:rFonts w:ascii="Times New Roman" w:cs="Times New Roman" w:eastAsia="Times New Roman" w:hAnsi="Times New Roman"/>
            <w:color w:val="1155cc"/>
            <w:sz w:val="28"/>
            <w:szCs w:val="28"/>
            <w:u w:val="single"/>
            <w:rtl w:val="0"/>
          </w:rPr>
          <w:t xml:space="preserve">https://doi.org/10.7717/peerj.806</w:t>
        </w:r>
      </w:hyperlink>
      <w:r w:rsidDel="00000000" w:rsidR="00000000" w:rsidRPr="00000000">
        <w:rPr>
          <w:rFonts w:ascii="Times New Roman" w:cs="Times New Roman" w:eastAsia="Times New Roman" w:hAnsi="Times New Roman"/>
          <w:sz w:val="28"/>
          <w:szCs w:val="28"/>
          <w:rtl w:val="0"/>
        </w:rPr>
        <w:t xml:space="preserve">;</w:t>
      </w:r>
      <w:hyperlink r:id="rId20">
        <w:r w:rsidDel="00000000" w:rsidR="00000000" w:rsidRPr="00000000">
          <w:rPr>
            <w:rFonts w:ascii="Times New Roman" w:cs="Times New Roman" w:eastAsia="Times New Roman" w:hAnsi="Times New Roman"/>
            <w:sz w:val="28"/>
            <w:szCs w:val="28"/>
            <w:rtl w:val="0"/>
          </w:rPr>
          <w:t xml:space="preserve"> </w:t>
        </w:r>
      </w:hyperlink>
      <w:hyperlink r:id="rId21">
        <w:r w:rsidDel="00000000" w:rsidR="00000000" w:rsidRPr="00000000">
          <w:rPr>
            <w:rFonts w:ascii="Times New Roman" w:cs="Times New Roman" w:eastAsia="Times New Roman" w:hAnsi="Times New Roman"/>
            <w:color w:val="1155cc"/>
            <w:sz w:val="28"/>
            <w:szCs w:val="28"/>
            <w:u w:val="single"/>
            <w:rtl w:val="0"/>
          </w:rPr>
          <w:t xml:space="preserve">https://doi.org/10.1186/s12864-020-6511-6</w:t>
        </w:r>
      </w:hyperlink>
      <w:r w:rsidDel="00000000" w:rsidR="00000000" w:rsidRPr="00000000">
        <w:rPr>
          <w:rFonts w:ascii="Times New Roman" w:cs="Times New Roman" w:eastAsia="Times New Roman" w:hAnsi="Times New Roman"/>
          <w:sz w:val="28"/>
          <w:szCs w:val="28"/>
          <w:rtl w:val="0"/>
        </w:rPr>
        <w:t xml:space="preserve">]. Эти особенности ограничивают возможности</w:t>
      </w:r>
      <w:r w:rsidDel="00000000" w:rsidR="00000000" w:rsidRPr="00000000">
        <w:rPr>
          <w:rtl w:val="0"/>
        </w:rPr>
        <w:t xml:space="preserve">:</w:t>
      </w:r>
    </w:p>
    <w:p w:rsidR="00000000" w:rsidDel="00000000" w:rsidP="00000000" w:rsidRDefault="00000000" w:rsidRPr="00000000" w14:paraId="00000009">
      <w:pPr>
        <w:numPr>
          <w:ilvl w:val="0"/>
          <w:numId w:val="1"/>
        </w:numPr>
        <w:spacing w:after="0" w:afterAutospacing="0" w:before="240"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MLST</w:t>
      </w:r>
      <w:r w:rsidDel="00000000" w:rsidR="00000000" w:rsidRPr="00000000">
        <w:rPr>
          <w:rFonts w:ascii="Times New Roman" w:cs="Times New Roman" w:eastAsia="Times New Roman" w:hAnsi="Times New Roman"/>
          <w:sz w:val="28"/>
          <w:szCs w:val="28"/>
          <w:rtl w:val="0"/>
        </w:rPr>
        <w:t xml:space="preserve"> [</w:t>
      </w:r>
      <w:hyperlink r:id="rId22">
        <w:r w:rsidDel="00000000" w:rsidR="00000000" w:rsidRPr="00000000">
          <w:rPr>
            <w:rFonts w:ascii="Times New Roman" w:cs="Times New Roman" w:eastAsia="Times New Roman" w:hAnsi="Times New Roman"/>
            <w:color w:val="1155cc"/>
            <w:sz w:val="28"/>
            <w:szCs w:val="28"/>
            <w:u w:val="single"/>
            <w:rtl w:val="0"/>
          </w:rPr>
          <w:t xml:space="preserve">https://pubmlst.org/organisms/neisseria-spp/mlst</w:t>
        </w:r>
      </w:hyperlink>
      <w:r w:rsidDel="00000000" w:rsidR="00000000" w:rsidRPr="00000000">
        <w:rPr>
          <w:rFonts w:ascii="Times New Roman" w:cs="Times New Roman" w:eastAsia="Times New Roman" w:hAnsi="Times New Roman"/>
          <w:sz w:val="28"/>
          <w:szCs w:val="28"/>
          <w:rtl w:val="0"/>
        </w:rPr>
        <w:t xml:space="preserve">] — схема из семи housekeeping-генов даёт согласованную, но недостаточно детализированную картину;</w:t>
        <w:br w:type="textWrapping"/>
      </w:r>
    </w:p>
    <w:p w:rsidR="00000000" w:rsidDel="00000000" w:rsidP="00000000" w:rsidRDefault="00000000" w:rsidRPr="00000000" w14:paraId="0000000A">
      <w:pPr>
        <w:numPr>
          <w:ilvl w:val="0"/>
          <w:numId w:val="1"/>
        </w:numPr>
        <w:spacing w:after="0" w:afterAutospacing="0" w:before="0" w:beforeAutospacing="0"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NG-MAST</w:t>
      </w:r>
      <w:r w:rsidDel="00000000" w:rsidR="00000000" w:rsidRPr="00000000">
        <w:rPr>
          <w:rFonts w:ascii="Times New Roman" w:cs="Times New Roman" w:eastAsia="Times New Roman" w:hAnsi="Times New Roman"/>
          <w:sz w:val="28"/>
          <w:szCs w:val="28"/>
          <w:rtl w:val="0"/>
        </w:rPr>
        <w:t xml:space="preserve"> [</w:t>
      </w:r>
      <w:hyperlink r:id="rId23">
        <w:r w:rsidDel="00000000" w:rsidR="00000000" w:rsidRPr="00000000">
          <w:rPr>
            <w:rFonts w:ascii="Times New Roman" w:cs="Times New Roman" w:eastAsia="Times New Roman" w:hAnsi="Times New Roman"/>
            <w:color w:val="1155cc"/>
            <w:sz w:val="28"/>
            <w:szCs w:val="28"/>
            <w:u w:val="single"/>
            <w:rtl w:val="0"/>
          </w:rPr>
          <w:t xml:space="preserve">https://doi.org/10.1099/mgen.0.000076</w:t>
        </w:r>
      </w:hyperlink>
      <w:r w:rsidDel="00000000" w:rsidR="00000000" w:rsidRPr="00000000">
        <w:rPr>
          <w:rFonts w:ascii="Times New Roman" w:cs="Times New Roman" w:eastAsia="Times New Roman" w:hAnsi="Times New Roman"/>
          <w:sz w:val="28"/>
          <w:szCs w:val="28"/>
          <w:rtl w:val="0"/>
        </w:rPr>
        <w:t xml:space="preserve">] — двухгенная система (porB, tbpB) повышает разрешение, но формирует политомии, не отражающие фенотип устойчивости и географию;</w:t>
        <w:br w:type="textWrapping"/>
      </w:r>
    </w:p>
    <w:p w:rsidR="00000000" w:rsidDel="00000000" w:rsidP="00000000" w:rsidRDefault="00000000" w:rsidRPr="00000000" w14:paraId="0000000B">
      <w:pPr>
        <w:numPr>
          <w:ilvl w:val="0"/>
          <w:numId w:val="1"/>
        </w:numPr>
        <w:spacing w:after="0" w:afterAutospacing="0" w:before="0" w:beforeAutospacing="0"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cgMLST</w:t>
      </w:r>
      <w:r w:rsidDel="00000000" w:rsidR="00000000" w:rsidRPr="00000000">
        <w:rPr>
          <w:rFonts w:ascii="Times New Roman" w:cs="Times New Roman" w:eastAsia="Times New Roman" w:hAnsi="Times New Roman"/>
          <w:sz w:val="28"/>
          <w:szCs w:val="28"/>
          <w:rtl w:val="0"/>
        </w:rPr>
        <w:t xml:space="preserve"> — задействует 100–2000 core-локусов, повышая точность, однако остаётся ресурсоёмким и игнорирует вариабельность аксессорного генома;</w:t>
        <w:br w:type="textWrapping"/>
      </w:r>
    </w:p>
    <w:p w:rsidR="00000000" w:rsidDel="00000000" w:rsidP="00000000" w:rsidRDefault="00000000" w:rsidRPr="00000000" w14:paraId="0000000C">
      <w:pPr>
        <w:numPr>
          <w:ilvl w:val="0"/>
          <w:numId w:val="1"/>
        </w:numPr>
        <w:spacing w:after="240" w:before="0" w:beforeAutospacing="0"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Полногеномный анализ</w:t>
      </w:r>
      <w:r w:rsidDel="00000000" w:rsidR="00000000" w:rsidRPr="00000000">
        <w:rPr>
          <w:rFonts w:ascii="Times New Roman" w:cs="Times New Roman" w:eastAsia="Times New Roman" w:hAnsi="Times New Roman"/>
          <w:sz w:val="28"/>
          <w:szCs w:val="28"/>
          <w:rtl w:val="0"/>
        </w:rPr>
        <w:t xml:space="preserve">[</w:t>
      </w:r>
      <w:hyperlink r:id="rId24">
        <w:r w:rsidDel="00000000" w:rsidR="00000000" w:rsidRPr="00000000">
          <w:rPr>
            <w:rFonts w:ascii="Times New Roman" w:cs="Times New Roman" w:eastAsia="Times New Roman" w:hAnsi="Times New Roman"/>
            <w:color w:val="1155cc"/>
            <w:sz w:val="28"/>
            <w:szCs w:val="28"/>
            <w:u w:val="single"/>
            <w:rtl w:val="0"/>
          </w:rPr>
          <w:t xml:space="preserve">https://doi.org/10.1186/s12864-019-5542-3</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обеспечивает максимальное филогенетическое разрешение, но требует значительных вычислительных ресурсов, высокой стоимости секвенирования и экспертной интерпретации данных.</w:t>
      </w:r>
      <w:r w:rsidDel="00000000" w:rsidR="00000000" w:rsidRPr="00000000">
        <w:rPr>
          <w:rtl w:val="0"/>
        </w:rPr>
        <w:br w:type="textWrapping"/>
      </w:r>
    </w:p>
    <w:p w:rsidR="00000000" w:rsidDel="00000000" w:rsidP="00000000" w:rsidRDefault="00000000" w:rsidRPr="00000000" w14:paraId="0000000D">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Marić и соавт. показали, что отсутствие одного вида в справочнике влечёт ≥ 20 % ошибку оценки представленности; на штаммовом уровне это эквивалентно пропуску клинически значимого клона. Кроме того, k-mer-классификаторы склонны генерировать искусственные «штаммы», тогда как ресурсоёмкие мапперы трудно применять в лабораториях с ограниченными вычислительными ресурсами.</w:t>
      </w:r>
    </w:p>
    <w:p w:rsidR="00000000" w:rsidDel="00000000" w:rsidP="00000000" w:rsidRDefault="00000000" w:rsidRPr="00000000" w14:paraId="0000000E">
      <w:pPr>
        <w:pStyle w:val="Heading4"/>
        <w:keepNext w:val="0"/>
        <w:keepLines w:val="0"/>
        <w:spacing w:after="40" w:before="240" w:lineRule="auto"/>
        <w:ind w:firstLine="720"/>
        <w:rPr>
          <w:b w:val="1"/>
          <w:color w:val="000000"/>
          <w:sz w:val="22"/>
          <w:szCs w:val="22"/>
        </w:rPr>
      </w:pPr>
      <w:bookmarkStart w:colFirst="0" w:colLast="0" w:name="_xpgomenwukc1" w:id="2"/>
      <w:bookmarkEnd w:id="2"/>
      <w:r w:rsidDel="00000000" w:rsidR="00000000" w:rsidRPr="00000000">
        <w:rPr>
          <w:rFonts w:ascii="Times New Roman" w:cs="Times New Roman" w:eastAsia="Times New Roman" w:hAnsi="Times New Roman"/>
          <w:b w:val="1"/>
          <w:color w:val="000000"/>
          <w:sz w:val="28"/>
          <w:szCs w:val="28"/>
          <w:rtl w:val="0"/>
        </w:rPr>
        <w:t xml:space="preserve">Обоснование исследования</w:t>
      </w:r>
      <w:r w:rsidDel="00000000" w:rsidR="00000000" w:rsidRPr="00000000">
        <w:rPr>
          <w:rtl w:val="0"/>
        </w:rPr>
      </w:r>
    </w:p>
    <w:p w:rsidR="00000000" w:rsidDel="00000000" w:rsidP="00000000" w:rsidRDefault="00000000" w:rsidRPr="00000000" w14:paraId="0000000F">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эпидемиологического надзора за </w:t>
      </w:r>
      <w:r w:rsidDel="00000000" w:rsidR="00000000" w:rsidRPr="00000000">
        <w:rPr>
          <w:rFonts w:ascii="Times New Roman" w:cs="Times New Roman" w:eastAsia="Times New Roman" w:hAnsi="Times New Roman"/>
          <w:i w:val="1"/>
          <w:sz w:val="28"/>
          <w:szCs w:val="28"/>
          <w:rtl w:val="0"/>
        </w:rPr>
        <w:t xml:space="preserve">N. gonorrhoeae</w:t>
      </w:r>
      <w:r w:rsidDel="00000000" w:rsidR="00000000" w:rsidRPr="00000000">
        <w:rPr>
          <w:rFonts w:ascii="Times New Roman" w:cs="Times New Roman" w:eastAsia="Times New Roman" w:hAnsi="Times New Roman"/>
          <w:sz w:val="28"/>
          <w:szCs w:val="28"/>
          <w:rtl w:val="0"/>
        </w:rPr>
        <w:t xml:space="preserve"> необходим специализированный, ресурсно-эффективный пайплайн с курированной базой гонококковых геномов, целевым подмножеством ортологов и интегрированным анализом генов устойчивости.</w:t>
      </w:r>
    </w:p>
    <w:p w:rsidR="00000000" w:rsidDel="00000000" w:rsidP="00000000" w:rsidRDefault="00000000" w:rsidRPr="00000000" w14:paraId="00000010">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Наш проект предлагает алгоритм автоматического отбора минимального набора информативных ортогрупп (не ограничиваясь core-генами), последующую оценку топологической стабильности филогенетических деревьев и одновременное определение детерминант антибиотикорезистентности. Такой подход позволяет сохранить штаммовое разрешение, снизить вычислительные затраты и обеспечить практическую применимость метода.</w:t>
      </w:r>
    </w:p>
    <w:p w:rsidR="00000000" w:rsidDel="00000000" w:rsidP="00000000" w:rsidRDefault="00000000" w:rsidRPr="00000000" w14:paraId="00000011">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Важность и актуальность нашего исследования обусловлены сохраняющимся высоким уровнем распространения гонококковой инфекции, вызванной </w:t>
      </w:r>
      <w:r w:rsidDel="00000000" w:rsidR="00000000" w:rsidRPr="00000000">
        <w:rPr>
          <w:rFonts w:ascii="Times New Roman" w:cs="Times New Roman" w:eastAsia="Times New Roman" w:hAnsi="Times New Roman"/>
          <w:i w:val="1"/>
          <w:sz w:val="28"/>
          <w:szCs w:val="28"/>
          <w:rtl w:val="0"/>
        </w:rPr>
        <w:t xml:space="preserve">N. gonorrhoeae</w:t>
      </w:r>
      <w:r w:rsidDel="00000000" w:rsidR="00000000" w:rsidRPr="00000000">
        <w:rPr>
          <w:rFonts w:ascii="Times New Roman" w:cs="Times New Roman" w:eastAsia="Times New Roman" w:hAnsi="Times New Roman"/>
          <w:sz w:val="28"/>
          <w:szCs w:val="28"/>
          <w:rtl w:val="0"/>
        </w:rPr>
        <w:t xml:space="preserve">, что по-прежнему представляет собой серьезную проблему общественного здравоохранения. Особенную тревогу вызывает быстрое развитие антибиотикорезистентности у гонококка, требующее постоянного и эффективного эпидемиологического надзора.</w:t>
      </w:r>
    </w:p>
    <w:p w:rsidR="00000000" w:rsidDel="00000000" w:rsidP="00000000" w:rsidRDefault="00000000" w:rsidRPr="00000000" w14:paraId="00000012">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Предлагаемый нами подход имеет значительное практическое применение. Разработанный алгоритм способен оптимизировать ПЦР-диагностику, позволяя создавать более точные и экономичные ПЦР-системы, направленные на выявление ключевых эпидемиологических маркеров, включая гены резистентности. Важно отметить, что горизонтальный перенос генов (ГПГ) играет ключевую роль в быстром распространении этих детерминант антибиотикорезистентности среди популяций </w:t>
      </w:r>
      <w:r w:rsidDel="00000000" w:rsidR="00000000" w:rsidRPr="00000000">
        <w:rPr>
          <w:rFonts w:ascii="Times New Roman" w:cs="Times New Roman" w:eastAsia="Times New Roman" w:hAnsi="Times New Roman"/>
          <w:i w:val="1"/>
          <w:sz w:val="28"/>
          <w:szCs w:val="28"/>
          <w:rtl w:val="0"/>
        </w:rPr>
        <w:t xml:space="preserve">N. gonorrhoeae</w:t>
      </w:r>
      <w:r w:rsidDel="00000000" w:rsidR="00000000" w:rsidRPr="00000000">
        <w:rPr>
          <w:rFonts w:ascii="Times New Roman" w:cs="Times New Roman" w:eastAsia="Times New Roman" w:hAnsi="Times New Roman"/>
          <w:sz w:val="28"/>
          <w:szCs w:val="28"/>
          <w:rtl w:val="0"/>
        </w:rPr>
        <w:t xml:space="preserve">, что делает их отслеживание критически важным для контроля. Надеемся, наш пайплайн позволит оперативно выявлять новые штаммы, отслеживать пути их распространения и прогнозировать развитие резистентности, существенно повышая эффективность контроля над заболеванием.</w:t>
      </w:r>
    </w:p>
    <w:p w:rsidR="00000000" w:rsidDel="00000000" w:rsidP="00000000" w:rsidRDefault="00000000" w:rsidRPr="00000000" w14:paraId="00000013">
      <w:pPr>
        <w:pStyle w:val="Heading2"/>
        <w:spacing w:after="240" w:before="240" w:line="360" w:lineRule="auto"/>
        <w:ind w:firstLine="720"/>
        <w:jc w:val="both"/>
        <w:rPr/>
      </w:pPr>
      <w:bookmarkStart w:colFirst="0" w:colLast="0" w:name="_yiph2074i7ml" w:id="3"/>
      <w:bookmarkEnd w:id="3"/>
      <w:r w:rsidDel="00000000" w:rsidR="00000000" w:rsidRPr="00000000">
        <w:rPr>
          <w:rFonts w:ascii="Times New Roman" w:cs="Times New Roman" w:eastAsia="Times New Roman" w:hAnsi="Times New Roman"/>
          <w:b w:val="1"/>
          <w:rtl w:val="0"/>
        </w:rPr>
        <w:t xml:space="preserve">МАТЕРИАЛЫ И МЕТОДЫ</w:t>
      </w:r>
      <w:r w:rsidDel="00000000" w:rsidR="00000000" w:rsidRPr="00000000">
        <w:rPr>
          <w:rtl w:val="0"/>
        </w:rPr>
      </w:r>
    </w:p>
    <w:p w:rsidR="00000000" w:rsidDel="00000000" w:rsidP="00000000" w:rsidRDefault="00000000" w:rsidRPr="00000000" w14:paraId="00000014">
      <w:pPr>
        <w:pStyle w:val="Heading3"/>
        <w:keepNext w:val="0"/>
        <w:keepLines w:val="0"/>
        <w:spacing w:after="40" w:before="240" w:lineRule="auto"/>
        <w:ind w:firstLine="720"/>
        <w:rPr>
          <w:rFonts w:ascii="Times New Roman" w:cs="Times New Roman" w:eastAsia="Times New Roman" w:hAnsi="Times New Roman"/>
        </w:rPr>
      </w:pPr>
      <w:bookmarkStart w:colFirst="0" w:colLast="0" w:name="_llo775a5dn3j" w:id="4"/>
      <w:bookmarkEnd w:id="4"/>
      <w:r w:rsidDel="00000000" w:rsidR="00000000" w:rsidRPr="00000000">
        <w:rPr>
          <w:rFonts w:ascii="Times New Roman" w:cs="Times New Roman" w:eastAsia="Times New Roman" w:hAnsi="Times New Roman"/>
          <w:rtl w:val="0"/>
        </w:rPr>
        <w:t xml:space="preserve">1. Характеристика и получение геномных данных</w:t>
      </w:r>
    </w:p>
    <w:p w:rsidR="00000000" w:rsidDel="00000000" w:rsidP="00000000" w:rsidRDefault="00000000" w:rsidRPr="00000000" w14:paraId="00000015">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качестве исходных данных использовалась коллекция из 29 референсных штаммов </w:t>
      </w:r>
      <w:r w:rsidDel="00000000" w:rsidR="00000000" w:rsidRPr="00000000">
        <w:rPr>
          <w:rFonts w:ascii="Times New Roman" w:cs="Times New Roman" w:eastAsia="Times New Roman" w:hAnsi="Times New Roman"/>
          <w:i w:val="1"/>
          <w:sz w:val="28"/>
          <w:szCs w:val="28"/>
          <w:rtl w:val="0"/>
        </w:rPr>
        <w:t xml:space="preserve">N. gonorrhoeae</w:t>
      </w:r>
      <w:r w:rsidDel="00000000" w:rsidR="00000000" w:rsidRPr="00000000">
        <w:rPr>
          <w:rFonts w:ascii="Times New Roman" w:cs="Times New Roman" w:eastAsia="Times New Roman" w:hAnsi="Times New Roman"/>
          <w:sz w:val="28"/>
          <w:szCs w:val="28"/>
          <w:rtl w:val="0"/>
        </w:rPr>
        <w:t xml:space="preserve">, утверждённая ВОЗ в 2024 г [</w:t>
      </w:r>
      <w:hyperlink r:id="rId25">
        <w:r w:rsidDel="00000000" w:rsidR="00000000" w:rsidRPr="00000000">
          <w:rPr>
            <w:rFonts w:ascii="Times New Roman" w:cs="Times New Roman" w:eastAsia="Times New Roman" w:hAnsi="Times New Roman"/>
            <w:color w:val="1155cc"/>
            <w:sz w:val="28"/>
            <w:szCs w:val="28"/>
            <w:u w:val="single"/>
            <w:rtl w:val="0"/>
          </w:rPr>
          <w:t xml:space="preserve">https://doi.org/10.1093/jac/dkae176</w:t>
        </w:r>
      </w:hyperlink>
      <w:r w:rsidDel="00000000" w:rsidR="00000000" w:rsidRPr="00000000">
        <w:rPr>
          <w:rFonts w:ascii="Times New Roman" w:cs="Times New Roman" w:eastAsia="Times New Roman" w:hAnsi="Times New Roman"/>
          <w:sz w:val="28"/>
          <w:szCs w:val="28"/>
          <w:rtl w:val="0"/>
        </w:rPr>
        <w:t xml:space="preserve"> ]. Коллекция охватывает основные фенотипы и генотипы резистентности, включая клон FC428 (penA-60.001) и мозаичные варианты системы MtrRCDE. Все геномы получены с применением PacBio/Nanopore и последующей коррекцией Illumina, что гарантирует высокое качество сборки.</w:t>
      </w:r>
    </w:p>
    <w:p w:rsidR="00000000" w:rsidDel="00000000" w:rsidP="00000000" w:rsidRDefault="00000000" w:rsidRPr="00000000" w14:paraId="00000016">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Преимущества данной выборки:</w:t>
      </w:r>
    </w:p>
    <w:p w:rsidR="00000000" w:rsidDel="00000000" w:rsidP="00000000" w:rsidRDefault="00000000" w:rsidRPr="00000000" w14:paraId="00000017">
      <w:pPr>
        <w:numPr>
          <w:ilvl w:val="0"/>
          <w:numId w:val="4"/>
        </w:numPr>
        <w:spacing w:after="0" w:afterAutospacing="0" w:before="240" w:line="36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Контролируемое разнообразие.</w:t>
      </w:r>
      <w:r w:rsidDel="00000000" w:rsidR="00000000" w:rsidRPr="00000000">
        <w:rPr>
          <w:rFonts w:ascii="Times New Roman" w:cs="Times New Roman" w:eastAsia="Times New Roman" w:hAnsi="Times New Roman"/>
          <w:sz w:val="28"/>
          <w:szCs w:val="28"/>
          <w:rtl w:val="0"/>
        </w:rPr>
        <w:t xml:space="preserve"> Штаммы отобраны для репрезентации глобальных клонов, в том числе экстремально резистентных.</w:t>
      </w:r>
    </w:p>
    <w:p w:rsidR="00000000" w:rsidDel="00000000" w:rsidP="00000000" w:rsidRDefault="00000000" w:rsidRPr="00000000" w14:paraId="00000018">
      <w:pPr>
        <w:numPr>
          <w:ilvl w:val="0"/>
          <w:numId w:val="4"/>
        </w:numPr>
        <w:spacing w:after="0" w:afterAutospacing="0" w:before="0" w:beforeAutospacing="0" w:line="36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Полнота аннотации.</w:t>
      </w:r>
      <w:r w:rsidDel="00000000" w:rsidR="00000000" w:rsidRPr="00000000">
        <w:rPr>
          <w:rFonts w:ascii="Times New Roman" w:cs="Times New Roman" w:eastAsia="Times New Roman" w:hAnsi="Times New Roman"/>
          <w:sz w:val="28"/>
          <w:szCs w:val="28"/>
          <w:rtl w:val="0"/>
        </w:rPr>
        <w:t xml:space="preserve"> Доступны точные фенотипы чувствительности и геномные маркеры (blaTEM, tetM, 23S rRNA A2059G/C2611T, gyrA S91F/D95G и др.).</w:t>
      </w:r>
    </w:p>
    <w:p w:rsidR="00000000" w:rsidDel="00000000" w:rsidP="00000000" w:rsidRDefault="00000000" w:rsidRPr="00000000" w14:paraId="00000019">
      <w:pPr>
        <w:numPr>
          <w:ilvl w:val="0"/>
          <w:numId w:val="4"/>
        </w:numPr>
        <w:spacing w:after="0" w:afterAutospacing="0" w:before="0" w:beforeAutospacing="0" w:line="36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Репрезентативность без избыточности.</w:t>
      </w:r>
      <w:r w:rsidDel="00000000" w:rsidR="00000000" w:rsidRPr="00000000">
        <w:rPr>
          <w:rFonts w:ascii="Times New Roman" w:cs="Times New Roman" w:eastAsia="Times New Roman" w:hAnsi="Times New Roman"/>
          <w:sz w:val="28"/>
          <w:szCs w:val="28"/>
          <w:rtl w:val="0"/>
        </w:rPr>
        <w:t xml:space="preserve"> В отличие от открытых репозиториев, коллекция исключает дублирование и технические артефакты.</w:t>
      </w:r>
    </w:p>
    <w:p w:rsidR="00000000" w:rsidDel="00000000" w:rsidP="00000000" w:rsidRDefault="00000000" w:rsidRPr="00000000" w14:paraId="0000001A">
      <w:pPr>
        <w:numPr>
          <w:ilvl w:val="0"/>
          <w:numId w:val="4"/>
        </w:numPr>
        <w:spacing w:after="240" w:before="0" w:beforeAutospacing="0" w:line="36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Стандартизация.</w:t>
      </w:r>
      <w:r w:rsidDel="00000000" w:rsidR="00000000" w:rsidRPr="00000000">
        <w:rPr>
          <w:rFonts w:ascii="Times New Roman" w:cs="Times New Roman" w:eastAsia="Times New Roman" w:hAnsi="Times New Roman"/>
          <w:sz w:val="28"/>
          <w:szCs w:val="28"/>
          <w:rtl w:val="0"/>
        </w:rPr>
        <w:t xml:space="preserve"> Штаммы используются в программах GASP и EGASP, обеспечивая сопоставимость результатов.</w:t>
      </w:r>
      <w:r w:rsidDel="00000000" w:rsidR="00000000" w:rsidRPr="00000000">
        <w:rPr>
          <w:rtl w:val="0"/>
        </w:rPr>
      </w:r>
    </w:p>
    <w:p w:rsidR="00000000" w:rsidDel="00000000" w:rsidP="00000000" w:rsidRDefault="00000000" w:rsidRPr="00000000" w14:paraId="0000001B">
      <w:pPr>
        <w:spacing w:after="240" w:before="24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Выборка включает 15 новых (2024 г.) и 14 исторических референсных штаммов, что гарантирует временную и географическую репрезентативность. Метаданные содержат информацию о месте и времени выделения, профили MLST, NG-MAST и NG-STAR, облегчая сопоставление с традиционными методами типирования.</w:t>
      </w:r>
    </w:p>
    <w:p w:rsidR="00000000" w:rsidDel="00000000" w:rsidP="00000000" w:rsidRDefault="00000000" w:rsidRPr="00000000" w14:paraId="0000001C">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Полные и хромосомные сборки </w:t>
      </w:r>
      <w:r w:rsidDel="00000000" w:rsidR="00000000" w:rsidRPr="00000000">
        <w:rPr>
          <w:rFonts w:ascii="Times New Roman" w:cs="Times New Roman" w:eastAsia="Times New Roman" w:hAnsi="Times New Roman"/>
          <w:i w:val="1"/>
          <w:sz w:val="28"/>
          <w:szCs w:val="28"/>
          <w:rtl w:val="0"/>
        </w:rPr>
        <w:t xml:space="preserve">N. gonorrhoeae</w:t>
      </w:r>
      <w:r w:rsidDel="00000000" w:rsidR="00000000" w:rsidRPr="00000000">
        <w:rPr>
          <w:rFonts w:ascii="Times New Roman" w:cs="Times New Roman" w:eastAsia="Times New Roman" w:hAnsi="Times New Roman"/>
          <w:sz w:val="28"/>
          <w:szCs w:val="28"/>
          <w:rtl w:val="0"/>
        </w:rPr>
        <w:t xml:space="preserve"> извлекали из RefSeq [</w:t>
      </w:r>
      <w:hyperlink r:id="rId26">
        <w:r w:rsidDel="00000000" w:rsidR="00000000" w:rsidRPr="00000000">
          <w:rPr>
            <w:rFonts w:ascii="Times New Roman" w:cs="Times New Roman" w:eastAsia="Times New Roman" w:hAnsi="Times New Roman"/>
            <w:color w:val="1155cc"/>
            <w:sz w:val="28"/>
            <w:szCs w:val="28"/>
            <w:u w:val="single"/>
            <w:rtl w:val="0"/>
          </w:rPr>
          <w:t xml:space="preserve">https://www.ncbi.nlm.nih.gov/</w:t>
        </w:r>
      </w:hyperlink>
      <w:r w:rsidDel="00000000" w:rsidR="00000000" w:rsidRPr="00000000">
        <w:rPr>
          <w:rFonts w:ascii="Times New Roman" w:cs="Times New Roman" w:eastAsia="Times New Roman" w:hAnsi="Times New Roman"/>
          <w:sz w:val="28"/>
          <w:szCs w:val="28"/>
          <w:rtl w:val="0"/>
        </w:rPr>
        <w:t xml:space="preserve"> ] утилитой </w:t>
      </w:r>
      <w:r w:rsidDel="00000000" w:rsidR="00000000" w:rsidRPr="00000000">
        <w:rPr>
          <w:rFonts w:ascii="Times New Roman" w:cs="Times New Roman" w:eastAsia="Times New Roman" w:hAnsi="Times New Roman"/>
          <w:b w:val="1"/>
          <w:sz w:val="28"/>
          <w:szCs w:val="28"/>
          <w:rtl w:val="0"/>
        </w:rPr>
        <w:t xml:space="preserve">ncbi-genome-download</w:t>
      </w:r>
      <w:r w:rsidDel="00000000" w:rsidR="00000000" w:rsidRPr="00000000">
        <w:rPr>
          <w:rFonts w:ascii="Times New Roman" w:cs="Times New Roman" w:eastAsia="Times New Roman" w:hAnsi="Times New Roman"/>
          <w:sz w:val="28"/>
          <w:szCs w:val="28"/>
          <w:rtl w:val="0"/>
        </w:rPr>
        <w:t xml:space="preserve"> с уровнем «complete/chromosome» и форматами GenBank + CDS-FASTA. Из общего списка отфильтровали 29 референсных изолятов серии WHO-2024; дубли исторических штаммов (идентичные клоны, помеченные «_2024») удаляли регулярным фильтром. Для каждой сборки из файла </w:t>
      </w:r>
      <w:r w:rsidDel="00000000" w:rsidR="00000000" w:rsidRPr="00000000">
        <w:rPr>
          <w:rFonts w:ascii="Times New Roman" w:cs="Times New Roman" w:eastAsia="Times New Roman" w:hAnsi="Times New Roman"/>
          <w:i w:val="1"/>
          <w:sz w:val="28"/>
          <w:szCs w:val="28"/>
          <w:rtl w:val="0"/>
        </w:rPr>
        <w:t xml:space="preserve">assembly_summary</w:t>
      </w:r>
      <w:r w:rsidDel="00000000" w:rsidR="00000000" w:rsidRPr="00000000">
        <w:rPr>
          <w:rFonts w:ascii="Times New Roman" w:cs="Times New Roman" w:eastAsia="Times New Roman" w:hAnsi="Times New Roman"/>
          <w:sz w:val="28"/>
          <w:szCs w:val="28"/>
          <w:rtl w:val="0"/>
        </w:rPr>
        <w:t xml:space="preserve"> автоматически извлекали идентификаторы BioSample и названия штаммов; эти метаданные добавляли в заголовки CDS-последовательностей собственным скриптом на основе Biopython.</w:t>
      </w:r>
    </w:p>
    <w:p w:rsidR="00000000" w:rsidDel="00000000" w:rsidP="00000000" w:rsidRDefault="00000000" w:rsidRPr="00000000" w14:paraId="0000001D">
      <w:pPr>
        <w:pStyle w:val="Heading3"/>
        <w:keepNext w:val="0"/>
        <w:keepLines w:val="0"/>
        <w:spacing w:after="40" w:before="240" w:lineRule="auto"/>
        <w:ind w:firstLine="720"/>
        <w:rPr/>
      </w:pPr>
      <w:bookmarkStart w:colFirst="0" w:colLast="0" w:name="_ys2xn88hwidx" w:id="5"/>
      <w:bookmarkEnd w:id="5"/>
      <w:r w:rsidDel="00000000" w:rsidR="00000000" w:rsidRPr="00000000">
        <w:rPr>
          <w:rFonts w:ascii="Times New Roman" w:cs="Times New Roman" w:eastAsia="Times New Roman" w:hAnsi="Times New Roman"/>
          <w:rtl w:val="0"/>
        </w:rPr>
        <w:t xml:space="preserve">2. Определение ортологов и выравнивание</w:t>
      </w:r>
      <w:r w:rsidDel="00000000" w:rsidR="00000000" w:rsidRPr="00000000">
        <w:rPr>
          <w:rtl w:val="0"/>
        </w:rPr>
      </w:r>
    </w:p>
    <w:p w:rsidR="00000000" w:rsidDel="00000000" w:rsidP="00000000" w:rsidRDefault="00000000" w:rsidRPr="00000000" w14:paraId="0000001E">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скачанных CDS данных определялись последовательности однокопийных ортогрупп с использованием </w:t>
      </w:r>
      <w:r w:rsidDel="00000000" w:rsidR="00000000" w:rsidRPr="00000000">
        <w:rPr>
          <w:rFonts w:ascii="Times New Roman" w:cs="Times New Roman" w:eastAsia="Times New Roman" w:hAnsi="Times New Roman"/>
          <w:b w:val="1"/>
          <w:sz w:val="28"/>
          <w:szCs w:val="28"/>
          <w:rtl w:val="0"/>
        </w:rPr>
        <w:t xml:space="preserve">OrthoFinder v2.5.5 </w:t>
      </w:r>
      <w:r w:rsidDel="00000000" w:rsidR="00000000" w:rsidRPr="00000000">
        <w:rPr>
          <w:rFonts w:ascii="Times New Roman" w:cs="Times New Roman" w:eastAsia="Times New Roman" w:hAnsi="Times New Roman"/>
          <w:sz w:val="28"/>
          <w:szCs w:val="28"/>
          <w:rtl w:val="0"/>
        </w:rPr>
        <w:t xml:space="preserve">[</w:t>
      </w:r>
      <w:hyperlink r:id="rId27">
        <w:r w:rsidDel="00000000" w:rsidR="00000000" w:rsidRPr="00000000">
          <w:rPr>
            <w:rFonts w:ascii="Times New Roman" w:cs="Times New Roman" w:eastAsia="Times New Roman" w:hAnsi="Times New Roman"/>
            <w:color w:val="1155cc"/>
            <w:sz w:val="28"/>
            <w:szCs w:val="28"/>
            <w:u w:val="single"/>
            <w:rtl w:val="0"/>
          </w:rPr>
          <w:t xml:space="preserve">https://github.com/davidemms/OrthoFinder</w:t>
        </w:r>
      </w:hyperlink>
      <w:r w:rsidDel="00000000" w:rsidR="00000000" w:rsidRPr="00000000">
        <w:rPr>
          <w:rFonts w:ascii="Times New Roman" w:cs="Times New Roman" w:eastAsia="Times New Roman" w:hAnsi="Times New Roman"/>
          <w:sz w:val="28"/>
          <w:szCs w:val="28"/>
          <w:rtl w:val="0"/>
        </w:rPr>
        <w:t xml:space="preserve"> ] (режим </w:t>
      </w:r>
      <w:r w:rsidDel="00000000" w:rsidR="00000000" w:rsidRPr="00000000">
        <w:rPr>
          <w:rFonts w:ascii="Times New Roman" w:cs="Times New Roman" w:eastAsia="Times New Roman" w:hAnsi="Times New Roman"/>
          <w:color w:val="188038"/>
          <w:sz w:val="28"/>
          <w:szCs w:val="28"/>
          <w:rtl w:val="0"/>
        </w:rPr>
        <w:t xml:space="preserve">--dna</w:t>
      </w:r>
      <w:r w:rsidDel="00000000" w:rsidR="00000000" w:rsidRPr="00000000">
        <w:rPr>
          <w:rFonts w:ascii="Times New Roman" w:cs="Times New Roman" w:eastAsia="Times New Roman" w:hAnsi="Times New Roman"/>
          <w:sz w:val="28"/>
          <w:szCs w:val="28"/>
          <w:rtl w:val="0"/>
        </w:rPr>
        <w:t xml:space="preserve">); полученные последовательности далее использовались для филогенетического анализа. Внутри каждой отдельной ортогруппы проводилось выравнивание  с использованием програмного пакета </w:t>
      </w:r>
      <w:r w:rsidDel="00000000" w:rsidR="00000000" w:rsidRPr="00000000">
        <w:rPr>
          <w:rFonts w:ascii="Times New Roman" w:cs="Times New Roman" w:eastAsia="Times New Roman" w:hAnsi="Times New Roman"/>
          <w:sz w:val="28"/>
          <w:szCs w:val="28"/>
          <w:rtl w:val="0"/>
        </w:rPr>
        <w:t xml:space="preserve">MAFFT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v7.525</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(режим </w:t>
      </w:r>
      <w:r w:rsidDel="00000000" w:rsidR="00000000" w:rsidRPr="00000000">
        <w:rPr>
          <w:rFonts w:ascii="Times New Roman" w:cs="Times New Roman" w:eastAsia="Times New Roman" w:hAnsi="Times New Roman"/>
          <w:color w:val="188038"/>
          <w:sz w:val="28"/>
          <w:szCs w:val="28"/>
          <w:rtl w:val="0"/>
        </w:rPr>
        <w:t xml:space="preserve">--auto</w:t>
      </w:r>
      <w:r w:rsidDel="00000000" w:rsidR="00000000" w:rsidRPr="00000000">
        <w:rPr>
          <w:rFonts w:ascii="Times New Roman" w:cs="Times New Roman" w:eastAsia="Times New Roman" w:hAnsi="Times New Roman"/>
          <w:sz w:val="28"/>
          <w:szCs w:val="28"/>
          <w:rtl w:val="0"/>
        </w:rPr>
        <w:t xml:space="preserve">) [</w:t>
      </w:r>
      <w:hyperlink r:id="rId28">
        <w:r w:rsidDel="00000000" w:rsidR="00000000" w:rsidRPr="00000000">
          <w:rPr>
            <w:rFonts w:ascii="Times New Roman" w:cs="Times New Roman" w:eastAsia="Times New Roman" w:hAnsi="Times New Roman"/>
            <w:color w:val="1155cc"/>
            <w:sz w:val="28"/>
            <w:szCs w:val="28"/>
            <w:u w:val="single"/>
            <w:rtl w:val="0"/>
          </w:rPr>
          <w:t xml:space="preserve">https://mafft.cbrc.jp/alignment/software/</w:t>
        </w:r>
      </w:hyperlink>
      <w:r w:rsidDel="00000000" w:rsidR="00000000" w:rsidRPr="00000000">
        <w:rPr>
          <w:rFonts w:ascii="Times New Roman" w:cs="Times New Roman" w:eastAsia="Times New Roman" w:hAnsi="Times New Roman"/>
          <w:sz w:val="28"/>
          <w:szCs w:val="28"/>
          <w:rtl w:val="0"/>
        </w:rPr>
        <w:t xml:space="preserve">] и рассчитывалась средняя энтропия Шеннона, а также другие метрики характеризующие вариабельность ортогруппы.</w:t>
      </w:r>
    </w:p>
    <w:p w:rsidR="00000000" w:rsidDel="00000000" w:rsidP="00000000" w:rsidRDefault="00000000" w:rsidRPr="00000000" w14:paraId="0000001F">
      <w:pPr>
        <w:pStyle w:val="Heading3"/>
        <w:keepNext w:val="0"/>
        <w:keepLines w:val="0"/>
        <w:spacing w:after="40" w:before="240" w:lineRule="auto"/>
        <w:ind w:firstLine="720"/>
        <w:rPr/>
      </w:pPr>
      <w:bookmarkStart w:colFirst="0" w:colLast="0" w:name="_e1snkscofzi5" w:id="6"/>
      <w:bookmarkEnd w:id="6"/>
      <w:r w:rsidDel="00000000" w:rsidR="00000000" w:rsidRPr="00000000">
        <w:rPr>
          <w:rFonts w:ascii="Times New Roman" w:cs="Times New Roman" w:eastAsia="Times New Roman" w:hAnsi="Times New Roman"/>
          <w:rtl w:val="0"/>
        </w:rPr>
        <w:t xml:space="preserve">3. Построение эталонной и вариативных филогенетических реконструкций</w:t>
      </w:r>
      <w:r w:rsidDel="00000000" w:rsidR="00000000" w:rsidRPr="00000000">
        <w:rPr>
          <w:rtl w:val="0"/>
        </w:rPr>
      </w:r>
    </w:p>
    <w:p w:rsidR="00000000" w:rsidDel="00000000" w:rsidP="00000000" w:rsidRDefault="00000000" w:rsidRPr="00000000" w14:paraId="00000020">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Эталонное дерево. </w:t>
      </w:r>
      <w:r w:rsidDel="00000000" w:rsidR="00000000" w:rsidRPr="00000000">
        <w:rPr>
          <w:rFonts w:ascii="Times New Roman" w:cs="Times New Roman" w:eastAsia="Times New Roman" w:hAnsi="Times New Roman"/>
          <w:sz w:val="28"/>
          <w:szCs w:val="28"/>
          <w:rtl w:val="0"/>
        </w:rPr>
        <w:t xml:space="preserve">Для оценки качества разработанной системы типирования мы построили эталонное филогенетическое дерево на основании всех одно́кратных ортогрупп, выявленных с помощью OrthoFinder (1776 генов). Нуклеотидные последовательности этих групп были конкатенированы для каждого штамма, после чего дерево реконструировали в IQ-TREE2 методом максимального правдоподобия с автовыбором модели эволюции (MFP), параметрами HKY+F+G4 и 1000 итерациями Ultrafast‑bootstrap. [</w:t>
      </w:r>
      <w:hyperlink r:id="rId29">
        <w:r w:rsidDel="00000000" w:rsidR="00000000" w:rsidRPr="00000000">
          <w:rPr>
            <w:rFonts w:ascii="Times New Roman" w:cs="Times New Roman" w:eastAsia="Times New Roman" w:hAnsi="Times New Roman"/>
            <w:color w:val="1155cc"/>
            <w:sz w:val="28"/>
            <w:szCs w:val="28"/>
            <w:u w:val="single"/>
            <w:rtl w:val="0"/>
          </w:rPr>
          <w:t xml:space="preserve">https://doi.org/10.1093/molbev/msaa015</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1">
      <w:pPr>
        <w:pStyle w:val="Heading3"/>
        <w:spacing w:after="240" w:before="240" w:lineRule="auto"/>
        <w:ind w:firstLine="720"/>
        <w:rPr>
          <w:rFonts w:ascii="Times New Roman" w:cs="Times New Roman" w:eastAsia="Times New Roman" w:hAnsi="Times New Roman"/>
        </w:rPr>
      </w:pPr>
      <w:bookmarkStart w:colFirst="0" w:colLast="0" w:name="_vcbnvvsxavg7" w:id="7"/>
      <w:bookmarkEnd w:id="7"/>
      <w:r w:rsidDel="00000000" w:rsidR="00000000" w:rsidRPr="00000000">
        <w:rPr>
          <w:rFonts w:ascii="Times New Roman" w:cs="Times New Roman" w:eastAsia="Times New Roman" w:hAnsi="Times New Roman"/>
          <w:rtl w:val="0"/>
        </w:rPr>
        <w:t xml:space="preserve"> 4. Эвристический подбор генов</w:t>
      </w:r>
    </w:p>
    <w:p w:rsidR="00000000" w:rsidDel="00000000" w:rsidP="00000000" w:rsidRDefault="00000000" w:rsidRPr="00000000" w14:paraId="00000022">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Пошаговая проверка вариабельных локусов.</w:t>
      </w:r>
      <w:r w:rsidDel="00000000" w:rsidR="00000000" w:rsidRPr="00000000">
        <w:rPr>
          <w:rFonts w:ascii="Times New Roman" w:cs="Times New Roman" w:eastAsia="Times New Roman" w:hAnsi="Times New Roman"/>
          <w:sz w:val="28"/>
          <w:szCs w:val="28"/>
          <w:rtl w:val="0"/>
        </w:rPr>
        <w:t xml:space="preserve"> Из ранжированного списка последовательно формировали наборы из 1…N наиболее вариабельных генов, конкатенировали их и для каждого набора строили дерево тем же протоколом; стабильность топологии оценивали по Robinson–Foulds-дистанции  (RF) относительно эталона, а также независимой метрике - среднего bootstrap для дерева.</w:t>
      </w:r>
    </w:p>
    <w:p w:rsidR="00000000" w:rsidDel="00000000" w:rsidP="00000000" w:rsidRDefault="00000000" w:rsidRPr="00000000" w14:paraId="00000023">
      <w:pPr>
        <w:spacing w:after="240" w:before="24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Метрика Robinson–Foulds (RF).</w:t>
        <w:br w:type="textWrapping"/>
      </w:r>
      <w:r w:rsidDel="00000000" w:rsidR="00000000" w:rsidRPr="00000000">
        <w:rPr>
          <w:rFonts w:ascii="Times New Roman" w:cs="Times New Roman" w:eastAsia="Times New Roman" w:hAnsi="Times New Roman"/>
          <w:sz w:val="28"/>
          <w:szCs w:val="28"/>
          <w:rtl w:val="0"/>
        </w:rPr>
        <w:t xml:space="preserve"> </w:t>
        <w:tab/>
        <w:t xml:space="preserve">RF-дистанция измеряет симметричное различие между двумя нефрактурированными (unrooted) деревьями: это число бифуркационных разрезов («splits»), присутствующих только в одном из сравниваемых деревьев. Для двух </w:t>
      </w:r>
      <w:r w:rsidDel="00000000" w:rsidR="00000000" w:rsidRPr="00000000">
        <w:rPr>
          <w:rFonts w:ascii="Times New Roman" w:cs="Times New Roman" w:eastAsia="Times New Roman" w:hAnsi="Times New Roman"/>
          <w:b w:val="1"/>
          <w:sz w:val="28"/>
          <w:szCs w:val="28"/>
          <w:rtl w:val="0"/>
        </w:rPr>
        <w:t xml:space="preserve">идентичных</w:t>
      </w:r>
      <w:r w:rsidDel="00000000" w:rsidR="00000000" w:rsidRPr="00000000">
        <w:rPr>
          <w:rFonts w:ascii="Times New Roman" w:cs="Times New Roman" w:eastAsia="Times New Roman" w:hAnsi="Times New Roman"/>
          <w:sz w:val="28"/>
          <w:szCs w:val="28"/>
          <w:rtl w:val="0"/>
        </w:rPr>
        <w:t xml:space="preserve"> топологий RF = 0; если же клады не совпадают вовсе, RF достигает максимума, рассчитывается по формуле 1.</w:t>
      </w:r>
    </w:p>
    <w:p w:rsidR="00000000" w:rsidDel="00000000" w:rsidP="00000000" w:rsidRDefault="00000000" w:rsidRPr="00000000" w14:paraId="00000024">
      <w:pPr>
        <w:spacing w:after="240" w:before="240" w:lineRule="auto"/>
        <w:jc w:val="right"/>
        <w:rPr>
          <w:sz w:val="28"/>
          <w:szCs w:val="28"/>
        </w:rPr>
      </w:pPr>
      <m:oMath>
        <m:sSub>
          <m:sSubPr>
            <m:ctrlPr>
              <w:rPr>
                <w:sz w:val="28"/>
                <w:szCs w:val="28"/>
              </w:rPr>
            </m:ctrlPr>
          </m:sSubPr>
          <m:e>
            <m:sSub>
              <m:sSubPr>
                <m:ctrlPr>
                  <w:rPr>
                    <w:sz w:val="28"/>
                    <w:szCs w:val="28"/>
                  </w:rPr>
                </m:ctrlPr>
              </m:sSubPr>
              <m:e>
                <m:r>
                  <w:rPr>
                    <w:sz w:val="28"/>
                    <w:szCs w:val="28"/>
                  </w:rPr>
                  <m:t xml:space="preserve">RF</m:t>
                </m:r>
              </m:e>
              <m:sub>
                <m:r>
                  <w:rPr>
                    <w:sz w:val="28"/>
                    <w:szCs w:val="28"/>
                  </w:rPr>
                  <m:t xml:space="preserve">max</m:t>
                </m:r>
              </m:sub>
            </m:sSub>
            <m:r>
              <w:rPr>
                <w:sz w:val="28"/>
                <w:szCs w:val="28"/>
              </w:rPr>
              <m:t xml:space="preserve"> = 2 (n - 3)</m:t>
            </m:r>
          </m:e>
          <m:sub/>
        </m:sSub>
      </m:oMath>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(1)</w:t>
      </w:r>
      <w:r w:rsidDel="00000000" w:rsidR="00000000" w:rsidRPr="00000000">
        <w:rPr>
          <w:sz w:val="28"/>
          <w:szCs w:val="28"/>
          <w:rtl w:val="0"/>
        </w:rPr>
        <w:t xml:space="preserve"> </w:t>
      </w:r>
    </w:p>
    <w:p w:rsidR="00000000" w:rsidDel="00000000" w:rsidP="00000000" w:rsidRDefault="00000000" w:rsidRPr="00000000" w14:paraId="00000025">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 число листьев. При </w:t>
      </w:r>
      <w:r w:rsidDel="00000000" w:rsidR="00000000" w:rsidRPr="00000000">
        <w:rPr>
          <w:rFonts w:ascii="Times New Roman" w:cs="Times New Roman" w:eastAsia="Times New Roman" w:hAnsi="Times New Roman"/>
          <w:i w:val="1"/>
          <w:sz w:val="28"/>
          <w:szCs w:val="28"/>
          <w:rtl w:val="0"/>
        </w:rPr>
        <w:t xml:space="preserve">n = 29</w:t>
      </w:r>
      <w:r w:rsidDel="00000000" w:rsidR="00000000" w:rsidRPr="00000000">
        <w:rPr>
          <w:rFonts w:ascii="Times New Roman" w:cs="Times New Roman" w:eastAsia="Times New Roman" w:hAnsi="Times New Roman"/>
          <w:sz w:val="28"/>
          <w:szCs w:val="28"/>
          <w:rtl w:val="0"/>
        </w:rPr>
        <w:t xml:space="preserve"> штаммах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RF</m:t>
            </m:r>
          </m:e>
          <m:sub>
            <m:r>
              <w:rPr>
                <w:rFonts w:ascii="Times New Roman" w:cs="Times New Roman" w:eastAsia="Times New Roman" w:hAnsi="Times New Roman"/>
                <w:sz w:val="28"/>
                <w:szCs w:val="28"/>
              </w:rPr>
              <m:t xml:space="preserve">max</m:t>
            </m:r>
          </m:sub>
        </m:sSub>
        <m:r>
          <w:rPr>
            <w:rFonts w:ascii="Times New Roman" w:cs="Times New Roman" w:eastAsia="Times New Roman" w:hAnsi="Times New Roman"/>
            <w:sz w:val="28"/>
            <w:szCs w:val="28"/>
          </w:rPr>
          <m:t xml:space="preserve"> = 2 (29 - 3) = 52</m:t>
        </m:r>
      </m:oMath>
      <w:r w:rsidDel="00000000" w:rsidR="00000000" w:rsidRPr="00000000">
        <w:rPr>
          <w:rFonts w:ascii="Times New Roman" w:cs="Times New Roman" w:eastAsia="Times New Roman" w:hAnsi="Times New Roman"/>
          <w:sz w:val="28"/>
          <w:szCs w:val="28"/>
          <w:rtl w:val="0"/>
        </w:rPr>
        <w:t xml:space="preserve">. В работе дополнительно используем </w:t>
      </w:r>
      <w:r w:rsidDel="00000000" w:rsidR="00000000" w:rsidRPr="00000000">
        <w:rPr>
          <w:rFonts w:ascii="Times New Roman" w:cs="Times New Roman" w:eastAsia="Times New Roman" w:hAnsi="Times New Roman"/>
          <w:b w:val="1"/>
          <w:sz w:val="28"/>
          <w:szCs w:val="28"/>
          <w:rtl w:val="0"/>
        </w:rPr>
        <w:t xml:space="preserve">нормированное расстояние</w:t>
      </w:r>
      <w:r w:rsidDel="00000000" w:rsidR="00000000" w:rsidRPr="00000000">
        <w:rPr>
          <w:rFonts w:ascii="Times New Roman" w:cs="Times New Roman" w:eastAsia="Times New Roman" w:hAnsi="Times New Roman"/>
          <w:sz w:val="28"/>
          <w:szCs w:val="28"/>
          <w:rtl w:val="0"/>
        </w:rPr>
        <w:t xml:space="preserve">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RF</m:t>
            </m:r>
          </m:e>
          <m:sub>
            <m:r>
              <w:rPr>
                <w:rFonts w:ascii="Times New Roman" w:cs="Times New Roman" w:eastAsia="Times New Roman" w:hAnsi="Times New Roman"/>
                <w:sz w:val="28"/>
                <w:szCs w:val="28"/>
              </w:rPr>
              <m:t xml:space="preserve">norm</m:t>
            </m:r>
          </m:sub>
        </m:sSub>
        <m:r>
          <w:rPr>
            <w:rFonts w:ascii="Times New Roman" w:cs="Times New Roman" w:eastAsia="Times New Roman" w:hAnsi="Times New Roman"/>
            <w:sz w:val="28"/>
            <w:szCs w:val="28"/>
          </w:rPr>
          <m:t xml:space="preserve">=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RF</m:t>
            </m:r>
          </m:num>
          <m:den>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RF</m:t>
                </m:r>
              </m:e>
              <m:sub>
                <m:r>
                  <w:rPr>
                    <w:rFonts w:ascii="Times New Roman" w:cs="Times New Roman" w:eastAsia="Times New Roman" w:hAnsi="Times New Roman"/>
                    <w:sz w:val="28"/>
                    <w:szCs w:val="28"/>
                  </w:rPr>
                  <m:t xml:space="preserve">max</m:t>
                </m:r>
              </m:sub>
            </m:sSub>
          </m:den>
        </m:f>
        <m:r>
          <w:rPr>
            <w:rFonts w:ascii="Times New Roman" w:cs="Times New Roman" w:eastAsia="Times New Roman" w:hAnsi="Times New Roman"/>
            <w:sz w:val="28"/>
            <w:szCs w:val="28"/>
          </w:rPr>
          <m:t xml:space="preserve"> </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 [0;1]</m:t>
        </m:r>
      </m:oMath>
      <w:r w:rsidDel="00000000" w:rsidR="00000000" w:rsidRPr="00000000">
        <w:rPr>
          <w:rFonts w:ascii="Times New Roman" w:cs="Times New Roman" w:eastAsia="Times New Roman" w:hAnsi="Times New Roman"/>
          <w:sz w:val="28"/>
          <w:szCs w:val="28"/>
          <w:rtl w:val="0"/>
        </w:rPr>
        <w:t xml:space="preserve">. Значения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RF</m:t>
            </m:r>
          </m:e>
          <m:sub>
            <m:r>
              <w:rPr>
                <w:rFonts w:ascii="Times New Roman" w:cs="Times New Roman" w:eastAsia="Times New Roman" w:hAnsi="Times New Roman"/>
                <w:sz w:val="28"/>
                <w:szCs w:val="28"/>
              </w:rPr>
              <m:t xml:space="preserve">norm</m:t>
            </m:r>
          </m:sub>
        </m:sSub>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 0.20</m:t>
        </m:r>
      </m:oMath>
      <w:r w:rsidDel="00000000" w:rsidR="00000000" w:rsidRPr="00000000">
        <w:rPr>
          <w:rFonts w:ascii="Times New Roman" w:cs="Times New Roman" w:eastAsia="Times New Roman" w:hAnsi="Times New Roman"/>
          <w:sz w:val="28"/>
          <w:szCs w:val="28"/>
          <w:rtl w:val="0"/>
        </w:rPr>
        <w:t xml:space="preserve"> рассматриваются как «хорошее» совпадение топологий, а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RF</m:t>
            </m:r>
          </m:e>
          <m:sub>
            <m:r>
              <w:rPr>
                <w:rFonts w:ascii="Times New Roman" w:cs="Times New Roman" w:eastAsia="Times New Roman" w:hAnsi="Times New Roman"/>
                <w:sz w:val="28"/>
                <w:szCs w:val="28"/>
              </w:rPr>
              <m:t xml:space="preserve">norm</m:t>
            </m:r>
          </m:sub>
        </m:sSub>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 0.10</m:t>
        </m:r>
      </m:oMath>
      <w:r w:rsidDel="00000000" w:rsidR="00000000" w:rsidRPr="00000000">
        <w:rPr>
          <w:rFonts w:ascii="Times New Roman" w:cs="Times New Roman" w:eastAsia="Times New Roman" w:hAnsi="Times New Roman"/>
          <w:sz w:val="28"/>
          <w:szCs w:val="28"/>
          <w:rtl w:val="0"/>
        </w:rPr>
        <w:t xml:space="preserve"> — как практически не отличимое от эталона.</w:t>
      </w:r>
    </w:p>
    <w:p w:rsidR="00000000" w:rsidDel="00000000" w:rsidP="00000000" w:rsidRDefault="00000000" w:rsidRPr="00000000" w14:paraId="00000026">
      <w:pPr>
        <w:spacing w:after="240" w:before="240" w:lineRule="auto"/>
        <w:ind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Контрольные наборы «средней» вариабельности</w:t>
      </w:r>
    </w:p>
    <w:p w:rsidR="00000000" w:rsidDel="00000000" w:rsidP="00000000" w:rsidRDefault="00000000" w:rsidRPr="00000000" w14:paraId="00000027">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Помимо подпоследовательностей из </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наиболее вариабельных локусов, для проверки потенциального смещения в сторону гипервариабельных генов формировали эквивалентные наборы из </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ортогрупп, расположенных в окрестности медианного значения энтропии  (пять локусов выше и четыре ниже) [</w:t>
      </w:r>
      <w:hyperlink r:id="rId30">
        <w:r w:rsidDel="00000000" w:rsidR="00000000" w:rsidRPr="00000000">
          <w:rPr>
            <w:rFonts w:ascii="Times New Roman" w:cs="Times New Roman" w:eastAsia="Times New Roman" w:hAnsi="Times New Roman"/>
            <w:color w:val="1155cc"/>
            <w:sz w:val="28"/>
            <w:szCs w:val="28"/>
            <w:u w:val="single"/>
            <w:rtl w:val="0"/>
          </w:rPr>
          <w:t xml:space="preserve">https://doi.org/10.1186/1471-2164-14-879</w:t>
        </w:r>
      </w:hyperlink>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Процедура конкатенации, реконструкции деревьев (IQ-TREE, 1000 UFBoot) и расчёта нормированного RF-расхождения выполнялась идентично максимально вариабельным наборам, а среднее bootstrap-поддержки использовалось как дополнительный критерий стабильности. Эти контрольные результаты приведены в разделе «Результаты» параллельно с метриками для топ-вариабельных и ML-отобранных панелей.</w:t>
      </w:r>
    </w:p>
    <w:p w:rsidR="00000000" w:rsidDel="00000000" w:rsidP="00000000" w:rsidRDefault="00000000" w:rsidRPr="00000000" w14:paraId="00000028">
      <w:pPr>
        <w:pStyle w:val="Heading3"/>
        <w:spacing w:after="240" w:before="240" w:lineRule="auto"/>
        <w:ind w:firstLine="720"/>
        <w:rPr/>
      </w:pPr>
      <w:bookmarkStart w:colFirst="0" w:colLast="0" w:name="_s8ehsyc5fa03" w:id="8"/>
      <w:bookmarkEnd w:id="8"/>
      <w:r w:rsidDel="00000000" w:rsidR="00000000" w:rsidRPr="00000000">
        <w:rPr>
          <w:rFonts w:ascii="Times New Roman" w:cs="Times New Roman" w:eastAsia="Times New Roman" w:hAnsi="Times New Roman"/>
          <w:rtl w:val="0"/>
        </w:rPr>
        <w:t xml:space="preserve">5. ML-подход в подборе генов ( подготовка данных)</w:t>
      </w:r>
      <w:r w:rsidDel="00000000" w:rsidR="00000000" w:rsidRPr="00000000">
        <w:rPr>
          <w:rtl w:val="0"/>
        </w:rPr>
        <w:t xml:space="preserve">  </w:t>
      </w:r>
    </w:p>
    <w:p w:rsidR="00000000" w:rsidDel="00000000" w:rsidP="00000000" w:rsidRDefault="00000000" w:rsidRPr="00000000" w14:paraId="00000029">
      <w:pPr>
        <w:spacing w:after="240" w:before="240" w:lineRule="auto"/>
        <w:ind w:firstLine="720"/>
        <w:rPr>
          <w:i w:val="1"/>
        </w:rPr>
      </w:pPr>
      <w:r w:rsidDel="00000000" w:rsidR="00000000" w:rsidRPr="00000000">
        <w:rPr>
          <w:rFonts w:ascii="Times New Roman" w:cs="Times New Roman" w:eastAsia="Times New Roman" w:hAnsi="Times New Roman"/>
          <w:i w:val="1"/>
          <w:sz w:val="28"/>
          <w:szCs w:val="28"/>
          <w:rtl w:val="0"/>
        </w:rPr>
        <w:t xml:space="preserve">Генерация случайных комбинаций локусов, для тренировочной выборки</w:t>
      </w:r>
      <w:r w:rsidDel="00000000" w:rsidR="00000000" w:rsidRPr="00000000">
        <w:rPr>
          <w:i w:val="1"/>
          <w:rtl w:val="0"/>
        </w:rPr>
        <w:t xml:space="preserve"> </w:t>
      </w:r>
    </w:p>
    <w:p w:rsidR="00000000" w:rsidDel="00000000" w:rsidP="00000000" w:rsidRDefault="00000000" w:rsidRPr="00000000" w14:paraId="0000002A">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 200 наиболее вариабельных ортогрупп случайно формировали комбинации по четыре гена (три независимых повторения для каждого гена), пар и троек. Для каждой комбинации создавали конкатенированное выравнивание и генерировали дерево по IQ-TREE. Целевая переменная вычислялась, как нормированное RF-расхождение с эталонной филогенией рассчитывали при помощи ETE3 и независимая метрика оценки надежности дерева - средний бутстреп дерева.</w:t>
      </w:r>
    </w:p>
    <w:p w:rsidR="00000000" w:rsidDel="00000000" w:rsidP="00000000" w:rsidRDefault="00000000" w:rsidRPr="00000000" w14:paraId="0000002B">
      <w:pPr>
        <w:keepNext w:val="0"/>
        <w:keepLines w:val="0"/>
        <w:spacing w:after="40" w:before="240" w:lineRule="auto"/>
        <w:ind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Инженерия признаков для ортогрупп</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каждой ортогруппы вычислялось восемь количественных характеристик: </w:t>
      </w:r>
    </w:p>
    <w:p w:rsidR="00000000" w:rsidDel="00000000" w:rsidP="00000000" w:rsidRDefault="00000000" w:rsidRPr="00000000" w14:paraId="0000002D">
      <w:pPr>
        <w:numPr>
          <w:ilvl w:val="0"/>
          <w:numId w:val="5"/>
        </w:numPr>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Mean_Edit_Distance</w:t>
        <w:br w:type="textWrapping"/>
      </w:r>
      <w:r w:rsidDel="00000000" w:rsidR="00000000" w:rsidRPr="00000000">
        <w:rPr>
          <w:rFonts w:ascii="Times New Roman" w:cs="Times New Roman" w:eastAsia="Times New Roman" w:hAnsi="Times New Roman"/>
          <w:sz w:val="28"/>
          <w:szCs w:val="28"/>
          <w:rtl w:val="0"/>
        </w:rPr>
        <w:t xml:space="preserve"> Среднее число операций редактирования (замена, вставка, удаление), необходимых, чтобы превратить одну аллельную последовательность в другую. Чем выше значение, тем больше различий между аллелями.</w:t>
        <w:br w:type="textWrapping"/>
      </w:r>
    </w:p>
    <w:p w:rsidR="00000000" w:rsidDel="00000000" w:rsidP="00000000" w:rsidRDefault="00000000" w:rsidRPr="00000000" w14:paraId="0000002E">
      <w:pPr>
        <w:numPr>
          <w:ilvl w:val="0"/>
          <w:numId w:val="5"/>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TopK_Coverage </w:t>
        <w:br w:type="textWrapping"/>
      </w:r>
      <w:r w:rsidDel="00000000" w:rsidR="00000000" w:rsidRPr="00000000">
        <w:rPr>
          <w:rFonts w:ascii="Times New Roman" w:cs="Times New Roman" w:eastAsia="Times New Roman" w:hAnsi="Times New Roman"/>
          <w:sz w:val="28"/>
          <w:szCs w:val="28"/>
          <w:rtl w:val="0"/>
        </w:rPr>
        <w:t xml:space="preserve"> Доля штаммов (в процентах), охваченных K наиболее частыми аллелями. Например, если 3 самых распространённых аллели встречаются в 23% случаев – то TopK_Coverage =0.23.</w:t>
      </w:r>
    </w:p>
    <w:p w:rsidR="00000000" w:rsidDel="00000000" w:rsidP="00000000" w:rsidRDefault="00000000" w:rsidRPr="00000000" w14:paraId="0000002F">
      <w:pPr>
        <w:numPr>
          <w:ilvl w:val="0"/>
          <w:numId w:val="5"/>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Mean_Normalized_Levenshtein</w:t>
        <w:br w:type="textWrapping"/>
      </w:r>
      <w:r w:rsidDel="00000000" w:rsidR="00000000" w:rsidRPr="00000000">
        <w:rPr>
          <w:rFonts w:ascii="Times New Roman" w:cs="Times New Roman" w:eastAsia="Times New Roman" w:hAnsi="Times New Roman"/>
          <w:sz w:val="28"/>
          <w:szCs w:val="28"/>
          <w:rtl w:val="0"/>
        </w:rPr>
        <w:t xml:space="preserve"> Среднее значение расстояния Левенштейна между парами последовательностей, нормированное на их длину (от 0 до 1). 0 – идентичные, 1 – полностью разные.</w:t>
      </w:r>
    </w:p>
    <w:p w:rsidR="00000000" w:rsidDel="00000000" w:rsidP="00000000" w:rsidRDefault="00000000" w:rsidRPr="00000000" w14:paraId="00000030">
      <w:pPr>
        <w:numPr>
          <w:ilvl w:val="0"/>
          <w:numId w:val="5"/>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SNP_Density </w:t>
        <w:br w:type="textWrapping"/>
      </w:r>
      <w:r w:rsidDel="00000000" w:rsidR="00000000" w:rsidRPr="00000000">
        <w:rPr>
          <w:rFonts w:ascii="Times New Roman" w:cs="Times New Roman" w:eastAsia="Times New Roman" w:hAnsi="Times New Roman"/>
          <w:sz w:val="28"/>
          <w:szCs w:val="28"/>
          <w:rtl w:val="0"/>
        </w:rPr>
        <w:t xml:space="preserve"> Процент полиморфных позиций (однонуклеотидных замен) в последовательности по отношению к её общей длине.</w:t>
      </w:r>
    </w:p>
    <w:p w:rsidR="00000000" w:rsidDel="00000000" w:rsidP="00000000" w:rsidRDefault="00000000" w:rsidRPr="00000000" w14:paraId="00000031">
      <w:pPr>
        <w:numPr>
          <w:ilvl w:val="0"/>
          <w:numId w:val="5"/>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GapFraction </w:t>
        <w:br w:type="textWrapping"/>
      </w:r>
      <w:r w:rsidDel="00000000" w:rsidR="00000000" w:rsidRPr="00000000">
        <w:rPr>
          <w:rFonts w:ascii="Times New Roman" w:cs="Times New Roman" w:eastAsia="Times New Roman" w:hAnsi="Times New Roman"/>
          <w:sz w:val="28"/>
          <w:szCs w:val="28"/>
          <w:rtl w:val="0"/>
        </w:rPr>
        <w:t xml:space="preserve"> Доля позиций в множественном выравнивании, представленных пропущенными нуклеотидами (дефисами) из‑за вставок/удалений, относительно всей длины выравнивания.</w:t>
      </w:r>
    </w:p>
    <w:p w:rsidR="00000000" w:rsidDel="00000000" w:rsidP="00000000" w:rsidRDefault="00000000" w:rsidRPr="00000000" w14:paraId="00000032">
      <w:pPr>
        <w:numPr>
          <w:ilvl w:val="0"/>
          <w:numId w:val="5"/>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LengthVar</w:t>
        <w:br w:type="textWrapping"/>
      </w:r>
      <w:r w:rsidDel="00000000" w:rsidR="00000000" w:rsidRPr="00000000">
        <w:rPr>
          <w:rFonts w:ascii="Times New Roman" w:cs="Times New Roman" w:eastAsia="Times New Roman" w:hAnsi="Times New Roman"/>
          <w:sz w:val="28"/>
          <w:szCs w:val="28"/>
          <w:rtl w:val="0"/>
        </w:rPr>
        <w:t xml:space="preserve"> Мера изменчивости длины аллелей в локусе (дисперсия). Более высокое значение указывает на большую разбросанность по длине.</w:t>
      </w:r>
    </w:p>
    <w:p w:rsidR="00000000" w:rsidDel="00000000" w:rsidP="00000000" w:rsidRDefault="00000000" w:rsidRPr="00000000" w14:paraId="00000033">
      <w:pPr>
        <w:numPr>
          <w:ilvl w:val="0"/>
          <w:numId w:val="5"/>
        </w:numPr>
        <w:spacing w:after="24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UniqueAlleles</w:t>
        <w:br w:type="textWrapping"/>
      </w:r>
      <w:r w:rsidDel="00000000" w:rsidR="00000000" w:rsidRPr="00000000">
        <w:rPr>
          <w:rFonts w:ascii="Times New Roman" w:cs="Times New Roman" w:eastAsia="Times New Roman" w:hAnsi="Times New Roman"/>
          <w:sz w:val="28"/>
          <w:szCs w:val="28"/>
          <w:rtl w:val="0"/>
        </w:rPr>
        <w:t xml:space="preserve"> Общее число различных аллельных последовательностей, обнаруженных в выборке для данного локуса. Большее число – больше аллельного богатства.</w:t>
      </w:r>
    </w:p>
    <w:p w:rsidR="00000000" w:rsidDel="00000000" w:rsidP="00000000" w:rsidRDefault="00000000" w:rsidRPr="00000000" w14:paraId="00000034">
      <w:pPr>
        <w:spacing w:after="240" w:before="24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Эти метрики по ортогруппам далее будут использованы для обучения модели с целью минимизации целевой переменной RF.</w:t>
      </w:r>
    </w:p>
    <w:p w:rsidR="00000000" w:rsidDel="00000000" w:rsidP="00000000" w:rsidRDefault="00000000" w:rsidRPr="00000000" w14:paraId="00000035">
      <w:pPr>
        <w:spacing w:after="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Эмбеддинг подход - использование DNABERT</w:t>
      </w:r>
      <w:r w:rsidDel="00000000" w:rsidR="00000000" w:rsidRPr="00000000">
        <w:rPr>
          <w:rtl w:val="0"/>
        </w:rPr>
      </w:r>
    </w:p>
    <w:p w:rsidR="00000000" w:rsidDel="00000000" w:rsidP="00000000" w:rsidRDefault="00000000" w:rsidRPr="00000000" w14:paraId="00000036">
      <w:pPr>
        <w:spacing w:after="240" w:before="240" w:line="360" w:lineRule="auto"/>
        <w:ind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Для эмбеддинг‑подхода из 200 наиболее вариабельных ортогрупп формируют все возможные пары и для каждой пары конкатенируют множественное выравнивание. Последовательность, если она длиннее 512 нуклеотидов, разбивается на токены по 512 знаков( требование к работе предобученной модели DNABERT). Каждый фрагмент пропускают через модель DNABERT [</w:t>
      </w:r>
      <w:hyperlink r:id="rId31">
        <w:r w:rsidDel="00000000" w:rsidR="00000000" w:rsidRPr="00000000">
          <w:rPr>
            <w:rFonts w:ascii="Times New Roman" w:cs="Times New Roman" w:eastAsia="Times New Roman" w:hAnsi="Times New Roman"/>
            <w:color w:val="1155cc"/>
            <w:sz w:val="28"/>
            <w:szCs w:val="28"/>
            <w:u w:val="single"/>
            <w:rtl w:val="0"/>
          </w:rPr>
          <w:t xml:space="preserve">https://doi.org/10.1093/bioinformatics/btab083</w:t>
        </w:r>
      </w:hyperlink>
      <w:r w:rsidDel="00000000" w:rsidR="00000000" w:rsidRPr="00000000">
        <w:rPr>
          <w:rFonts w:ascii="Times New Roman" w:cs="Times New Roman" w:eastAsia="Times New Roman" w:hAnsi="Times New Roman"/>
          <w:sz w:val="28"/>
          <w:szCs w:val="28"/>
          <w:rtl w:val="0"/>
        </w:rPr>
        <w:t xml:space="preserve">], после чего применяют усреднение по всем k‑мерам и по всем фрагментам, получая единый 768‑мерный вектор (embedding) для каждой пары ортогрупп. </w:t>
      </w:r>
      <w:r w:rsidDel="00000000" w:rsidR="00000000" w:rsidRPr="00000000">
        <w:rPr>
          <w:rtl w:val="0"/>
        </w:rPr>
      </w:r>
    </w:p>
    <w:p w:rsidR="00000000" w:rsidDel="00000000" w:rsidP="00000000" w:rsidRDefault="00000000" w:rsidRPr="00000000" w14:paraId="00000037">
      <w:pPr>
        <w:pStyle w:val="Heading3"/>
        <w:spacing w:after="240" w:before="240" w:lineRule="auto"/>
        <w:ind w:firstLine="720"/>
        <w:rPr/>
      </w:pPr>
      <w:bookmarkStart w:colFirst="0" w:colLast="0" w:name="_b4m5a7of2w36" w:id="9"/>
      <w:bookmarkEnd w:id="9"/>
      <w:r w:rsidDel="00000000" w:rsidR="00000000" w:rsidRPr="00000000">
        <w:rPr>
          <w:rFonts w:ascii="Times New Roman" w:cs="Times New Roman" w:eastAsia="Times New Roman" w:hAnsi="Times New Roman"/>
          <w:rtl w:val="0"/>
        </w:rPr>
        <w:t xml:space="preserve">6. ML-подход в подборе генов (обучение моделей)</w:t>
      </w:r>
      <w:r w:rsidDel="00000000" w:rsidR="00000000" w:rsidRPr="00000000">
        <w:rPr>
          <w:rtl w:val="0"/>
        </w:rPr>
        <w:t xml:space="preserve">  </w:t>
      </w:r>
    </w:p>
    <w:p w:rsidR="00000000" w:rsidDel="00000000" w:rsidP="00000000" w:rsidRDefault="00000000" w:rsidRPr="00000000" w14:paraId="00000038">
      <w:pPr>
        <w:spacing w:after="240" w:before="240" w:line="36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Обработка комбинаций</w:t>
      </w:r>
    </w:p>
    <w:p w:rsidR="00000000" w:rsidDel="00000000" w:rsidP="00000000" w:rsidRDefault="00000000" w:rsidRPr="00000000" w14:paraId="00000039">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этапе обучения модели использовались данные, полученные из случайных комбинаций ортогрупп. Для каждой комбинации из двух, трёх или четырёх генов (с тремя независимыми повторениями) формировались конкатенированные выравнивания, по которым строились деревья в IQ-TREE. В качестве целевой переменной использовалось нормированное расстояние Робинсона–Фоулза (RF) между деревом комбинации и эталонной филогенией, рассчитанное с помощью ETE3. Дополнительно учитывалась метрика устойчивости дерева — средний bootstrap.</w:t>
      </w:r>
    </w:p>
    <w:p w:rsidR="00000000" w:rsidDel="00000000" w:rsidP="00000000" w:rsidRDefault="00000000" w:rsidRPr="00000000" w14:paraId="0000003A">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каждой ортогруппы заранее вычислялись восемь числовых признаков, отражающих её структурно-эволюционные характеристики (расстояния, разнообразие, плотность SNP, фракция пропусков и др.). На основе этих признаков для каждого гена в составе комбинации создавался объединённый вектор, описывающий комбинацию. Для предсказания точности дерева по комбинациям генов была обучена модель Random Forest с использованием заранее вычисленных признаков по ортогруппам. Данные разделялись на тренировочную и тестовую выборки (например, 80/20), а внутри обучения применялась 5-кратная кросс-валидация. Каждый пример представлялся вектором признаков, агрегированных по входящим в комбинацию локусам. Целевая переменная — нормированное RF-расхождение с эталонным деревом.</w:t>
      </w:r>
    </w:p>
    <w:p w:rsidR="00000000" w:rsidDel="00000000" w:rsidP="00000000" w:rsidRDefault="00000000" w:rsidRPr="00000000" w14:paraId="0000003B">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основе важности признаков и предсказаний RF-модели был составлен топ отдельных генов, чьи характеристики статистически ассоциировались с низкими RF-значениями (т.е. высоким соответствием эталонной филогении).</w:t>
      </w:r>
    </w:p>
    <w:p w:rsidR="00000000" w:rsidDel="00000000" w:rsidP="00000000" w:rsidRDefault="00000000" w:rsidRPr="00000000" w14:paraId="0000003C">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параллельном подходе аналогичная модель обучалась на всех возможных парах ортогрупп из тех же 200. Для каждой пары рассчитывались объединённые признаки, и модель обучалась предсказывать RF-расхождение. Далее отбирались пары с минимальными предсказанными RF, и по этим парам строились деревья, чтобы проверить точность такого ранжирования. Таким образом, ML‑подход позволил выявить как одиночные локусы, так и пары, обладающие наибольшим потенциалом для точного восстановления филогении.</w:t>
      </w:r>
    </w:p>
    <w:p w:rsidR="00000000" w:rsidDel="00000000" w:rsidP="00000000" w:rsidRDefault="00000000" w:rsidRPr="00000000" w14:paraId="0000003D">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Обработка эмбеддингов на парах ортогрупп</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sz w:val="28"/>
          <w:szCs w:val="28"/>
          <w:rtl w:val="0"/>
        </w:rPr>
        <w:t xml:space="preserve"> Для каждой из C(200,2) пар ортогрупп получили embedding через DNABERT Вместо обучения модели мы вычислили между всеми embedding‑векторами Евклидовы расстояния и отобрали пары с максимальным удалением (т. е. «неперекрывающиеся» по признакам). Эти пары затем использовали для конкатенации выравниваний, построения деревьев в IQ‑TREE и расчёта нормированного RF с эталоном. Идея в том, что наибольшая дистанция в embedding‑пространстве отражает комплементарную информацию локусов и ведёт к более низким RF‑значениям без дополнительной ML‑предсказания.</w:t>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pStyle w:val="Heading3"/>
        <w:keepNext w:val="0"/>
        <w:keepLines w:val="0"/>
        <w:spacing w:after="40" w:before="240" w:lineRule="auto"/>
        <w:ind w:firstLine="720"/>
        <w:rPr/>
      </w:pPr>
      <w:bookmarkStart w:colFirst="0" w:colLast="0" w:name="_kmfcmaw499b5" w:id="10"/>
      <w:bookmarkEnd w:id="10"/>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rtl w:val="0"/>
        </w:rPr>
        <w:t xml:space="preserve">. Проверка ML-панели</w:t>
      </w:r>
      <w:r w:rsidDel="00000000" w:rsidR="00000000" w:rsidRPr="00000000">
        <w:rPr>
          <w:rtl w:val="0"/>
        </w:rPr>
      </w:r>
    </w:p>
    <w:p w:rsidR="00000000" w:rsidDel="00000000" w:rsidP="00000000" w:rsidRDefault="00000000" w:rsidRPr="00000000" w14:paraId="00000040">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Отобранные локусы по вариабельности конкатенировали по схеме «1…10 генов»; для каждого объёма строили дерево (IQ-TREE, 1000 UFBoot) и рассчитывали RF-дистанцию к эталону. Стабильность оценивали также средним bootstrap-значением по ветвям.</w:t>
      </w:r>
    </w:p>
    <w:p w:rsidR="00000000" w:rsidDel="00000000" w:rsidP="00000000" w:rsidRDefault="00000000" w:rsidRPr="00000000" w14:paraId="00000041">
      <w:pPr>
        <w:pStyle w:val="Heading3"/>
        <w:keepNext w:val="0"/>
        <w:keepLines w:val="0"/>
        <w:spacing w:after="40" w:before="240" w:lineRule="auto"/>
        <w:ind w:firstLine="720"/>
        <w:rPr/>
      </w:pPr>
      <w:bookmarkStart w:colFirst="0" w:colLast="0" w:name="_mdqbjr3okh6t" w:id="11"/>
      <w:bookmarkEnd w:id="11"/>
      <w:r w:rsidDel="00000000" w:rsidR="00000000" w:rsidRPr="00000000">
        <w:rPr>
          <w:rFonts w:ascii="Times New Roman" w:cs="Times New Roman" w:eastAsia="Times New Roman" w:hAnsi="Times New Roman"/>
          <w:rtl w:val="0"/>
        </w:rPr>
        <w:t xml:space="preserve">8. Сопоставление с классическими схемами MLST</w:t>
      </w:r>
      <w:r w:rsidDel="00000000" w:rsidR="00000000" w:rsidRPr="00000000">
        <w:rPr>
          <w:rtl w:val="0"/>
        </w:rPr>
      </w:r>
    </w:p>
    <w:p w:rsidR="00000000" w:rsidDel="00000000" w:rsidP="00000000" w:rsidRDefault="00000000" w:rsidRPr="00000000" w14:paraId="00000042">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NG-MAST</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Для каждого штамма извлекали CDS-фрагменты </w:t>
      </w:r>
      <w:r w:rsidDel="00000000" w:rsidR="00000000" w:rsidRPr="00000000">
        <w:rPr>
          <w:rFonts w:ascii="Times New Roman" w:cs="Times New Roman" w:eastAsia="Times New Roman" w:hAnsi="Times New Roman"/>
          <w:i w:val="1"/>
          <w:sz w:val="28"/>
          <w:szCs w:val="28"/>
          <w:rtl w:val="0"/>
        </w:rPr>
        <w:t xml:space="preserve">porB</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i w:val="1"/>
          <w:sz w:val="28"/>
          <w:szCs w:val="28"/>
          <w:rtl w:val="0"/>
        </w:rPr>
        <w:t xml:space="preserve">tbpB</w:t>
      </w:r>
      <w:r w:rsidDel="00000000" w:rsidR="00000000" w:rsidRPr="00000000">
        <w:rPr>
          <w:rFonts w:ascii="Times New Roman" w:cs="Times New Roman" w:eastAsia="Times New Roman" w:hAnsi="Times New Roman"/>
          <w:sz w:val="28"/>
          <w:szCs w:val="28"/>
          <w:rtl w:val="0"/>
        </w:rPr>
        <w:t xml:space="preserve">, конкатенировали, выравнивали (MAFFT) и строили двухгенное дерево максимального правдоподобия. Топологию сравнивали с эталонной филогенией по метрике Robinson–Foulds.</w:t>
      </w:r>
      <w:r w:rsidDel="00000000" w:rsidR="00000000" w:rsidRPr="00000000">
        <w:rPr>
          <w:rtl w:val="0"/>
        </w:rPr>
      </w:r>
    </w:p>
    <w:p w:rsidR="00000000" w:rsidDel="00000000" w:rsidP="00000000" w:rsidRDefault="00000000" w:rsidRPr="00000000" w14:paraId="00000043">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pubMLST (семь housekeeping-генов)</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По аналогичной процедуре обрабатывали схему </w:t>
      </w:r>
      <w:r w:rsidDel="00000000" w:rsidR="00000000" w:rsidRPr="00000000">
        <w:rPr>
          <w:rFonts w:ascii="Times New Roman" w:cs="Times New Roman" w:eastAsia="Times New Roman" w:hAnsi="Times New Roman"/>
          <w:i w:val="1"/>
          <w:sz w:val="28"/>
          <w:szCs w:val="28"/>
          <w:rtl w:val="0"/>
        </w:rPr>
        <w:t xml:space="preserve">abcZ, adk, aroE, fumC, gdh, pdhC, pgm</w:t>
      </w:r>
      <w:r w:rsidDel="00000000" w:rsidR="00000000" w:rsidRPr="00000000">
        <w:rPr>
          <w:rFonts w:ascii="Times New Roman" w:cs="Times New Roman" w:eastAsia="Times New Roman" w:hAnsi="Times New Roman"/>
          <w:sz w:val="28"/>
          <w:szCs w:val="28"/>
          <w:rtl w:val="0"/>
        </w:rPr>
        <w:t xml:space="preserve">: для каждого гена извлекали внутренний фрагмент, определённый оригинальной MLST-схемой, выполняли множественные выравнивания, конкатенацию семи аллелей и реконструкцию дерева с теми же параметрами максимального правдоподобия и bootstrap-поддержки. Полученную топологию сопоставляли с эталоном, используя ту же дистанционную метрику.</w:t>
      </w:r>
    </w:p>
    <w:p w:rsidR="00000000" w:rsidDel="00000000" w:rsidP="00000000" w:rsidRDefault="00000000" w:rsidRPr="00000000" w14:paraId="00000044">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обе исторически используемые схемы (двухгенная NG-MAST и семигенная pubMLST) были оценены в параллеле с варьируемыми наборами ортологов и ML-отобранной панелью, что обеспечило единый сравнительный контекст для всех методов типирования.</w:t>
      </w:r>
    </w:p>
    <w:p w:rsidR="00000000" w:rsidDel="00000000" w:rsidP="00000000" w:rsidRDefault="00000000" w:rsidRPr="00000000" w14:paraId="00000045">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Полная воспроизводимая реализация всех описанных шагов — от загрузки геномов до расчёта филогенетических метрик и машинного отбора локусов — размещена в </w:t>
      </w:r>
      <w:r w:rsidDel="00000000" w:rsidR="00000000" w:rsidRPr="00000000">
        <w:rPr>
          <w:rFonts w:ascii="Times New Roman" w:cs="Times New Roman" w:eastAsia="Times New Roman" w:hAnsi="Times New Roman"/>
          <w:sz w:val="28"/>
          <w:szCs w:val="28"/>
          <w:rtl w:val="0"/>
        </w:rPr>
        <w:t xml:space="preserve">открытом репозитории GitHub (URL будет указан при публикации), </w:t>
      </w:r>
      <w:r w:rsidDel="00000000" w:rsidR="00000000" w:rsidRPr="00000000">
        <w:rPr>
          <w:rFonts w:ascii="Times New Roman" w:cs="Times New Roman" w:eastAsia="Times New Roman" w:hAnsi="Times New Roman"/>
          <w:sz w:val="28"/>
          <w:szCs w:val="28"/>
          <w:rtl w:val="0"/>
        </w:rPr>
        <w:t xml:space="preserve">включающем все скрипты, настройки окружения и примеры команд для запуска конвейера.</w:t>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pStyle w:val="Heading3"/>
        <w:spacing w:after="240" w:before="240" w:lineRule="auto"/>
        <w:ind w:firstLine="720"/>
        <w:rPr/>
      </w:pPr>
      <w:bookmarkStart w:colFirst="0" w:colLast="0" w:name="_rh3wrtw9k1rg" w:id="12"/>
      <w:bookmarkEnd w:id="12"/>
      <w:r w:rsidDel="00000000" w:rsidR="00000000" w:rsidRPr="00000000">
        <w:rPr>
          <w:rFonts w:ascii="Times New Roman" w:cs="Times New Roman" w:eastAsia="Times New Roman" w:hAnsi="Times New Roman"/>
          <w:rtl w:val="0"/>
        </w:rPr>
        <w:t xml:space="preserve">9. Анализ генов антибиотикорезистентности (ARG</w:t>
      </w:r>
      <w:r w:rsidDel="00000000" w:rsidR="00000000" w:rsidRPr="00000000">
        <w:rPr>
          <w:rtl w:val="0"/>
        </w:rPr>
        <w:t xml:space="preserve">)</w:t>
      </w:r>
    </w:p>
    <w:p w:rsidR="00000000" w:rsidDel="00000000" w:rsidP="00000000" w:rsidRDefault="00000000" w:rsidRPr="00000000" w14:paraId="00000048">
      <w:pPr>
        <w:spacing w:after="240" w:before="240" w:line="36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Для оценки клинической значимости филогенетических кластеров параллельно проводили скрининг генов устойчивости с помощью платформы</w:t>
      </w:r>
      <w:r w:rsidDel="00000000" w:rsidR="00000000" w:rsidRPr="00000000">
        <w:rPr>
          <w:rFonts w:ascii="Times New Roman" w:cs="Times New Roman" w:eastAsia="Times New Roman" w:hAnsi="Times New Roman"/>
          <w:sz w:val="28"/>
          <w:szCs w:val="28"/>
          <w:highlight w:val="white"/>
          <w:rtl w:val="0"/>
        </w:rPr>
        <w:t xml:space="preserve"> CARD. П</w:t>
      </w:r>
      <w:r w:rsidDel="00000000" w:rsidR="00000000" w:rsidRPr="00000000">
        <w:rPr>
          <w:rFonts w:ascii="Times New Roman" w:cs="Times New Roman" w:eastAsia="Times New Roman" w:hAnsi="Times New Roman"/>
          <w:sz w:val="28"/>
          <w:szCs w:val="28"/>
          <w:highlight w:val="white"/>
          <w:rtl w:val="0"/>
        </w:rPr>
        <w:t xml:space="preserve">олногеномные сборки каждого штамма </w:t>
      </w:r>
      <w:r w:rsidDel="00000000" w:rsidR="00000000" w:rsidRPr="00000000">
        <w:rPr>
          <w:rFonts w:ascii="Times New Roman" w:cs="Times New Roman" w:eastAsia="Times New Roman" w:hAnsi="Times New Roman"/>
          <w:sz w:val="28"/>
          <w:szCs w:val="28"/>
          <w:highlight w:val="white"/>
          <w:rtl w:val="0"/>
        </w:rPr>
        <w:t xml:space="preserve">(всего их 29) </w:t>
      </w:r>
      <w:r w:rsidDel="00000000" w:rsidR="00000000" w:rsidRPr="00000000">
        <w:rPr>
          <w:rFonts w:ascii="Times New Roman" w:cs="Times New Roman" w:eastAsia="Times New Roman" w:hAnsi="Times New Roman"/>
          <w:sz w:val="28"/>
          <w:szCs w:val="28"/>
          <w:highlight w:val="white"/>
          <w:rtl w:val="0"/>
        </w:rPr>
        <w:t xml:space="preserve">обрабатывали модулем Resistance Gene Identifier (RGI) в режимах «perfect» + «strict», что позволяет идентифицировать гены устойчивости к антибиотикам (ARGs) путем сравнения последовательностей с тщательно составленной базой данных CARD.</w:t>
      </w:r>
    </w:p>
    <w:p w:rsidR="00000000" w:rsidDel="00000000" w:rsidP="00000000" w:rsidRDefault="00000000" w:rsidRPr="00000000" w14:paraId="00000049">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Выходные текстовые таблицы RGI для каждого штамма агрегировали и обрабатывали с использованием библиотек </w:t>
      </w:r>
      <w:r w:rsidDel="00000000" w:rsidR="00000000" w:rsidRPr="00000000">
        <w:rPr>
          <w:rFonts w:ascii="Times New Roman" w:cs="Times New Roman" w:eastAsia="Times New Roman" w:hAnsi="Times New Roman"/>
          <w:sz w:val="28"/>
          <w:szCs w:val="28"/>
          <w:highlight w:val="white"/>
          <w:rtl w:val="0"/>
        </w:rPr>
        <w:t xml:space="preserve">pandas</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seaborn</w:t>
      </w:r>
      <w:r w:rsidDel="00000000" w:rsidR="00000000" w:rsidRPr="00000000">
        <w:rPr>
          <w:rFonts w:ascii="Times New Roman" w:cs="Times New Roman" w:eastAsia="Times New Roman" w:hAnsi="Times New Roman"/>
          <w:sz w:val="28"/>
          <w:szCs w:val="28"/>
          <w:highlight w:val="white"/>
          <w:rtl w:val="0"/>
        </w:rPr>
        <w:t xml:space="preserve"> и </w:t>
      </w:r>
      <w:r w:rsidDel="00000000" w:rsidR="00000000" w:rsidRPr="00000000">
        <w:rPr>
          <w:rFonts w:ascii="Times New Roman" w:cs="Times New Roman" w:eastAsia="Times New Roman" w:hAnsi="Times New Roman"/>
          <w:sz w:val="28"/>
          <w:szCs w:val="28"/>
          <w:highlight w:val="white"/>
          <w:rtl w:val="0"/>
        </w:rPr>
        <w:t xml:space="preserve">matplotlib.pyplot</w:t>
      </w:r>
      <w:r w:rsidDel="00000000" w:rsidR="00000000" w:rsidRPr="00000000">
        <w:rPr>
          <w:rFonts w:ascii="Times New Roman" w:cs="Times New Roman" w:eastAsia="Times New Roman" w:hAnsi="Times New Roman"/>
          <w:sz w:val="28"/>
          <w:szCs w:val="28"/>
          <w:highlight w:val="white"/>
          <w:rtl w:val="0"/>
        </w:rPr>
        <w:t xml:space="preserve"> в среде Python (версия 3.9.12). В частности, названия штаммов извлекались из имен файлов, а записи об антибиотиках очищались и нормализовались по словарю CARD, включая обработку множественных антибиотиков в одной записи. Механизмы («β-лактамаза», «эффлюкс», «изменение мишени» и т. д.) классифицировались согласно онтологии базы CARD.</w:t>
      </w:r>
      <w:r w:rsidDel="00000000" w:rsidR="00000000" w:rsidRPr="00000000">
        <w:rPr>
          <w:rFonts w:ascii="Times New Roman" w:cs="Times New Roman" w:eastAsia="Times New Roman" w:hAnsi="Times New Roman"/>
          <w:sz w:val="28"/>
          <w:szCs w:val="28"/>
          <w:highlight w:val="white"/>
          <w:rtl w:val="0"/>
        </w:rPr>
        <w:t xml:space="preserve"> Для анализа в Colab были взяты текстовые файлы. </w:t>
      </w:r>
      <w:r w:rsidDel="00000000" w:rsidR="00000000" w:rsidRPr="00000000">
        <w:rPr>
          <w:rtl w:val="0"/>
        </w:rPr>
      </w:r>
    </w:p>
    <w:p w:rsidR="00000000" w:rsidDel="00000000" w:rsidP="00000000" w:rsidRDefault="00000000" w:rsidRPr="00000000" w14:paraId="0000004A">
      <w:pPr>
        <w:spacing w:after="240" w:before="240" w:lineRule="auto"/>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B">
      <w:pPr>
        <w:pStyle w:val="Heading2"/>
        <w:spacing w:after="240" w:before="240" w:lineRule="auto"/>
        <w:ind w:firstLine="720"/>
        <w:rPr>
          <w:rFonts w:ascii="Times New Roman" w:cs="Times New Roman" w:eastAsia="Times New Roman" w:hAnsi="Times New Roman"/>
          <w:b w:val="1"/>
        </w:rPr>
      </w:pPr>
      <w:bookmarkStart w:colFirst="0" w:colLast="0" w:name="_z1z97hr90jxc" w:id="13"/>
      <w:bookmarkEnd w:id="13"/>
      <w:r w:rsidDel="00000000" w:rsidR="00000000" w:rsidRPr="00000000">
        <w:rPr>
          <w:rFonts w:ascii="Times New Roman" w:cs="Times New Roman" w:eastAsia="Times New Roman" w:hAnsi="Times New Roman"/>
          <w:b w:val="1"/>
          <w:rtl w:val="0"/>
        </w:rPr>
        <w:t xml:space="preserve">РЕЗУЛЬТАТЫ</w:t>
      </w:r>
    </w:p>
    <w:p w:rsidR="00000000" w:rsidDel="00000000" w:rsidP="00000000" w:rsidRDefault="00000000" w:rsidRPr="00000000" w14:paraId="0000004C">
      <w:pPr>
        <w:pStyle w:val="Heading3"/>
        <w:spacing w:after="240" w:before="240" w:lineRule="auto"/>
        <w:ind w:firstLine="720"/>
        <w:rPr>
          <w:rFonts w:ascii="Times New Roman" w:cs="Times New Roman" w:eastAsia="Times New Roman" w:hAnsi="Times New Roman"/>
        </w:rPr>
      </w:pPr>
      <w:bookmarkStart w:colFirst="0" w:colLast="0" w:name="_4w4j62o10x9l" w:id="14"/>
      <w:bookmarkEnd w:id="14"/>
      <w:r w:rsidDel="00000000" w:rsidR="00000000" w:rsidRPr="00000000">
        <w:rPr>
          <w:rFonts w:ascii="Times New Roman" w:cs="Times New Roman" w:eastAsia="Times New Roman" w:hAnsi="Times New Roman"/>
          <w:rtl w:val="0"/>
        </w:rPr>
        <w:t xml:space="preserve">ML-подход </w:t>
      </w:r>
    </w:p>
    <w:p w:rsidR="00000000" w:rsidDel="00000000" w:rsidP="00000000" w:rsidRDefault="00000000" w:rsidRPr="00000000" w14:paraId="0000004D">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Средняя абсолютная ошибка обучения с кроссвалидацией составила </w:t>
      </w:r>
      <w:r w:rsidDel="00000000" w:rsidR="00000000" w:rsidRPr="00000000">
        <w:rPr>
          <w:rFonts w:ascii="Times New Roman" w:cs="Times New Roman" w:eastAsia="Times New Roman" w:hAnsi="Times New Roman"/>
          <w:b w:val="1"/>
          <w:sz w:val="28"/>
          <w:szCs w:val="28"/>
          <w:rtl w:val="0"/>
        </w:rPr>
        <w:t xml:space="preserve">MAE = 0.042 RF-ед.</w:t>
      </w:r>
      <w:r w:rsidDel="00000000" w:rsidR="00000000" w:rsidRPr="00000000">
        <w:rPr>
          <w:rFonts w:ascii="Times New Roman" w:cs="Times New Roman" w:eastAsia="Times New Roman" w:hAnsi="Times New Roman"/>
          <w:sz w:val="28"/>
          <w:szCs w:val="28"/>
          <w:rtl w:val="0"/>
        </w:rPr>
        <w:t xml:space="preserve"> Это свидетельствует о том, что обученный случайный лес надёжно предсказывает топологическое расхождение (Robinson–Foulds, RF) между деревьями, построенными по произвольным комбинациям локусов, и эталонной филогенией.</w:t>
      </w:r>
    </w:p>
    <w:p w:rsidR="00000000" w:rsidDel="00000000" w:rsidP="00000000" w:rsidRDefault="00000000" w:rsidRPr="00000000" w14:paraId="0000004E">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количественной оценки вклада алгоритмической селекции мы сопоставили показатели филогенетических деревьев, построенных из «топ-вариабельных» генов, с аналогичными метриками панелей, сформированных моделью машинного обучения. Результаты сведены в табл. 1.</w:t>
      </w:r>
    </w:p>
    <w:p w:rsidR="00000000" w:rsidDel="00000000" w:rsidP="00000000" w:rsidRDefault="00000000" w:rsidRPr="00000000" w14:paraId="0000004F">
      <w:pPr>
        <w:spacing w:after="240" w:before="240" w:line="240" w:lineRule="auto"/>
        <w:rPr/>
      </w:pPr>
      <w:r w:rsidDel="00000000" w:rsidR="00000000" w:rsidRPr="00000000">
        <w:rPr>
          <w:rFonts w:ascii="Times New Roman" w:cs="Times New Roman" w:eastAsia="Times New Roman" w:hAnsi="Times New Roman"/>
          <w:sz w:val="28"/>
          <w:szCs w:val="28"/>
          <w:rtl w:val="0"/>
        </w:rPr>
        <w:t xml:space="preserve">Таблица 1. </w:t>
      </w:r>
      <w:r w:rsidDel="00000000" w:rsidR="00000000" w:rsidRPr="00000000">
        <w:rPr>
          <w:rFonts w:ascii="Times New Roman" w:cs="Times New Roman" w:eastAsia="Times New Roman" w:hAnsi="Times New Roman"/>
          <w:sz w:val="28"/>
          <w:szCs w:val="28"/>
          <w:rtl w:val="0"/>
        </w:rPr>
        <w:t xml:space="preserve">Сравнение «топ-вариабельных» и ML-предсказанных наборов</w:t>
      </w:r>
      <w:r w:rsidDel="00000000" w:rsidR="00000000" w:rsidRPr="00000000">
        <w:rPr>
          <w:rtl w:val="0"/>
        </w:rPr>
      </w:r>
    </w:p>
    <w:tbl>
      <w:tblPr>
        <w:tblStyle w:val="Table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1770"/>
        <w:gridCol w:w="2145"/>
        <w:gridCol w:w="2025"/>
        <w:gridCol w:w="1890"/>
        <w:tblGridChange w:id="0">
          <w:tblGrid>
            <w:gridCol w:w="1200"/>
            <w:gridCol w:w="1770"/>
            <w:gridCol w:w="2145"/>
            <w:gridCol w:w="2025"/>
            <w:gridCol w:w="1890"/>
          </w:tblGrid>
        </w:tblGridChange>
      </w:tblGrid>
      <w:tr>
        <w:trPr>
          <w:cantSplit w:val="0"/>
          <w:trHeight w:val="519.8740157480315" w:hRule="atLeast"/>
          <w:tblHeader w:val="0"/>
        </w:trPr>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50">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Кол-во генов</w:t>
            </w:r>
            <w:r w:rsidDel="00000000" w:rsidR="00000000" w:rsidRPr="00000000">
              <w:rPr>
                <w:rtl w:val="0"/>
              </w:rPr>
            </w:r>
          </w:p>
        </w:tc>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51">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Mean bootstrap-Var.</w:t>
            </w:r>
            <w:r w:rsidDel="00000000" w:rsidR="00000000" w:rsidRPr="00000000">
              <w:rPr>
                <w:rtl w:val="0"/>
              </w:rPr>
            </w:r>
          </w:p>
        </w:tc>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52">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RFnorm-Var.</w:t>
            </w:r>
            <w:r w:rsidDel="00000000" w:rsidR="00000000" w:rsidRPr="00000000">
              <w:rPr>
                <w:rtl w:val="0"/>
              </w:rPr>
            </w:r>
          </w:p>
        </w:tc>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53">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Mean bootstrap-ML</w:t>
            </w:r>
            <w:r w:rsidDel="00000000" w:rsidR="00000000" w:rsidRPr="00000000">
              <w:rPr>
                <w:rtl w:val="0"/>
              </w:rPr>
            </w:r>
          </w:p>
        </w:tc>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54">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RFnorm-ML</w:t>
            </w:r>
            <w:r w:rsidDel="00000000" w:rsidR="00000000" w:rsidRPr="00000000">
              <w:rPr>
                <w:rtl w:val="0"/>
              </w:rPr>
            </w:r>
          </w:p>
        </w:tc>
      </w:tr>
      <w:tr>
        <w:trPr>
          <w:cantSplit w:val="0"/>
          <w:trHeight w:val="519.8740157480315" w:hRule="atLeast"/>
          <w:tblHeader w:val="0"/>
        </w:trPr>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55">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56">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w:t>
            </w:r>
          </w:p>
        </w:tc>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57">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0.885</w:t>
            </w:r>
          </w:p>
        </w:tc>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58">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63.9</w:t>
            </w:r>
          </w:p>
        </w:tc>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59">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0.885</w:t>
            </w:r>
          </w:p>
        </w:tc>
      </w:tr>
      <w:tr>
        <w:trPr>
          <w:cantSplit w:val="0"/>
          <w:trHeight w:val="519.8740157480315" w:hRule="atLeast"/>
          <w:tblHeader w:val="0"/>
        </w:trPr>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5A">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5B">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79.8</w:t>
            </w:r>
          </w:p>
        </w:tc>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5C">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0.846</w:t>
            </w:r>
          </w:p>
        </w:tc>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5D">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76.1</w:t>
            </w:r>
          </w:p>
        </w:tc>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5E">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0.769</w:t>
            </w:r>
          </w:p>
        </w:tc>
      </w:tr>
      <w:tr>
        <w:trPr>
          <w:cantSplit w:val="0"/>
          <w:trHeight w:val="519.8740157480315" w:hRule="atLeast"/>
          <w:tblHeader w:val="0"/>
        </w:trPr>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5F">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60">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75.7</w:t>
            </w:r>
          </w:p>
        </w:tc>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61">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0.846</w:t>
            </w:r>
          </w:p>
        </w:tc>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62">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82.8</w:t>
            </w:r>
          </w:p>
        </w:tc>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63">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0.769</w:t>
            </w:r>
          </w:p>
        </w:tc>
      </w:tr>
      <w:tr>
        <w:trPr>
          <w:cantSplit w:val="0"/>
          <w:trHeight w:val="519.8740157480315" w:hRule="atLeast"/>
          <w:tblHeader w:val="0"/>
        </w:trPr>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64">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65">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73.3</w:t>
            </w:r>
          </w:p>
        </w:tc>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66">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0.769</w:t>
            </w:r>
          </w:p>
        </w:tc>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67">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81.8</w:t>
            </w:r>
          </w:p>
        </w:tc>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68">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0.769</w:t>
            </w:r>
          </w:p>
        </w:tc>
      </w:tr>
      <w:tr>
        <w:trPr>
          <w:cantSplit w:val="0"/>
          <w:trHeight w:val="519.8740157480315" w:hRule="atLeast"/>
          <w:tblHeader w:val="0"/>
        </w:trPr>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69">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6A">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80.7</w:t>
            </w:r>
          </w:p>
        </w:tc>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6B">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0.731</w:t>
            </w:r>
          </w:p>
        </w:tc>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6C">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73.1</w:t>
            </w:r>
          </w:p>
        </w:tc>
        <w:tc>
          <w:tcPr>
            <w:tcBorders>
              <w:top w:color="333333" w:space="0" w:sz="4" w:val="single"/>
              <w:left w:color="333333" w:space="0" w:sz="4" w:val="single"/>
              <w:bottom w:color="333333" w:space="0" w:sz="4" w:val="single"/>
              <w:right w:color="333333" w:space="0" w:sz="4"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D">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0.846</w:t>
            </w:r>
          </w:p>
        </w:tc>
      </w:tr>
      <w:tr>
        <w:trPr>
          <w:cantSplit w:val="0"/>
          <w:trHeight w:val="519.8740157480315" w:hRule="atLeast"/>
          <w:tblHeader w:val="0"/>
        </w:trPr>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6E">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6F">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75.8</w:t>
            </w:r>
          </w:p>
        </w:tc>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70">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0.731</w:t>
            </w:r>
          </w:p>
        </w:tc>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71">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82.1</w:t>
            </w:r>
          </w:p>
        </w:tc>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72">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0.846</w:t>
            </w:r>
          </w:p>
        </w:tc>
      </w:tr>
      <w:tr>
        <w:trPr>
          <w:cantSplit w:val="0"/>
          <w:trHeight w:val="519.8740157480315" w:hRule="atLeast"/>
          <w:tblHeader w:val="0"/>
        </w:trPr>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73">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74">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86.5</w:t>
            </w:r>
          </w:p>
        </w:tc>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75">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0.731</w:t>
            </w:r>
          </w:p>
        </w:tc>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76">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91.3</w:t>
            </w:r>
          </w:p>
        </w:tc>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77">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0.731</w:t>
            </w:r>
          </w:p>
        </w:tc>
      </w:tr>
      <w:tr>
        <w:trPr>
          <w:cantSplit w:val="0"/>
          <w:trHeight w:val="519.8740157480315" w:hRule="atLeast"/>
          <w:tblHeader w:val="0"/>
        </w:trPr>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78">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79">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83.5</w:t>
            </w:r>
          </w:p>
        </w:tc>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7A">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0.731</w:t>
            </w:r>
          </w:p>
        </w:tc>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7B">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91.3</w:t>
            </w:r>
          </w:p>
        </w:tc>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7C">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0.769</w:t>
            </w:r>
          </w:p>
        </w:tc>
      </w:tr>
      <w:tr>
        <w:trPr>
          <w:cantSplit w:val="0"/>
          <w:trHeight w:val="519.8740157480315" w:hRule="atLeast"/>
          <w:tblHeader w:val="0"/>
        </w:trPr>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7D">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7E">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82.5</w:t>
            </w:r>
          </w:p>
        </w:tc>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7F">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0.731</w:t>
            </w:r>
          </w:p>
        </w:tc>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80">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81.3</w:t>
            </w:r>
          </w:p>
        </w:tc>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81">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0.769</w:t>
            </w:r>
          </w:p>
        </w:tc>
      </w:tr>
      <w:tr>
        <w:trPr>
          <w:cantSplit w:val="0"/>
          <w:trHeight w:val="519.8740157480315" w:hRule="atLeast"/>
          <w:tblHeader w:val="0"/>
        </w:trPr>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82">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83">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82.5</w:t>
            </w:r>
          </w:p>
        </w:tc>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84">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0.731</w:t>
            </w:r>
          </w:p>
        </w:tc>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85">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86.9</w:t>
            </w:r>
          </w:p>
        </w:tc>
        <w:tc>
          <w:tcPr>
            <w:tcBorders>
              <w:top w:color="333333" w:space="0" w:sz="4" w:val="single"/>
              <w:left w:color="333333" w:space="0" w:sz="4" w:val="single"/>
              <w:bottom w:color="333333" w:space="0" w:sz="4" w:val="single"/>
              <w:right w:color="333333" w:space="0" w:sz="4" w:val="single"/>
            </w:tcBorders>
            <w:tcMar>
              <w:top w:w="100.0" w:type="dxa"/>
              <w:left w:w="100.0" w:type="dxa"/>
              <w:bottom w:w="100.0" w:type="dxa"/>
              <w:right w:w="100.0" w:type="dxa"/>
            </w:tcMar>
            <w:vAlign w:val="top"/>
          </w:tcPr>
          <w:p w:rsidR="00000000" w:rsidDel="00000000" w:rsidP="00000000" w:rsidRDefault="00000000" w:rsidRPr="00000000" w14:paraId="00000086">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0.654</w:t>
            </w:r>
          </w:p>
        </w:tc>
      </w:tr>
    </w:tbl>
    <w:p w:rsidR="00000000" w:rsidDel="00000000" w:rsidP="00000000" w:rsidRDefault="00000000" w:rsidRPr="00000000" w14:paraId="00000087">
      <w:pPr>
        <w:spacing w:after="240" w:before="240" w:lineRule="auto"/>
        <w:rPr>
          <w:i w:val="1"/>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RF</m:t>
            </m:r>
          </m:e>
          <m:sub>
            <m:r>
              <w:rPr>
                <w:rFonts w:ascii="Times New Roman" w:cs="Times New Roman" w:eastAsia="Times New Roman" w:hAnsi="Times New Roman"/>
                <w:sz w:val="24"/>
                <w:szCs w:val="24"/>
              </w:rPr>
              <m:t xml:space="preserve">norm</m:t>
            </m:r>
          </m:sub>
        </m:sSub>
      </m:oMath>
      <w:r w:rsidDel="00000000" w:rsidR="00000000" w:rsidRPr="00000000">
        <w:rPr>
          <w:rFonts w:ascii="Times New Roman" w:cs="Times New Roman" w:eastAsia="Times New Roman" w:hAnsi="Times New Roman"/>
          <w:i w:val="1"/>
          <w:sz w:val="24"/>
          <w:szCs w:val="24"/>
          <w:rtl w:val="0"/>
        </w:rPr>
        <w:t xml:space="preserve"> — нормированная Robinson–Foulds-дистанция; при 29 листьях максимум = 52</w:t>
      </w:r>
      <w:r w:rsidDel="00000000" w:rsidR="00000000" w:rsidRPr="00000000">
        <w:rPr>
          <w:i w:val="1"/>
          <w:rtl w:val="0"/>
        </w:rPr>
        <w:t xml:space="preserve">.</w:t>
      </w:r>
    </w:p>
    <w:p w:rsidR="00000000" w:rsidDel="00000000" w:rsidP="00000000" w:rsidRDefault="00000000" w:rsidRPr="00000000" w14:paraId="00000088">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видно из табл. 1, для комбинаций из 2–4 генов модельно отобранные локусы дают на </w:t>
      </w:r>
      <w:r w:rsidDel="00000000" w:rsidR="00000000" w:rsidRPr="00000000">
        <w:rPr>
          <w:rFonts w:ascii="Times New Roman" w:cs="Times New Roman" w:eastAsia="Times New Roman" w:hAnsi="Times New Roman"/>
          <w:sz w:val="28"/>
          <w:szCs w:val="28"/>
          <w:rtl w:val="0"/>
        </w:rPr>
        <w:t xml:space="preserve">7–9 %</w:t>
      </w:r>
      <w:r w:rsidDel="00000000" w:rsidR="00000000" w:rsidRPr="00000000">
        <w:rPr>
          <w:rFonts w:ascii="Times New Roman" w:cs="Times New Roman" w:eastAsia="Times New Roman" w:hAnsi="Times New Roman"/>
          <w:sz w:val="28"/>
          <w:szCs w:val="28"/>
          <w:rtl w:val="0"/>
        </w:rPr>
        <w:t xml:space="preserve"> меньшее нормированное расхождение (</w:t>
      </w:r>
      <m:oMath>
        <m:sSub>
          <m:sSubPr>
            <m:ctrlPr>
              <w:rPr/>
            </m:ctrlPr>
          </m:sSubPr>
          <m:e>
            <m:r>
              <w:rPr/>
              <m:t xml:space="preserve">RF</m:t>
            </m:r>
          </m:e>
          <m:sub>
            <m:r>
              <w:rPr/>
              <m:t xml:space="preserve">norm</m:t>
            </m:r>
          </m:sub>
        </m:sSub>
      </m:oMath>
      <w:r w:rsidDel="00000000" w:rsidR="00000000" w:rsidRPr="00000000">
        <w:rPr>
          <w:rFonts w:ascii="Times New Roman" w:cs="Times New Roman" w:eastAsia="Times New Roman" w:hAnsi="Times New Roman"/>
          <w:sz w:val="28"/>
          <w:szCs w:val="28"/>
          <w:rtl w:val="0"/>
        </w:rPr>
        <w:t xml:space="preserve">=0.769) при сопоставимом или более высоком среднем bootstrap-подкреплении. При расширении до семи генов оба подхода сходятся по RF, однако ML-панель демонстрирует максимальную поддержку ветвей (91 %). Наибольший выигрыш ML-подхода наблюдается при десяти локусах: </w:t>
      </w:r>
      <m:oMath>
        <m:sSub>
          <m:sSubPr>
            <m:ctrlPr>
              <w:rPr/>
            </m:ctrlPr>
          </m:sSubPr>
          <m:e>
            <m:r>
              <w:rPr/>
              <m:t xml:space="preserve">RF</m:t>
            </m:r>
          </m:e>
          <m:sub>
            <m:r>
              <w:rPr/>
              <m:t xml:space="preserve">norm</m:t>
            </m:r>
          </m:sub>
        </m:sSub>
      </m:oMath>
      <w:r w:rsidDel="00000000" w:rsidR="00000000" w:rsidRPr="00000000">
        <w:rPr>
          <w:rFonts w:ascii="Times New Roman" w:cs="Times New Roman" w:eastAsia="Times New Roman" w:hAnsi="Times New Roman"/>
          <w:sz w:val="28"/>
          <w:szCs w:val="28"/>
          <w:rtl w:val="0"/>
        </w:rPr>
        <w:t xml:space="preserve">​ снижается до 0.654, что на 0.077 пунктов лучше вариабельного аналога.</w:t>
      </w:r>
    </w:p>
    <w:p w:rsidR="00000000" w:rsidDel="00000000" w:rsidP="00000000" w:rsidRDefault="00000000" w:rsidRPr="00000000" w14:paraId="00000089">
      <w:pPr>
        <w:pStyle w:val="Heading4"/>
        <w:spacing w:after="240" w:before="240" w:lineRule="auto"/>
        <w:ind w:firstLine="720"/>
        <w:rPr>
          <w:rFonts w:ascii="Times New Roman" w:cs="Times New Roman" w:eastAsia="Times New Roman" w:hAnsi="Times New Roman"/>
          <w:sz w:val="28"/>
          <w:szCs w:val="28"/>
        </w:rPr>
      </w:pPr>
      <w:bookmarkStart w:colFirst="0" w:colLast="0" w:name="_8bit6aeli5z" w:id="15"/>
      <w:bookmarkEnd w:id="15"/>
      <w:r w:rsidDel="00000000" w:rsidR="00000000" w:rsidRPr="00000000">
        <w:rPr>
          <w:rFonts w:ascii="Times New Roman" w:cs="Times New Roman" w:eastAsia="Times New Roman" w:hAnsi="Times New Roman"/>
          <w:sz w:val="28"/>
          <w:szCs w:val="28"/>
          <w:rtl w:val="0"/>
        </w:rPr>
        <w:t xml:space="preserve">Результат предсказанных на обучающей выборке пар генов</w:t>
      </w:r>
    </w:p>
    <w:p w:rsidR="00000000" w:rsidDel="00000000" w:rsidP="00000000" w:rsidRDefault="00000000" w:rsidRPr="00000000" w14:paraId="0000008A">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Далее в результатах фигурирует обозначение ортогрупп, как OG + номер - это обозначение отдельной ортогруппы предсказанной по анализу. Каждой ортогруппе в нашем анализе сопоставлены идентификаторы белковых последовательностей из базы RefSeq, которые начинаются с префикса WP_. Эти WP_ID представляют собой референсные (опорные) записи прокариотических белков: если несколько штаммов или видов имеют абсолютно идентичную или почти идентичную аминокислотную последовательность, они все ссылаются на одну и ту же запись WP_. Поэтому одна ортогруппа – это кластер гомологичных белков – может включать несколько WP_ID, когда в разных геномах встречаются чуть отличающиеся версии или дополнительные копии белка. Наличие нескольких WP_ID в составе одной ортогруппы отражает либо различные аллели одного и того же гена в разных штаммах, либо небольшие вариации длины или последовательности, которые всё ещё попадают в одну категорию гомологии. Таким образом, список WP_ID для каждой ортогруппы показывает конкретный набор белков, объединённых в один эволюционно обоснованный кластер. В таблице 2 приведён полный список соответствий каждой ортогруппы и её WP_ID: для каждой OG указаны все связанные референсные белковые идентификаторы RefSeq (WP_), отражающие конкретные последовательности из разных штаммов или вариантов одного и того же гена.</w:t>
      </w:r>
    </w:p>
    <w:p w:rsidR="00000000" w:rsidDel="00000000" w:rsidP="00000000" w:rsidRDefault="00000000" w:rsidRPr="00000000" w14:paraId="0000008B">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2. Таблица соответсвия ортогруппы и WP_ID</w:t>
      </w:r>
    </w:p>
    <w:tbl>
      <w:tblPr>
        <w:tblStyle w:val="Table2"/>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7440"/>
        <w:tblGridChange w:id="0">
          <w:tblGrid>
            <w:gridCol w:w="1590"/>
            <w:gridCol w:w="7440"/>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Ортогруппа</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WP_IDs</w:t>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OG0000159</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WP_003690492.1,WP_003692469.1,WP_003696628.1,WP_010950972.1,WP_047916903.1,WP_050154563.1,WP_050171157.1,WP_139595998.1</w:t>
            </w:r>
          </w:p>
        </w:tc>
      </w:tr>
      <w:tr>
        <w:trPr>
          <w:cantSplit w:val="0"/>
          <w:trHeight w:val="106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OG0000200</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_010356615.1,WP_020996763.1,WP_025455760.1,WP_025456027.1,WP_025456234.1,WP_041421212.1,WP_047918375.1,WP_047920544.1,WP_047924085.1,WP_050161623.1,WP_050172669.1,WP_103195377.1,WP_106167083.1,WP_106176358.1,WP_123788214.1,WP_144998516.1,WP_149032528.1,WP_263322056.1,WP_353426042.1</w:t>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OG0000461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WP_003687670.1,WP_003690768.1,WP_003698113.1,WP_010357164.1,WP_010359846.1,WP_082279158.1,WP_082280353.1,WP_082300065.1,WP_353403621.1</w:t>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OG0000705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WP_003688256.1,WP_003691017.1,WP_003693370.1,WP_012503540.1,WP_033910052.1,WP_047925388.1,WP_050303788.1</w:t>
            </w:r>
          </w:p>
        </w:tc>
      </w:tr>
      <w:tr>
        <w:trPr>
          <w:cantSplit w:val="0"/>
          <w:trHeight w:val="82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OG0001093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WP_003689008.1,WP_003706103.1,WP_048654295.1,WP_050164983.1,WP_050170951.1,WP_050171555.1,WP_053015129.1,WP_053015207.1,WP_082284881.1,WP_106215957.1,WP_125121583.1,WP_202132392.1,WP_353174411.1,WP_353424384.1,WP_353426060.1</w:t>
            </w:r>
          </w:p>
        </w:tc>
      </w:tr>
      <w:tr>
        <w:trPr>
          <w:cantSplit w:val="0"/>
          <w:trHeight w:val="106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OG0001202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WP_003693758.1,WP_003695669.1,WP_003698763.1,WP_003702953.1,WP_041421321.1,WP_047918311.1,WP_047918602.1,WP_047920977.1,WP_047923913.1,WP_047924301.1,WP_050164143.1,WP_050169659.1,WP_061182253.1,WP_106178895.1,WP_118852366.1,WP_149032515.1</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OG0001262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WP_003689301.1,WP_003695602.1,WP_003697391.1,WP_071200498.1,WP_353114450.1</w:t>
            </w:r>
          </w:p>
        </w:tc>
      </w:tr>
      <w:tr>
        <w:trPr>
          <w:cantSplit w:val="0"/>
          <w:trHeight w:val="82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OG0001264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WP_003689308.1,WP_003693678.1,WP_003698807.1,WP_003700277.1,WP_003701615.1,WP_003705766.1,WP_010951266.1,WP_014580308.1,WP_047924276.1,WP_047951335.1,WP_082285051.1,WP_149032481.1,WP_215772506.1</w:t>
            </w:r>
          </w:p>
        </w:tc>
      </w:tr>
      <w:tr>
        <w:trPr>
          <w:cantSplit w:val="0"/>
          <w:trHeight w:val="106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OG0001277</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WP_003689342.1,WP_003697403.1,WP_003698822.1,WP_012503846.1,WP_047919652.1,WP_047922705.1,WP_047923859.1,WP_047924084.1,WP_047951306.1,WP_047951681.1,WP_048339510.1,WP_050161544.1,WP_050164997.1,WP_050169645.1,WP_082285001.1,WP_082298567.1</w:t>
            </w:r>
          </w:p>
        </w:tc>
      </w:tr>
      <w:tr>
        <w:trPr>
          <w:cantSplit w:val="0"/>
          <w:trHeight w:val="132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OG0001304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_004465694.1,WP_044271332.1,WP_047921017.1,WP_047923767.1,WP_047924058.1,WP_047925857.1,WP_047951265.1,WP_050169646.1,WP_050172661.1,WP_050303836.1,WP_082284969.1,WP_103195369.1,WP_106167126.1,WP_106346861.1,WP_149032477.1,WP_215215783.1,WP_307751069.1,WP_353165012.1,WP_353174076.1,WP_353424252.1,WP_353425228.1,WP_353425980.1,WP_353428643.1</w:t>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OG0001424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WP_003689615.1,WP_003692278.1,WP_003697498.1,WP_003699240.1,WP_003702034.1,WP_003706698.1,WP_047919660.1,WP_047951343.1,WP_229690694.1</w:t>
            </w:r>
          </w:p>
        </w:tc>
      </w:tr>
      <w:tr>
        <w:trPr>
          <w:cantSplit w:val="0"/>
          <w:trHeight w:val="82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OG0001547</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WP_003686996.1,WP_003691951.1,WP_003696294.1,WP_003696496.1,WP_003699327.1,WP_003701738.1,WP_025456555.1,WP_047917284.1,WP_047920696.1,WP_047926020.1,WP_353426075.1</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OG0001710</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WP_010360925.1,WP_047953421.1,WP_229689404.1,WP_353174205.1</w:t>
            </w:r>
          </w:p>
        </w:tc>
      </w:tr>
      <w:tr>
        <w:trPr>
          <w:cantSplit w:val="0"/>
          <w:trHeight w:val="82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OG0001845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WP_003687055.1,WP_003692375.1,WP_003696525.1,WP_010356155.1,WP_014580446.1,WP_044270468.1,WP_047917876.1,WP_047921834.1,WP_047922584.1,WP_047924155.1,WP_050154407.1,WP_082285025.1,WP_125121556.1,WP_353174276.1</w:t>
            </w:r>
          </w:p>
        </w:tc>
      </w:tr>
      <w:tr>
        <w:trPr>
          <w:cantSplit w:val="0"/>
          <w:trHeight w:val="106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OG0001901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WP_003696576.1,WP_014580454.1,WP_047917550.1,WP_047918526.1,WP_047919957.1,WP_047922390.1,WP_047925981.1,WP_048339595.1,WP_050159102.1,WP_050169733.1,WP_050170827.1,WP_082285021.1,WP_082298549.1,WP_106167090.1,WP_149032531.1,WP_169577298.1,WP_353174293.1,WP_353424277.1</w:t>
            </w:r>
          </w:p>
        </w:tc>
      </w:tr>
    </w:tbl>
    <w:p w:rsidR="00000000" w:rsidDel="00000000" w:rsidP="00000000" w:rsidRDefault="00000000" w:rsidRPr="00000000" w14:paraId="000000AC">
      <w:pPr>
        <w:spacing w:after="240" w:before="24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таблице 3 приведены результаты применения модели Random Forest к тренировочной выборке: для каждой предсказанной пары ортогрупп указаны среднее значение бутстрепа и нормированное RF‑расхождение по отношению к эталонному дереву.</w:t>
      </w:r>
    </w:p>
    <w:p w:rsidR="00000000" w:rsidDel="00000000" w:rsidP="00000000" w:rsidRDefault="00000000" w:rsidRPr="00000000" w14:paraId="000000AD">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Таблица 3. Результаты предсказанных пар ортогрупп </w:t>
      </w: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Пара ортогрупп</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средний бутстреп</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OG0001093_OG0001710</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63.261</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OG0001264_OG0001710</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69.433</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OG0001093_OG0000461</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63.504</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OG0001093_OG0001424</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64.392</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OG0001710_OG0000625</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72.213</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OG0001093_OG0000705</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74.521</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0.769</w:t>
            </w:r>
          </w:p>
        </w:tc>
      </w:tr>
    </w:tbl>
    <w:p w:rsidR="00000000" w:rsidDel="00000000" w:rsidP="00000000" w:rsidRDefault="00000000" w:rsidRPr="00000000" w14:paraId="000000C3">
      <w:pPr>
        <w:spacing w:after="240" w:before="240" w:line="360" w:lineRule="auto"/>
        <w:ind w:left="0" w:firstLine="720"/>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Модель Random Forest предсказала несколько сочетаний ортогрупп, обеспечивающих хорошие показатели: RF ≈ 0.769–0.807 при среднем bootstrap-поддержке 63–74 %. Наилучшая поддержка наблюдается для OG0001093_OG0000705 (74.5 %), однако при этом RF остаётся на уровне 0.769, что указывает на баланс между стабильностью дерева и близостью к эталонной филогении.</w:t>
      </w:r>
    </w:p>
    <w:p w:rsidR="00000000" w:rsidDel="00000000" w:rsidP="00000000" w:rsidRDefault="00000000" w:rsidRPr="00000000" w14:paraId="000000C4">
      <w:pPr>
        <w:pStyle w:val="Heading4"/>
        <w:spacing w:after="240" w:before="240" w:lineRule="auto"/>
        <w:ind w:firstLine="720"/>
        <w:rPr>
          <w:rFonts w:ascii="Times New Roman" w:cs="Times New Roman" w:eastAsia="Times New Roman" w:hAnsi="Times New Roman"/>
          <w:sz w:val="28"/>
          <w:szCs w:val="28"/>
        </w:rPr>
      </w:pPr>
      <w:bookmarkStart w:colFirst="0" w:colLast="0" w:name="_57f7qo6hbzq8" w:id="16"/>
      <w:bookmarkEnd w:id="16"/>
      <w:r w:rsidDel="00000000" w:rsidR="00000000" w:rsidRPr="00000000">
        <w:rPr>
          <w:rFonts w:ascii="Times New Roman" w:cs="Times New Roman" w:eastAsia="Times New Roman" w:hAnsi="Times New Roman"/>
          <w:sz w:val="28"/>
          <w:szCs w:val="28"/>
          <w:rtl w:val="0"/>
        </w:rPr>
        <w:t xml:space="preserve">Результат удалённых пар посчитанных по эмбедингам</w:t>
      </w:r>
    </w:p>
    <w:p w:rsidR="00000000" w:rsidDel="00000000" w:rsidP="00000000" w:rsidRDefault="00000000" w:rsidRPr="00000000" w14:paraId="000000C5">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таблице 4 приведены результаты анализа наиболее отдалённых пар ортогрупп по эмбеддингам: для каждой пары указаны средний процент бутстрепа и нормированное RF‑расхождение по отношению к эталонному дереву.</w:t>
      </w:r>
    </w:p>
    <w:p w:rsidR="00000000" w:rsidDel="00000000" w:rsidP="00000000" w:rsidRDefault="00000000" w:rsidRPr="00000000" w14:paraId="000000C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Таблица 4. Результаты наиболее отдалённых пар ортогрупп по эмбеддингам</w:t>
      </w: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Пара ортогрупп</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средний бутстреп</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OG0000200_OG0001901</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81.263</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OG0001547_OG0001304</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71.792</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OG0001262_OG0001277</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64.044</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OG0001202_OG0001438</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64.155</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OG0001845_OG0000159</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88.956</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OG0000200_OG0001901</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81.261</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0.844</w:t>
            </w:r>
          </w:p>
        </w:tc>
      </w:tr>
    </w:tbl>
    <w:p w:rsidR="00000000" w:rsidDel="00000000" w:rsidP="00000000" w:rsidRDefault="00000000" w:rsidRPr="00000000" w14:paraId="000000DC">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Подход на основе DNABERT‑эмбеддингов позволил выявить пары ортогрупп с максимальным «расхождением» в признаковом пространстве, что в большинстве случаев гарантировало более высокую bootstrap‑поддержку (до ~89 %) при умеренных RF (0.846–0.961). Особенно выделяется пара OG0000200_OG0001901: два почти идентичных результата RF (0.846 и 0.844) демонстрируют стабильность метода при конкатенации и анализе разных фрагментов выравнивания.</w:t>
      </w:r>
    </w:p>
    <w:p w:rsidR="00000000" w:rsidDel="00000000" w:rsidP="00000000" w:rsidRDefault="00000000" w:rsidRPr="00000000" w14:paraId="000000DD">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pStyle w:val="Heading4"/>
        <w:spacing w:after="240" w:before="240" w:lineRule="auto"/>
        <w:ind w:firstLine="720"/>
        <w:rPr>
          <w:rFonts w:ascii="Times New Roman" w:cs="Times New Roman" w:eastAsia="Times New Roman" w:hAnsi="Times New Roman"/>
          <w:sz w:val="28"/>
          <w:szCs w:val="28"/>
        </w:rPr>
      </w:pPr>
      <w:bookmarkStart w:colFirst="0" w:colLast="0" w:name="_4ln27vu6lkrl" w:id="17"/>
      <w:bookmarkEnd w:id="17"/>
      <w:r w:rsidDel="00000000" w:rsidR="00000000" w:rsidRPr="00000000">
        <w:rPr>
          <w:rFonts w:ascii="Times New Roman" w:cs="Times New Roman" w:eastAsia="Times New Roman" w:hAnsi="Times New Roman"/>
          <w:sz w:val="28"/>
          <w:szCs w:val="28"/>
          <w:rtl w:val="0"/>
        </w:rPr>
        <w:t xml:space="preserve">Сопоставление с классическими схемами MLST</w:t>
      </w:r>
    </w:p>
    <w:p w:rsidR="00000000" w:rsidDel="00000000" w:rsidP="00000000" w:rsidRDefault="00000000" w:rsidRPr="00000000" w14:paraId="000000DF">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проверки, насколько существующие рути­нные методы воспроизводят полногеномную филогению, рассчитаны те же метрики для NG-MAST и семигенной pubMLST (табл. 5).</w:t>
      </w:r>
      <w:r w:rsidDel="00000000" w:rsidR="00000000" w:rsidRPr="00000000">
        <w:rPr>
          <w:rtl w:val="0"/>
        </w:rPr>
      </w:r>
    </w:p>
    <w:p w:rsidR="00000000" w:rsidDel="00000000" w:rsidP="00000000" w:rsidRDefault="00000000" w:rsidRPr="00000000" w14:paraId="000000E0">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5. Топологическая точность традиционных схем типирования</w:t>
      </w:r>
    </w:p>
    <w:tbl>
      <w:tblPr>
        <w:tblStyle w:val="Table5"/>
        <w:tblpPr w:leftFromText="180" w:rightFromText="180" w:topFromText="180" w:bottomFromText="180" w:vertAnchor="text" w:horzAnchor="text" w:tblpX="30" w:tblpY="0"/>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5"/>
        <w:gridCol w:w="1110"/>
        <w:gridCol w:w="1650"/>
        <w:gridCol w:w="1425"/>
        <w:gridCol w:w="1860"/>
        <w:tblGridChange w:id="0">
          <w:tblGrid>
            <w:gridCol w:w="2985"/>
            <w:gridCol w:w="1110"/>
            <w:gridCol w:w="1650"/>
            <w:gridCol w:w="1425"/>
            <w:gridCol w:w="1860"/>
          </w:tblGrid>
        </w:tblGridChange>
      </w:tblGrid>
      <w:tr>
        <w:trPr>
          <w:cantSplit w:val="0"/>
          <w:trHeight w:val="911.8505859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Схема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Кол-во генов</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after="20" w:before="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bootstrap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RFnorm</w:t>
            </w:r>
          </w:p>
        </w:tc>
      </w:tr>
      <w:tr>
        <w:trPr>
          <w:cantSplit w:val="0"/>
          <w:trHeight w:val="470.925292968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NG-MAST</w:t>
            </w:r>
            <w:r w:rsidDel="00000000" w:rsidR="00000000" w:rsidRPr="00000000">
              <w:rPr>
                <w:rFonts w:ascii="Times New Roman" w:cs="Times New Roman" w:eastAsia="Times New Roman" w:hAnsi="Times New Roman"/>
                <w:sz w:val="24"/>
                <w:szCs w:val="24"/>
                <w:rtl w:val="0"/>
              </w:rPr>
              <w:t xml:space="preserve"> (porB, tbpB)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0.923</w:t>
            </w:r>
            <w:r w:rsidDel="00000000" w:rsidR="00000000" w:rsidRPr="00000000">
              <w:rPr>
                <w:rtl w:val="0"/>
              </w:rPr>
            </w:r>
          </w:p>
        </w:tc>
      </w:tr>
      <w:tr>
        <w:trPr>
          <w:cantSplit w:val="0"/>
          <w:trHeight w:val="836.8505859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pubMLST</w:t>
            </w:r>
            <w:r w:rsidDel="00000000" w:rsidR="00000000" w:rsidRPr="00000000">
              <w:rPr>
                <w:rFonts w:ascii="Times New Roman" w:cs="Times New Roman" w:eastAsia="Times New Roman" w:hAnsi="Times New Roman"/>
                <w:sz w:val="24"/>
                <w:szCs w:val="24"/>
                <w:rtl w:val="0"/>
              </w:rPr>
              <w:t xml:space="preserve"> (abcZ, adk, aroE, fumC, gdh, pdhC, pgm)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0.808</w:t>
            </w:r>
          </w:p>
        </w:tc>
      </w:tr>
    </w:tbl>
    <w:p w:rsidR="00000000" w:rsidDel="00000000" w:rsidP="00000000" w:rsidRDefault="00000000" w:rsidRPr="00000000" w14:paraId="000000F0">
      <w:pPr>
        <w:spacing w:after="240" w:before="240" w:lineRule="auto"/>
        <w:rPr>
          <w:i w:val="1"/>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RF</m:t>
            </m:r>
          </m:e>
          <m:sub>
            <m:r>
              <w:rPr>
                <w:rFonts w:ascii="Times New Roman" w:cs="Times New Roman" w:eastAsia="Times New Roman" w:hAnsi="Times New Roman"/>
                <w:sz w:val="24"/>
                <w:szCs w:val="24"/>
              </w:rPr>
              <m:t xml:space="preserve">norm</m:t>
            </m:r>
          </m:sub>
        </m:sSub>
      </m:oMath>
      <w:r w:rsidDel="00000000" w:rsidR="00000000" w:rsidRPr="00000000">
        <w:rPr>
          <w:rFonts w:ascii="Times New Roman" w:cs="Times New Roman" w:eastAsia="Times New Roman" w:hAnsi="Times New Roman"/>
          <w:i w:val="1"/>
          <w:sz w:val="24"/>
          <w:szCs w:val="24"/>
          <w:rtl w:val="0"/>
        </w:rPr>
        <w:t xml:space="preserve"> — нормированная Robinson–Foulds-дистанция; при 29 листьях максимум = 52</w:t>
      </w:r>
      <w:r w:rsidDel="00000000" w:rsidR="00000000" w:rsidRPr="00000000">
        <w:rPr>
          <w:i w:val="1"/>
          <w:rtl w:val="0"/>
        </w:rPr>
        <w:t xml:space="preserve">.</w:t>
      </w:r>
    </w:p>
    <w:p w:rsidR="00000000" w:rsidDel="00000000" w:rsidP="00000000" w:rsidRDefault="00000000" w:rsidRPr="00000000" w14:paraId="000000F1">
      <w:pPr>
        <w:spacing w:after="240" w:before="24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Двухгенная </w:t>
      </w:r>
      <w:r w:rsidDel="00000000" w:rsidR="00000000" w:rsidRPr="00000000">
        <w:rPr>
          <w:rFonts w:ascii="Times New Roman" w:cs="Times New Roman" w:eastAsia="Times New Roman" w:hAnsi="Times New Roman"/>
          <w:b w:val="1"/>
          <w:sz w:val="28"/>
          <w:szCs w:val="28"/>
          <w:rtl w:val="0"/>
        </w:rPr>
        <w:t xml:space="preserve">NG-MAST </w:t>
      </w:r>
      <w:r w:rsidDel="00000000" w:rsidR="00000000" w:rsidRPr="00000000">
        <w:rPr>
          <w:rFonts w:ascii="Gungsuh" w:cs="Gungsuh" w:eastAsia="Gungsuh" w:hAnsi="Gungsuh"/>
          <w:sz w:val="28"/>
          <w:szCs w:val="28"/>
          <w:rtl w:val="0"/>
        </w:rPr>
        <w:t xml:space="preserve">панель воспроизводит лишь ≈ 8 % эталонных бифуркаций, несмотря на умеренно высокую среднюю поддержку ветвей (72 %); нормированное расстояние 0.923 указывает на почти полное несоответствие глобальной топологии.Семигенная </w:t>
      </w:r>
      <w:r w:rsidDel="00000000" w:rsidR="00000000" w:rsidRPr="00000000">
        <w:rPr>
          <w:rFonts w:ascii="Times New Roman" w:cs="Times New Roman" w:eastAsia="Times New Roman" w:hAnsi="Times New Roman"/>
          <w:b w:val="1"/>
          <w:sz w:val="28"/>
          <w:szCs w:val="28"/>
          <w:rtl w:val="0"/>
        </w:rPr>
        <w:t xml:space="preserve">pubMLST </w:t>
      </w:r>
      <w:r w:rsidDel="00000000" w:rsidR="00000000" w:rsidRPr="00000000">
        <w:rPr>
          <w:rFonts w:ascii="Times New Roman" w:cs="Times New Roman" w:eastAsia="Times New Roman" w:hAnsi="Times New Roman"/>
          <w:sz w:val="28"/>
          <w:szCs w:val="28"/>
          <w:rtl w:val="0"/>
        </w:rPr>
        <w:t xml:space="preserve">несколько </w:t>
      </w:r>
      <w:r w:rsidDel="00000000" w:rsidR="00000000" w:rsidRPr="00000000">
        <w:rPr>
          <w:rFonts w:ascii="Times New Roman" w:cs="Times New Roman" w:eastAsia="Times New Roman" w:hAnsi="Times New Roman"/>
          <w:sz w:val="28"/>
          <w:szCs w:val="28"/>
          <w:rtl w:val="0"/>
        </w:rPr>
        <w:t xml:space="preserve">улучшает картину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RF</m:t>
            </m:r>
          </m:e>
          <m:sub>
            <m:r>
              <w:rPr>
                <w:rFonts w:ascii="Times New Roman" w:cs="Times New Roman" w:eastAsia="Times New Roman" w:hAnsi="Times New Roman"/>
                <w:sz w:val="28"/>
                <w:szCs w:val="28"/>
              </w:rPr>
              <m:t xml:space="preserve">norm</m:t>
            </m:r>
          </m:sub>
        </m:sSub>
      </m:oMath>
      <w:r w:rsidDel="00000000" w:rsidR="00000000" w:rsidRPr="00000000">
        <w:rPr>
          <w:rFonts w:ascii="Gungsuh" w:cs="Gungsuh" w:eastAsia="Gungsuh" w:hAnsi="Gungsuh"/>
          <w:sz w:val="28"/>
          <w:szCs w:val="28"/>
          <w:rtl w:val="0"/>
        </w:rPr>
        <w:t xml:space="preserve">= 0.808; 12 % совпадений), но остаётся существенно хуже любых экспериментальных панелей ≥ 3 генов (табл. 1).</w:t>
      </w:r>
    </w:p>
    <w:p w:rsidR="00000000" w:rsidDel="00000000" w:rsidP="00000000" w:rsidRDefault="00000000" w:rsidRPr="00000000" w14:paraId="000000F2">
      <w:pPr>
        <w:spacing w:after="240" w:before="24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совокупности результаты подтверждают, что обе традиционные схемы недостаточны для корректной внутривидовой реконструкции филогении </w:t>
      </w:r>
      <w:r w:rsidDel="00000000" w:rsidR="00000000" w:rsidRPr="00000000">
        <w:rPr>
          <w:rFonts w:ascii="Times New Roman" w:cs="Times New Roman" w:eastAsia="Times New Roman" w:hAnsi="Times New Roman"/>
          <w:i w:val="1"/>
          <w:sz w:val="28"/>
          <w:szCs w:val="28"/>
          <w:rtl w:val="0"/>
        </w:rPr>
        <w:t xml:space="preserve">N. gonorrhoeae</w:t>
      </w:r>
      <w:r w:rsidDel="00000000" w:rsidR="00000000" w:rsidRPr="00000000">
        <w:rPr>
          <w:rFonts w:ascii="Times New Roman" w:cs="Times New Roman" w:eastAsia="Times New Roman" w:hAnsi="Times New Roman"/>
          <w:sz w:val="28"/>
          <w:szCs w:val="28"/>
          <w:rtl w:val="0"/>
        </w:rPr>
        <w:t xml:space="preserve"> и значительно уступают разработанной ML-панели, демонстрирующей вдвое меньшее RF-расхождение при сопоставимой или более высокой поддержке клад.</w:t>
      </w:r>
    </w:p>
    <w:p w:rsidR="00000000" w:rsidDel="00000000" w:rsidP="00000000" w:rsidRDefault="00000000" w:rsidRPr="00000000" w14:paraId="000000F3">
      <w:pPr>
        <w:pStyle w:val="Heading4"/>
        <w:ind w:firstLine="720"/>
        <w:rPr>
          <w:rFonts w:ascii="Times New Roman" w:cs="Times New Roman" w:eastAsia="Times New Roman" w:hAnsi="Times New Roman"/>
          <w:sz w:val="28"/>
          <w:szCs w:val="28"/>
        </w:rPr>
      </w:pPr>
      <w:bookmarkStart w:colFirst="0" w:colLast="0" w:name="_kxaoe51zn81u" w:id="18"/>
      <w:bookmarkEnd w:id="18"/>
      <w:r w:rsidDel="00000000" w:rsidR="00000000" w:rsidRPr="00000000">
        <w:rPr>
          <w:rFonts w:ascii="Times New Roman" w:cs="Times New Roman" w:eastAsia="Times New Roman" w:hAnsi="Times New Roman"/>
          <w:sz w:val="28"/>
          <w:szCs w:val="28"/>
          <w:rtl w:val="0"/>
        </w:rPr>
        <w:t xml:space="preserve">Контрольные панели «средней вариабельности»</w:t>
      </w:r>
    </w:p>
    <w:p w:rsidR="00000000" w:rsidDel="00000000" w:rsidP="00000000" w:rsidRDefault="00000000" w:rsidRPr="00000000" w14:paraId="000000F4">
      <w:pPr>
        <w:ind w:left="0" w:firstLine="0"/>
        <w:rPr>
          <w:b w:val="1"/>
        </w:rPr>
      </w:pPr>
      <w:r w:rsidDel="00000000" w:rsidR="00000000" w:rsidRPr="00000000">
        <w:rPr>
          <w:rtl w:val="0"/>
        </w:rPr>
      </w:r>
    </w:p>
    <w:p w:rsidR="00000000" w:rsidDel="00000000" w:rsidP="00000000" w:rsidRDefault="00000000" w:rsidRPr="00000000" w14:paraId="000000F5">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оценить, насколько случайный выбор «средних» по энтропии генов способен удерживать филогенетическую сигнализацию, были сформированы контрольные панели из ортогрупп, находящихся вокруг медианного значения энтропии. Итоги приведены в табл. 6.</w:t>
      </w:r>
    </w:p>
    <w:p w:rsidR="00000000" w:rsidDel="00000000" w:rsidP="00000000" w:rsidRDefault="00000000" w:rsidRPr="00000000" w14:paraId="000000F6">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6. Оценка медианных значений вариабельности</w:t>
      </w:r>
    </w:p>
    <w:tbl>
      <w:tblPr>
        <w:tblStyle w:val="Table6"/>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1695"/>
        <w:gridCol w:w="3105"/>
        <w:gridCol w:w="1920"/>
        <w:tblGridChange w:id="0">
          <w:tblGrid>
            <w:gridCol w:w="2310"/>
            <w:gridCol w:w="1695"/>
            <w:gridCol w:w="3105"/>
            <w:gridCol w:w="192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spacing w:after="20" w:before="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Кол-во генов</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RFnorm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bootstrap</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70.8</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57.3</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63.7</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61.9</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67.3</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68.1</w:t>
            </w:r>
          </w:p>
        </w:tc>
      </w:tr>
    </w:tbl>
    <w:p w:rsidR="00000000" w:rsidDel="00000000" w:rsidP="00000000" w:rsidRDefault="00000000" w:rsidRPr="00000000" w14:paraId="00000124">
      <w:pPr>
        <w:spacing w:after="240" w:before="240" w:lineRule="auto"/>
        <w:rPr/>
      </w:pPr>
      <m:oMath>
        <m:sSub>
          <m:sSubPr>
            <m:ctrlPr>
              <w:rPr/>
            </m:ctrlPr>
          </m:sSubPr>
          <m:e>
            <m:r>
              <w:rPr/>
              <m:t xml:space="preserve">RF</m:t>
            </m:r>
          </m:e>
          <m:sub>
            <m:r>
              <w:rPr/>
              <m:t xml:space="preserve">norm</m:t>
            </m:r>
          </m:sub>
        </m:sSub>
      </m:oMath>
      <w:r w:rsidDel="00000000" w:rsidR="00000000" w:rsidRPr="00000000">
        <w:rPr>
          <w:i w:val="1"/>
          <w:rtl w:val="0"/>
        </w:rPr>
        <w:t xml:space="preserve"> — нормированная Robinson–Foulds-дистанция; при 29 листьях максимум = 52.</w:t>
      </w: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Для комбинаций ≤ 4 генов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RF</m:t>
            </m:r>
          </m:e>
          <m:sub>
            <m:r>
              <w:rPr>
                <w:rFonts w:ascii="Times New Roman" w:cs="Times New Roman" w:eastAsia="Times New Roman" w:hAnsi="Times New Roman"/>
                <w:sz w:val="28"/>
                <w:szCs w:val="28"/>
              </w:rPr>
              <m:t xml:space="preserve">norm</m:t>
            </m:r>
          </m:sub>
        </m:sSub>
      </m:oMath>
      <w:r w:rsidDel="00000000" w:rsidR="00000000" w:rsidRPr="00000000">
        <w:rPr>
          <w:rFonts w:ascii="Gungsuh" w:cs="Gungsuh" w:eastAsia="Gungsuh" w:hAnsi="Gungsuh"/>
          <w:sz w:val="28"/>
          <w:szCs w:val="28"/>
          <w:rtl w:val="0"/>
        </w:rPr>
        <w:t xml:space="preserve"> колеблется между 0.62–0.89 — значительно выше порога «хорошего совпадения» (≤ 0.20) и хуже как «топ-вариабельных», так и ML-панелей аналогичной мощности.</w:t>
        <w:br w:type="textWrapping"/>
      </w:r>
    </w:p>
    <w:p w:rsidR="00000000" w:rsidDel="00000000" w:rsidP="00000000" w:rsidRDefault="00000000" w:rsidRPr="00000000" w14:paraId="00000127">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Средний bootstrap остаётся умеренным (57–70 %), что указывает на нестабильность клады даже при небольшом числе генов.</w:t>
        <w:br w:type="textWrapping"/>
      </w:r>
    </w:p>
    <w:p w:rsidR="00000000" w:rsidDel="00000000" w:rsidP="00000000" w:rsidRDefault="00000000" w:rsidRPr="00000000" w14:paraId="00000128">
      <w:pPr>
        <w:numPr>
          <w:ilvl w:val="0"/>
          <w:numId w:val="3"/>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увеличении панели до 9–10 локусов RF-расхождение снижается до 0.58–0.65, однако не сопоставимо с поддержкой ML-панели (86.9 %) и остаётся выше её же RF (0.65 против 0.65 — при равном числе генов ML-панель демонстрирует более высокую поддержку ветвей).</w:t>
      </w:r>
    </w:p>
    <w:p w:rsidR="00000000" w:rsidDel="00000000" w:rsidP="00000000" w:rsidRDefault="00000000" w:rsidRPr="00000000" w14:paraId="00000129">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A">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Выбор локусов, расположенных близко к медиане распределения вариабельности, </w:t>
      </w:r>
      <w:r w:rsidDel="00000000" w:rsidR="00000000" w:rsidRPr="00000000">
        <w:rPr>
          <w:rFonts w:ascii="Times New Roman" w:cs="Times New Roman" w:eastAsia="Times New Roman" w:hAnsi="Times New Roman"/>
          <w:b w:val="1"/>
          <w:sz w:val="28"/>
          <w:szCs w:val="28"/>
          <w:rtl w:val="0"/>
        </w:rPr>
        <w:t xml:space="preserve">не обеспечивает</w:t>
      </w:r>
      <w:r w:rsidDel="00000000" w:rsidR="00000000" w:rsidRPr="00000000">
        <w:rPr>
          <w:rFonts w:ascii="Times New Roman" w:cs="Times New Roman" w:eastAsia="Times New Roman" w:hAnsi="Times New Roman"/>
          <w:sz w:val="28"/>
          <w:szCs w:val="28"/>
          <w:rtl w:val="0"/>
        </w:rPr>
        <w:t xml:space="preserve"> надёжного воспроизведения эталонной топологии: топологическое расхождение остаётся &gt; 0.57 даже при 10 генах, а bootstrap-подкрепление не превышает 70 %. Следовательно, одна лишь «умеренная» информативность гена не гарантирует его ценности для штаммовой реконструкции; системный отбор (по критерию максимальной энтропии или ML-ранжированию) даёт существенно лучшие результаты при том же или меньшем объёме панели.</w:t>
      </w:r>
    </w:p>
    <w:p w:rsidR="00000000" w:rsidDel="00000000" w:rsidP="00000000" w:rsidRDefault="00000000" w:rsidRPr="00000000" w14:paraId="0000012B">
      <w:pPr>
        <w:pStyle w:val="Heading4"/>
        <w:spacing w:line="360" w:lineRule="auto"/>
        <w:ind w:firstLine="720"/>
        <w:jc w:val="both"/>
        <w:rPr>
          <w:rFonts w:ascii="Times New Roman" w:cs="Times New Roman" w:eastAsia="Times New Roman" w:hAnsi="Times New Roman"/>
          <w:sz w:val="28"/>
          <w:szCs w:val="28"/>
        </w:rPr>
      </w:pPr>
      <w:bookmarkStart w:colFirst="0" w:colLast="0" w:name="_ovayn13ko3qg" w:id="19"/>
      <w:bookmarkEnd w:id="19"/>
      <w:r w:rsidDel="00000000" w:rsidR="00000000" w:rsidRPr="00000000">
        <w:rPr>
          <w:rFonts w:ascii="Times New Roman" w:cs="Times New Roman" w:eastAsia="Times New Roman" w:hAnsi="Times New Roman"/>
          <w:sz w:val="28"/>
          <w:szCs w:val="28"/>
          <w:rtl w:val="0"/>
        </w:rPr>
        <w:t xml:space="preserve">Ограничения подхода</w:t>
      </w:r>
    </w:p>
    <w:p w:rsidR="00000000" w:rsidDel="00000000" w:rsidP="00000000" w:rsidRDefault="00000000" w:rsidRPr="00000000" w14:paraId="0000012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Несмотря на перспективные результаты ML-подхода к отбору информативных локусов для филогенетического анализа N. gonorrhoeae, необходимо отметить ряд принципиальных ограничений разработанной методологии.</w:t>
      </w:r>
    </w:p>
    <w:p w:rsidR="00000000" w:rsidDel="00000000" w:rsidP="00000000" w:rsidRDefault="00000000" w:rsidRPr="00000000" w14:paraId="0000012D">
      <w:pPr>
        <w:spacing w:line="36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Ограничения выборки и репрезентативности</w:t>
      </w:r>
    </w:p>
    <w:p w:rsidR="00000000" w:rsidDel="00000000" w:rsidP="00000000" w:rsidRDefault="00000000" w:rsidRPr="00000000" w14:paraId="0000012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Размер референсной коллекции. Использование 29 штаммов WHO-2024, хотя и обеспечивает высокое качество данных и контролируемое разнообразие, может не полностью отражать глобальное генетическое разнообразие N. gonorrhoeae. Новые штаммы могут содержать аллельные варианты, не представленные в референсной коллекции, что потенциально снижает точность классификации новых изолятов.</w:t>
      </w:r>
    </w:p>
    <w:p w:rsidR="00000000" w:rsidDel="00000000" w:rsidP="00000000" w:rsidRDefault="00000000" w:rsidRPr="00000000" w14:paraId="0000012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0">
      <w:pPr>
        <w:spacing w:line="36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31">
      <w:pPr>
        <w:spacing w:line="36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Методологические ограничения</w:t>
      </w:r>
    </w:p>
    <w:p w:rsidR="00000000" w:rsidDel="00000000" w:rsidP="00000000" w:rsidRDefault="00000000" w:rsidRPr="00000000" w14:paraId="0000013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Точность определения ортологов критически зависит от качества автоматической аннотации генов в исходных сборках. Ошибки в предсказанных CDS или не точные границы в последовательностях могут приводить к возникновению артефактных ортогрупп и снижению надежности филогенетической реконструкции.</w:t>
      </w:r>
    </w:p>
    <w:p w:rsidR="00000000" w:rsidDel="00000000" w:rsidP="00000000" w:rsidRDefault="00000000" w:rsidRPr="00000000" w14:paraId="0000013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Ограничения существующих инструментов.  Алгоритм кластеризации ортологов, реализованного в рамках программного пакета OrthoFinder, может ошибочно группировать паралогичные гены  или разделять ортологи с высокой вариабельностью последовательностей.</w:t>
      </w:r>
    </w:p>
    <w:p w:rsidR="00000000" w:rsidDel="00000000" w:rsidP="00000000" w:rsidRDefault="00000000" w:rsidRPr="00000000" w14:paraId="00000134">
      <w:pPr>
        <w:spacing w:line="360" w:lineRule="auto"/>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35">
      <w:pPr>
        <w:spacing w:line="36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Технические ограничения</w:t>
      </w:r>
    </w:p>
    <w:p w:rsidR="00000000" w:rsidDel="00000000" w:rsidP="00000000" w:rsidRDefault="00000000" w:rsidRPr="00000000" w14:paraId="0000013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Вычислительные требования DNABERT. Эмбеддинг-подход требует значительных вычислительных ресурсов и ограничен длиной последовательности (512 нуклеотидов), что может приводить к потере информации при анализе длинных генов или регионов с множественными вставками/удалением.</w:t>
      </w:r>
    </w:p>
    <w:p w:rsidR="00000000" w:rsidDel="00000000" w:rsidP="00000000" w:rsidRDefault="00000000" w:rsidRPr="00000000" w14:paraId="0000013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Ограничения длины последовательностей. Фрагментация последовательностей для соответствия требованиям DNABERT может нарушать локальные структурные мотивы и снижать качество эмбеддингов, особенно для генов с выраженной доменной организацией.</w:t>
      </w:r>
    </w:p>
    <w:p w:rsidR="00000000" w:rsidDel="00000000" w:rsidP="00000000" w:rsidRDefault="00000000" w:rsidRPr="00000000" w14:paraId="0000013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9">
      <w:pPr>
        <w:spacing w:line="360" w:lineRule="auto"/>
        <w:ind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Биологические ограничения</w:t>
      </w:r>
    </w:p>
    <w:p w:rsidR="00000000" w:rsidDel="00000000" w:rsidP="00000000" w:rsidRDefault="00000000" w:rsidRPr="00000000" w14:paraId="0000013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Отсутствие независимой валидации. Все метрики качества (RF-дистанция, bootstrap-поддержка) рассчитывались относительно эталонного дерева, построенного на той же выборке штаммов. Независимая валидация на новых изолятах с известными эпидемиологическими связями необходима для подтверждения практической применимости метода.</w:t>
      </w:r>
    </w:p>
    <w:p w:rsidR="00000000" w:rsidDel="00000000" w:rsidP="00000000" w:rsidRDefault="00000000" w:rsidRPr="00000000" w14:paraId="0000013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Ограниченность RF-метрики. Robinson-Foulds дистанция оценивает топологические различия деревьев, характеризующее разделение штаммов, но не учитывает длины ветвей и может недооценивать биологически значимые различия между близкородственными штаммами.</w:t>
      </w:r>
      <w:r w:rsidDel="00000000" w:rsidR="00000000" w:rsidRPr="00000000">
        <w:rPr>
          <w:rtl w:val="0"/>
        </w:rPr>
      </w:r>
    </w:p>
    <w:p w:rsidR="00000000" w:rsidDel="00000000" w:rsidP="00000000" w:rsidRDefault="00000000" w:rsidRPr="00000000" w14:paraId="0000013C">
      <w:pPr>
        <w:pStyle w:val="Heading3"/>
        <w:ind w:firstLine="720"/>
        <w:rPr/>
      </w:pPr>
      <w:bookmarkStart w:colFirst="0" w:colLast="0" w:name="_wb963vcmgbqe" w:id="20"/>
      <w:bookmarkEnd w:id="20"/>
      <w:r w:rsidDel="00000000" w:rsidR="00000000" w:rsidRPr="00000000">
        <w:rPr>
          <w:rFonts w:ascii="Times New Roman" w:cs="Times New Roman" w:eastAsia="Times New Roman" w:hAnsi="Times New Roman"/>
          <w:rtl w:val="0"/>
        </w:rPr>
        <w:t xml:space="preserve">Анализ генов антибиотикорезистентности</w:t>
      </w:r>
      <w:r w:rsidDel="00000000" w:rsidR="00000000" w:rsidRPr="00000000">
        <w:rPr>
          <w:rtl w:val="0"/>
        </w:rPr>
      </w:r>
    </w:p>
    <w:p w:rsidR="00000000" w:rsidDel="00000000" w:rsidP="00000000" w:rsidRDefault="00000000" w:rsidRPr="00000000" w14:paraId="0000013D">
      <w:pPr>
        <w:spacing w:after="240" w:before="240" w:line="36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ходе исследования был проведён комплексный анализ профилей антибиотикорезистентности с использованием вычислительного подхода, что позволило выявить ключевые генетические варианты, определить распространённость различных механизмов устойчивости и идентифицировать наиболее значимые классы антибиотиков, к которым наблюдается резистентность.</w:t>
      </w:r>
    </w:p>
    <w:p w:rsidR="00000000" w:rsidDel="00000000" w:rsidP="00000000" w:rsidRDefault="00000000" w:rsidRPr="00000000" w14:paraId="0000013E">
      <w:pPr>
        <w:pStyle w:val="Heading4"/>
        <w:keepNext w:val="0"/>
        <w:keepLines w:val="0"/>
        <w:spacing w:before="280" w:line="360" w:lineRule="auto"/>
        <w:ind w:firstLine="720"/>
        <w:jc w:val="both"/>
        <w:rPr/>
      </w:pPr>
      <w:bookmarkStart w:colFirst="0" w:colLast="0" w:name="_874pz834rfqw" w:id="21"/>
      <w:bookmarkEnd w:id="21"/>
      <w:r w:rsidDel="00000000" w:rsidR="00000000" w:rsidRPr="00000000">
        <w:rPr>
          <w:rFonts w:ascii="Times New Roman" w:cs="Times New Roman" w:eastAsia="Times New Roman" w:hAnsi="Times New Roman"/>
          <w:sz w:val="28"/>
          <w:szCs w:val="28"/>
          <w:rtl w:val="0"/>
        </w:rPr>
        <w:t xml:space="preserve">Используемые инструменты и методы</w:t>
      </w:r>
      <w:r w:rsidDel="00000000" w:rsidR="00000000" w:rsidRPr="00000000">
        <w:rPr>
          <w:rtl w:val="0"/>
        </w:rPr>
      </w:r>
    </w:p>
    <w:p w:rsidR="00000000" w:rsidDel="00000000" w:rsidP="00000000" w:rsidRDefault="00000000" w:rsidRPr="00000000" w14:paraId="0000013F">
      <w:pPr>
        <w:spacing w:after="240" w:before="240" w:line="36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Для анализа антибиотикорезистентности использовалась база данных CARD (версия 3.2.5 от 15 мая 2024 года). CARD - это высококачественная биоинформатическая база данных, которая связывает последовательности генов с механизмами резистентности и соответствующими антибиотиками, обеспечивая всестороннюю информацию о детерминантах антибиотикорезистентности. Все вычислительные процессы выполнялись с использованием Python версии 3.9.12.</w:t>
      </w:r>
    </w:p>
    <w:p w:rsidR="00000000" w:rsidDel="00000000" w:rsidP="00000000" w:rsidRDefault="00000000" w:rsidRPr="00000000" w14:paraId="00000140">
      <w:pPr>
        <w:pStyle w:val="Heading4"/>
        <w:keepNext w:val="0"/>
        <w:keepLines w:val="0"/>
        <w:spacing w:before="280" w:line="360" w:lineRule="auto"/>
        <w:ind w:firstLine="720"/>
        <w:jc w:val="both"/>
        <w:rPr/>
      </w:pPr>
      <w:bookmarkStart w:colFirst="0" w:colLast="0" w:name="_lqn3dlor09tk" w:id="22"/>
      <w:bookmarkEnd w:id="22"/>
      <w:r w:rsidDel="00000000" w:rsidR="00000000" w:rsidRPr="00000000">
        <w:rPr>
          <w:rFonts w:ascii="Times New Roman" w:cs="Times New Roman" w:eastAsia="Times New Roman" w:hAnsi="Times New Roman"/>
          <w:sz w:val="28"/>
          <w:szCs w:val="28"/>
          <w:rtl w:val="0"/>
        </w:rPr>
        <w:t xml:space="preserve">Значимые генетические варианты и их распределение</w:t>
      </w:r>
      <w:r w:rsidDel="00000000" w:rsidR="00000000" w:rsidRPr="00000000">
        <w:rPr>
          <w:rtl w:val="0"/>
        </w:rPr>
      </w:r>
    </w:p>
    <w:p w:rsidR="00000000" w:rsidDel="00000000" w:rsidP="00000000" w:rsidRDefault="00000000" w:rsidRPr="00000000" w14:paraId="00000141">
      <w:pPr>
        <w:spacing w:after="240" w:before="240" w:line="36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Среди значимых вариантов, влияющих на антибиотикорезистентность, были обнаружены изменения как в коровых генах, так и в акцессорных генах. К коровым генам относятся 16S rRNA, PBP1 (ponA), PBP2 (penA), gyr</w:t>
      </w:r>
      <w:r w:rsidDel="00000000" w:rsidR="00000000" w:rsidRPr="00000000">
        <w:rPr>
          <w:rFonts w:ascii="Times New Roman" w:cs="Times New Roman" w:eastAsia="Times New Roman" w:hAnsi="Times New Roman"/>
          <w:sz w:val="28"/>
          <w:szCs w:val="28"/>
          <w:highlight w:val="white"/>
          <w:rtl w:val="0"/>
        </w:rPr>
        <w:t xml:space="preserve">A, parC, mtrC, mtrR, porB, rpsJ. Акцессорные гены включали TEM-1, TEM-135, macA, macB, mtrA, tet(M).</w:t>
      </w:r>
    </w:p>
    <w:p w:rsidR="00000000" w:rsidDel="00000000" w:rsidP="00000000" w:rsidRDefault="00000000" w:rsidRPr="00000000" w14:paraId="00000142">
      <w:pPr>
        <w:spacing w:after="240" w:before="240" w:line="36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Тепловая карта "Присутствие генов резистентности по штаммам" (рис. 1) представляет собой бинарную панель присутствия/отсутствия генов резистен</w:t>
      </w:r>
      <w:r w:rsidDel="00000000" w:rsidR="00000000" w:rsidRPr="00000000">
        <w:rPr>
          <w:rFonts w:ascii="Times New Roman" w:cs="Times New Roman" w:eastAsia="Times New Roman" w:hAnsi="Times New Roman"/>
          <w:sz w:val="28"/>
          <w:szCs w:val="28"/>
          <w:highlight w:val="white"/>
          <w:rtl w:val="0"/>
        </w:rPr>
        <w:t xml:space="preserve">тности для каждого исследуемого штамма. Зелёные ячейки указывают на присутствие конкретного гена у данного штамма, белые – на его отсутствие. Данная визуализация позволяет быстро оценить наличие антибиотикорезистентности у каждого штамма и сопоставить эти данные с кладами штаммов. Однако важно отметить, что эта панель не предоставляет информации об источнике резистентности (конкретном гене) или её механизме действия.</w:t>
      </w:r>
    </w:p>
    <w:p w:rsidR="00000000" w:rsidDel="00000000" w:rsidP="00000000" w:rsidRDefault="00000000" w:rsidRPr="00000000" w14:paraId="00000143">
      <w:pPr>
        <w:pStyle w:val="Heading4"/>
        <w:keepNext w:val="0"/>
        <w:keepLines w:val="0"/>
        <w:spacing w:before="280" w:line="360" w:lineRule="auto"/>
        <w:ind w:firstLine="720"/>
        <w:jc w:val="both"/>
        <w:rPr/>
      </w:pPr>
      <w:bookmarkStart w:colFirst="0" w:colLast="0" w:name="_npp4vg9xwdea" w:id="23"/>
      <w:bookmarkEnd w:id="23"/>
      <w:r w:rsidDel="00000000" w:rsidR="00000000" w:rsidRPr="00000000">
        <w:rPr>
          <w:rFonts w:ascii="Times New Roman" w:cs="Times New Roman" w:eastAsia="Times New Roman" w:hAnsi="Times New Roman"/>
          <w:sz w:val="28"/>
          <w:szCs w:val="28"/>
          <w:rtl w:val="0"/>
        </w:rPr>
        <w:t xml:space="preserve">Распределение генов антибиотикорезистентности (ARG) по классам антибиотиков</w:t>
      </w:r>
      <w:r w:rsidDel="00000000" w:rsidR="00000000" w:rsidRPr="00000000">
        <w:rPr>
          <w:rtl w:val="0"/>
        </w:rPr>
      </w:r>
    </w:p>
    <w:p w:rsidR="00000000" w:rsidDel="00000000" w:rsidP="00000000" w:rsidRDefault="00000000" w:rsidRPr="00000000" w14:paraId="00000144">
      <w:pPr>
        <w:spacing w:after="240" w:before="240" w:line="36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Анализ распределения частот генов антибиотикорезистентности (ARG) по классам антибиотиков позволил получить общую картину резистентности в исследуемой выборке и выявить наиболее распространённые гены и классы антибиотиков, к которым наблюдается устойчивость. Наиболее часто встречающимися классами антибиотиков оказались бета-лактамные антибиотики и макролиды (рис. 2). Среди конкретных генов, связанных с резистентностью, наиболее распространёнными были mtrA, penA, rpsJ и mtrC.</w:t>
      </w:r>
    </w:p>
    <w:p w:rsidR="00000000" w:rsidDel="00000000" w:rsidP="00000000" w:rsidRDefault="00000000" w:rsidRPr="00000000" w14:paraId="00000145">
      <w:pPr>
        <w:spacing w:after="240" w:before="240" w:line="36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Гистограмма "Распределение генов по механизмам резистентности" (рис. 3) показывает частоту встречаемости различных генов и связанные с ними механизмы резистентности. Каждый столбец соответствует определённому гену, а цветовое кодирование внутри столбца указывает на долю различных механизмов резистентности, ассоциированных с этим геном. Например, ген </w:t>
      </w:r>
      <w:r w:rsidDel="00000000" w:rsidR="00000000" w:rsidRPr="00000000">
        <w:rPr>
          <w:rFonts w:ascii="Times New Roman" w:cs="Times New Roman" w:eastAsia="Times New Roman" w:hAnsi="Times New Roman"/>
          <w:i w:val="1"/>
          <w:sz w:val="28"/>
          <w:szCs w:val="28"/>
          <w:highlight w:val="white"/>
          <w:rtl w:val="0"/>
        </w:rPr>
        <w:t xml:space="preserve">mtrA</w:t>
      </w:r>
      <w:r w:rsidDel="00000000" w:rsidR="00000000" w:rsidRPr="00000000">
        <w:rPr>
          <w:rFonts w:ascii="Times New Roman" w:cs="Times New Roman" w:eastAsia="Times New Roman" w:hAnsi="Times New Roman"/>
          <w:sz w:val="28"/>
          <w:szCs w:val="28"/>
          <w:highlight w:val="white"/>
          <w:rtl w:val="0"/>
        </w:rPr>
        <w:t xml:space="preserve"> в основном связан с компонентом системы MtrCDE, тогда как </w:t>
      </w:r>
      <w:r w:rsidDel="00000000" w:rsidR="00000000" w:rsidRPr="00000000">
        <w:rPr>
          <w:rFonts w:ascii="Times New Roman" w:cs="Times New Roman" w:eastAsia="Times New Roman" w:hAnsi="Times New Roman"/>
          <w:i w:val="1"/>
          <w:sz w:val="28"/>
          <w:szCs w:val="28"/>
          <w:highlight w:val="white"/>
          <w:rtl w:val="0"/>
        </w:rPr>
        <w:t xml:space="preserve">penA</w:t>
      </w:r>
      <w:r w:rsidDel="00000000" w:rsidR="00000000" w:rsidRPr="00000000">
        <w:rPr>
          <w:rFonts w:ascii="Times New Roman" w:cs="Times New Roman" w:eastAsia="Times New Roman" w:hAnsi="Times New Roman"/>
          <w:sz w:val="28"/>
          <w:szCs w:val="28"/>
          <w:highlight w:val="white"/>
          <w:rtl w:val="0"/>
        </w:rPr>
        <w:t xml:space="preserve"> в значительной степени ассоциирован с изменённым PBP2. Эта гистограмма позволяет наглядно оценить, какие гены являются наиболее распространёнными детерминантами резистентности и какие механизмы они преимущественно опосредуют.</w:t>
      </w:r>
    </w:p>
    <w:p w:rsidR="00000000" w:rsidDel="00000000" w:rsidP="00000000" w:rsidRDefault="00000000" w:rsidRPr="00000000" w14:paraId="00000146">
      <w:pPr>
        <w:pStyle w:val="Heading4"/>
        <w:keepNext w:val="0"/>
        <w:keepLines w:val="0"/>
        <w:spacing w:before="280" w:line="360" w:lineRule="auto"/>
        <w:ind w:firstLine="720"/>
        <w:jc w:val="both"/>
        <w:rPr/>
      </w:pPr>
      <w:bookmarkStart w:colFirst="0" w:colLast="0" w:name="_e9xvj75fjn2k" w:id="24"/>
      <w:bookmarkEnd w:id="24"/>
      <w:r w:rsidDel="00000000" w:rsidR="00000000" w:rsidRPr="00000000">
        <w:rPr>
          <w:rFonts w:ascii="Times New Roman" w:cs="Times New Roman" w:eastAsia="Times New Roman" w:hAnsi="Times New Roman"/>
          <w:sz w:val="28"/>
          <w:szCs w:val="28"/>
          <w:rtl w:val="0"/>
        </w:rPr>
        <w:t xml:space="preserve">Влияние генов на антибиотикорезистентность и распространённость штаммов</w:t>
      </w:r>
      <w:r w:rsidDel="00000000" w:rsidR="00000000" w:rsidRPr="00000000">
        <w:rPr>
          <w:rtl w:val="0"/>
        </w:rPr>
      </w:r>
    </w:p>
    <w:p w:rsidR="00000000" w:rsidDel="00000000" w:rsidP="00000000" w:rsidRDefault="00000000" w:rsidRPr="00000000" w14:paraId="00000147">
      <w:pPr>
        <w:spacing w:after="240" w:before="240" w:line="36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Тепловая карта "Упоминания антибиотиков в отчетах CARD" (рис. 4) представляет собой тепловую карту, где каждая ячейка отображает количество упоминаний конкретного антибиотика в отчётах CARD для каждого штамма. Интенсивность синего цвета указывает на более высокую степень резистентности или на наличие большего количества генов, ассоциированных с резистентностью к данному антибиотику у конкретного штамма. Эта карта позволяет оценить общую картину резистентности штаммов к различным классам антибиотиков. Например, видно, что штаммы WHO_D, WHO_K и WHO_N демонстрируют высокую резистентность к эритромицину, в то время как другие штаммы могут быть чувствительны или иметь более низкие уровни резистентности.</w:t>
      </w:r>
    </w:p>
    <w:p w:rsidR="00000000" w:rsidDel="00000000" w:rsidP="00000000" w:rsidRDefault="00000000" w:rsidRPr="00000000" w14:paraId="00000148">
      <w:pPr>
        <w:spacing w:after="240" w:before="240" w:line="36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Построена гистограмма (рис. 5), отображающая штаммы по убыванию количества обнаруженных у них генов резистентности. Это позволило идентифицировать штаммы с наиболее обширным профилем резистентности. Наиболее массовыми по количеству генов (по 10 генов) оказались штаммы WHO_Q и WHO_beta.</w:t>
      </w:r>
    </w:p>
    <w:p w:rsidR="00000000" w:rsidDel="00000000" w:rsidP="00000000" w:rsidRDefault="00000000" w:rsidRPr="00000000" w14:paraId="00000149">
      <w:pPr>
        <w:pStyle w:val="Heading4"/>
        <w:keepNext w:val="0"/>
        <w:keepLines w:val="0"/>
        <w:spacing w:before="280" w:line="360" w:lineRule="auto"/>
        <w:ind w:firstLine="720"/>
        <w:jc w:val="both"/>
        <w:rPr/>
      </w:pPr>
      <w:bookmarkStart w:colFirst="0" w:colLast="0" w:name="_antsh1g667wz" w:id="25"/>
      <w:bookmarkEnd w:id="25"/>
      <w:r w:rsidDel="00000000" w:rsidR="00000000" w:rsidRPr="00000000">
        <w:rPr>
          <w:rFonts w:ascii="Times New Roman" w:cs="Times New Roman" w:eastAsia="Times New Roman" w:hAnsi="Times New Roman"/>
          <w:sz w:val="28"/>
          <w:szCs w:val="28"/>
          <w:rtl w:val="0"/>
        </w:rPr>
        <w:t xml:space="preserve">Анализ SNP-аллелей и механизмы устойчивости</w:t>
      </w:r>
      <w:r w:rsidDel="00000000" w:rsidR="00000000" w:rsidRPr="00000000">
        <w:rPr>
          <w:rtl w:val="0"/>
        </w:rPr>
      </w:r>
    </w:p>
    <w:p w:rsidR="00000000" w:rsidDel="00000000" w:rsidP="00000000" w:rsidRDefault="00000000" w:rsidRPr="00000000" w14:paraId="0000014A">
      <w:pPr>
        <w:spacing w:after="240" w:before="240" w:line="36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Для выявления специфических мутаций, влияющих на резистентность, был проведён детальный анализ SNP-аллелей (однонуклеотидных полиморфизмов) внутри ключевых генов. К таким генам относятся penA, porB, gyrA, parC, mtrCDE, TEM-1, tet(M) и другие. Полученный файл с данными о SNP-аллелях может быть использован для дальнейшего анализа значимых акцессорных генов. Следует отметить, что данный файл является результатом глубокого секвенирования и предназначен для дальнейшего самостоятельного биоинформатического анализа конкретных мутаций.</w:t>
      </w:r>
    </w:p>
    <w:p w:rsidR="00000000" w:rsidDel="00000000" w:rsidP="00000000" w:rsidRDefault="00000000" w:rsidRPr="00000000" w14:paraId="0000014B">
      <w:pPr>
        <w:spacing w:after="240" w:before="240" w:line="36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График "Частота механизмов резистентности по антибиотикам" (рис. 6) представляет собой тепловую карту, которая демонстрирует частоту встречаемости различных механизмов резистентности для каждого класса антибиотиков. Цветовая шкала справа показывает частоту, от низкой (светло-желтый) до высокой (тёмно-зелёный). Числовые значения в ячейках указывают на точное количество случаев обнаружения данного механизма резистентности к определенному антибиотику. Например, для эритромицина и азитромицина механизм "antibiotic efflux" является доминирующим (64 и 67 случаев соответственно). Это позволяет понять, какие механизмы резистентности наиболее распространены для конкретных антибиотиков.</w:t>
      </w:r>
    </w:p>
    <w:p w:rsidR="00000000" w:rsidDel="00000000" w:rsidP="00000000" w:rsidRDefault="00000000" w:rsidRPr="00000000" w14:paraId="0000014C">
      <w:pPr>
        <w:pStyle w:val="Heading4"/>
        <w:keepNext w:val="0"/>
        <w:keepLines w:val="0"/>
        <w:spacing w:before="280" w:line="360" w:lineRule="auto"/>
        <w:ind w:firstLine="720"/>
        <w:jc w:val="both"/>
        <w:rPr>
          <w:rFonts w:ascii="Times New Roman" w:cs="Times New Roman" w:eastAsia="Times New Roman" w:hAnsi="Times New Roman"/>
          <w:sz w:val="28"/>
          <w:szCs w:val="28"/>
        </w:rPr>
      </w:pPr>
      <w:bookmarkStart w:colFirst="0" w:colLast="0" w:name="_5ylth6694mio" w:id="26"/>
      <w:bookmarkEnd w:id="26"/>
      <w:r w:rsidDel="00000000" w:rsidR="00000000" w:rsidRPr="00000000">
        <w:rPr>
          <w:rFonts w:ascii="Times New Roman" w:cs="Times New Roman" w:eastAsia="Times New Roman" w:hAnsi="Times New Roman"/>
          <w:sz w:val="28"/>
          <w:szCs w:val="28"/>
          <w:rtl w:val="0"/>
        </w:rPr>
        <w:t xml:space="preserve">Топ-15 наиболее частых комбинаций "Антибиотик/Ген/Механизм"</w:t>
      </w:r>
    </w:p>
    <w:p w:rsidR="00000000" w:rsidDel="00000000" w:rsidP="00000000" w:rsidRDefault="00000000" w:rsidRPr="00000000" w14:paraId="0000014D">
      <w:pPr>
        <w:spacing w:after="240" w:before="240" w:line="36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Данный рисунок представляет собой горизонтальную столбчатую диаграмму (рис. 7), которая отображает 15 самых распространенных комбинаций антибиотик/ген/механизм устойчивости, обнаруженных в исследуемой выборке. Ось Y показывает конкретную комбинацию, а ось X – её частоту встречаемости.</w:t>
      </w:r>
    </w:p>
    <w:p w:rsidR="00000000" w:rsidDel="00000000" w:rsidP="00000000" w:rsidRDefault="00000000" w:rsidRPr="00000000" w14:paraId="0000014E">
      <w:pPr>
        <w:spacing w:after="240" w:before="240" w:line="36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Интерпретация гистограммы:</w:t>
      </w:r>
    </w:p>
    <w:p w:rsidR="00000000" w:rsidDel="00000000" w:rsidP="00000000" w:rsidRDefault="00000000" w:rsidRPr="00000000" w14:paraId="0000014F">
      <w:pPr>
        <w:numPr>
          <w:ilvl w:val="0"/>
          <w:numId w:val="2"/>
        </w:numPr>
        <w:spacing w:after="0" w:afterAutospacing="0" w:before="240"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Доминирование эффлюкса: Наиболее распространёнными комбинациями оказались "erythromycin/RND efflux pump/efflux" и "azithromycin/RND efflux pump/efflux". Это свидетельствует о том, что эффлюкс (выкачивание антибиотиков из клетки белковыми насосами), опосредованный RND-насосами, является ключевым механизмом устойчивости к макролидам (эритромицину и азитромицину) в данной выборке. Макролиды — это важный класс антибиотиков, широко используемых для лечения бактериальных инфекций. Их устойчивость через эффлюксные насосы представляет серьезную клиническую проблему.</w:t>
      </w:r>
    </w:p>
    <w:p w:rsidR="00000000" w:rsidDel="00000000" w:rsidP="00000000" w:rsidRDefault="00000000" w:rsidRPr="00000000" w14:paraId="00000150">
      <w:pPr>
        <w:numPr>
          <w:ilvl w:val="0"/>
          <w:numId w:val="2"/>
        </w:numPr>
        <w:spacing w:after="0" w:afterAutospacing="0" w:before="0" w:beforeAutospacing="0"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Роль Tet. Rib. Prot. и PBP мутаций: Комбинация "tetracycline / Tet. Rib. Prot. / target protection" указывает на то, что устойчивость к тетрациклину (широко используемому антибиотику, ингибирующему синтез белка) часто обусловлена защитой мишени рибосомными защитными белками. Мутации в PBP (пенициллин-связывающих белках), как видно из комбинаций с цефтриаксоном и цефиксимом, являются значимым механизмом изменения мишени для бета-лактамных антибиотиков (цефалоспоринов), что приводит к снижению их аффинности к целевой мишени.</w:t>
      </w:r>
    </w:p>
    <w:p w:rsidR="00000000" w:rsidDel="00000000" w:rsidP="00000000" w:rsidRDefault="00000000" w:rsidRPr="00000000" w14:paraId="00000151">
      <w:pPr>
        <w:numPr>
          <w:ilvl w:val="0"/>
          <w:numId w:val="2"/>
        </w:numPr>
        <w:spacing w:after="0" w:afterAutospacing="0" w:before="0" w:beforeAutospacing="0"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Снижение проницаемости: Для тетрациклина также отмечена комбинация "tetracycline / Bacterial Porin (red. perm.) / reduced permeability", что указывает на вклад пониженной проницаемости бактериальной оболочки за счёт изменений в поринах как механизма резистентности.</w:t>
      </w:r>
    </w:p>
    <w:p w:rsidR="00000000" w:rsidDel="00000000" w:rsidP="00000000" w:rsidRDefault="00000000" w:rsidRPr="00000000" w14:paraId="00000152">
      <w:pPr>
        <w:numPr>
          <w:ilvl w:val="0"/>
          <w:numId w:val="2"/>
        </w:numPr>
        <w:spacing w:after="240" w:before="0" w:beforeAutospacing="0" w:line="36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Гены gyrA и parC в резистентности к фторхинолонам: Комбинации с ситафлоксацином и ципрофлоксацином показывают, что устойчивость к фторхинолонам (таким как ципрофлоксацин и ситафлоксацин, ингибирующие бактериальные топоизомеразы) часто связана с изменениями мишени (генов </w:t>
      </w:r>
      <w:r w:rsidDel="00000000" w:rsidR="00000000" w:rsidRPr="00000000">
        <w:rPr>
          <w:rFonts w:ascii="Times New Roman" w:cs="Times New Roman" w:eastAsia="Times New Roman" w:hAnsi="Times New Roman"/>
          <w:i w:val="1"/>
          <w:sz w:val="28"/>
          <w:szCs w:val="28"/>
          <w:highlight w:val="white"/>
          <w:rtl w:val="0"/>
        </w:rPr>
        <w:t xml:space="preserve">gyrA</w:t>
      </w:r>
      <w:r w:rsidDel="00000000" w:rsidR="00000000" w:rsidRPr="00000000">
        <w:rPr>
          <w:rFonts w:ascii="Times New Roman" w:cs="Times New Roman" w:eastAsia="Times New Roman" w:hAnsi="Times New Roman"/>
          <w:sz w:val="28"/>
          <w:szCs w:val="28"/>
          <w:highlight w:val="white"/>
          <w:rtl w:val="0"/>
        </w:rPr>
        <w:t xml:space="preserve"> и </w:t>
      </w:r>
      <w:r w:rsidDel="00000000" w:rsidR="00000000" w:rsidRPr="00000000">
        <w:rPr>
          <w:rFonts w:ascii="Times New Roman" w:cs="Times New Roman" w:eastAsia="Times New Roman" w:hAnsi="Times New Roman"/>
          <w:i w:val="1"/>
          <w:sz w:val="28"/>
          <w:szCs w:val="28"/>
          <w:highlight w:val="white"/>
          <w:rtl w:val="0"/>
        </w:rPr>
        <w:t xml:space="preserve">parC</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153">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Эта гистограмма предоставляет ценную информацию о наиболее распространённых стратегиях, которые используют бактерии для выработки устойчивости к различным антибиотикам, и может быть использована для разработки более эффективных стратегий лечения и борьбы с распространением резистентности.</w:t>
      </w:r>
    </w:p>
    <w:p w:rsidR="00000000" w:rsidDel="00000000" w:rsidP="00000000" w:rsidRDefault="00000000" w:rsidRPr="00000000" w14:paraId="00000154">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360" w:lineRule="auto"/>
        <w:ind w:left="0" w:right="0" w:firstLine="720"/>
        <w:jc w:val="both"/>
        <w:rPr>
          <w:rFonts w:ascii="Times New Roman" w:cs="Times New Roman" w:eastAsia="Times New Roman" w:hAnsi="Times New Roman"/>
          <w:sz w:val="28"/>
          <w:szCs w:val="28"/>
        </w:rPr>
      </w:pPr>
      <w:bookmarkStart w:colFirst="0" w:colLast="0" w:name="_hi4crnl3ox5m" w:id="27"/>
      <w:bookmarkEnd w:id="27"/>
      <w:r w:rsidDel="00000000" w:rsidR="00000000" w:rsidRPr="00000000">
        <w:rPr>
          <w:rFonts w:ascii="Times New Roman" w:cs="Times New Roman" w:eastAsia="Times New Roman" w:hAnsi="Times New Roman"/>
          <w:sz w:val="28"/>
          <w:szCs w:val="28"/>
          <w:rtl w:val="0"/>
        </w:rPr>
        <w:t xml:space="preserve">Графические представления и воспроизводимость данных</w:t>
      </w:r>
    </w:p>
    <w:p w:rsidR="00000000" w:rsidDel="00000000" w:rsidP="00000000" w:rsidRDefault="00000000" w:rsidRPr="00000000" w14:paraId="00000155">
      <w:pPr>
        <w:spacing w:after="240" w:before="240" w:line="36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Все вышеупомянутые графические представления были построены и активно использовались во «вторичном анализе». Эти визуализации сыграли ключевую роль в интерпретации эпидемиологически значимых кластеров штаммов и в выработке рекомендаций по созданию таргетных ПЦР-панелей. Они позволили эффективно обнаруживать кластеры штаммов со схожими профилями резистентности, что является крайне важным для эпидемиологических исследований и принятия решений в области общественного здравоохранения.</w:t>
      </w:r>
    </w:p>
    <w:p w:rsidR="00000000" w:rsidDel="00000000" w:rsidP="00000000" w:rsidRDefault="00000000" w:rsidRPr="00000000" w14:paraId="00000156">
      <w:pPr>
        <w:spacing w:after="240" w:before="240" w:line="36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Для обеспечения воспроизводимости и открытости исследования, подробный воспроизводимый конвейер, включающий скрипты RGI-парсинга, визуализации и сводные таблицы, размещён в открытом репозитории GitHub. Ссылка на репозиторий будет указана в Приложении.</w:t>
      </w:r>
    </w:p>
    <w:p w:rsidR="00000000" w:rsidDel="00000000" w:rsidP="00000000" w:rsidRDefault="00000000" w:rsidRPr="00000000" w14:paraId="00000157">
      <w:pPr>
        <w:spacing w:after="240" w:before="240" w:line="360" w:lineRule="auto"/>
        <w:jc w:val="both"/>
        <w:rPr>
          <w:rFonts w:ascii="Times New Roman" w:cs="Times New Roman" w:eastAsia="Times New Roman" w:hAnsi="Times New Roman"/>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58">
      <w:pPr>
        <w:pStyle w:val="Heading2"/>
        <w:rPr>
          <w:rFonts w:ascii="Times New Roman" w:cs="Times New Roman" w:eastAsia="Times New Roman" w:hAnsi="Times New Roman"/>
        </w:rPr>
      </w:pPr>
      <w:bookmarkStart w:colFirst="0" w:colLast="0" w:name="_u5745d8najvq" w:id="28"/>
      <w:bookmarkEnd w:id="28"/>
      <w:r w:rsidDel="00000000" w:rsidR="00000000" w:rsidRPr="00000000">
        <w:rPr>
          <w:rFonts w:ascii="Times New Roman" w:cs="Times New Roman" w:eastAsia="Times New Roman" w:hAnsi="Times New Roman"/>
          <w:b w:val="1"/>
          <w:rtl w:val="0"/>
        </w:rPr>
        <w:t xml:space="preserve">ЗАКЛЮЧЕНИЕ</w:t>
      </w:r>
      <w:r w:rsidDel="00000000" w:rsidR="00000000" w:rsidRPr="00000000">
        <w:rPr>
          <w:rtl w:val="0"/>
        </w:rPr>
      </w:r>
    </w:p>
    <w:p w:rsidR="00000000" w:rsidDel="00000000" w:rsidP="00000000" w:rsidRDefault="00000000" w:rsidRPr="00000000" w14:paraId="00000159">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Разработанный машинно‑обученный подход для отбора информативных локусов демонстрирует высокую эффективность при филогенетическом анализе Neisseria gonorrhoeae, существенно превосходя классические схемы типирования. ML‑отобранные панели из двух генов показывают нормированное RF‑расхождение (RFnorm = 0.769 при среднем bootstrap‑поддержке 76.1 %), что значительно лучше как панелей из двух наиболее вариабельных локусов (RFnorm = 0.846, bootstrap = 79.8 %), так и классической двухгенной схемы NG‑MAST (RFnorm = 0.923, bootstrap = 72 %). В наиболее экономичной конфигурации из трёх–четырёх локусов нормированное RF‑расхождение снижается до 0.770, а при расширении панели до десяти генов достигает 0.650; при этом средняя бутстрэп‑поддержка ветвей превышает 90 %, что обеспечивает надёжное воспроизведение штаммовой структуры.</w:t>
      </w:r>
    </w:p>
    <w:p w:rsidR="00000000" w:rsidDel="00000000" w:rsidP="00000000" w:rsidRDefault="00000000" w:rsidRPr="00000000" w14:paraId="0000015A">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Успешная интеграция Random Forest и DNABERT‑эмбеддингов позволяет автоматизировать дизайн схем молекулярного типирования без необходимости полногеномного анализа, что делает метод доступным для рутинного эпидемиологического надзора. Полученные результаты подтверждают возможность точной идентификации штаммов N. gonorrhoeae, отслеживания путей передачи и вспышек инфекции, а также мониторинга распространения штаммов с множественной антибиотикорезистентностью, в то время как затраты и трудоёмкость рутинного генотипирования в клинических лабораториях значительно снижаются.</w:t>
      </w:r>
    </w:p>
    <w:p w:rsidR="00000000" w:rsidDel="00000000" w:rsidP="00000000" w:rsidRDefault="00000000" w:rsidRPr="00000000" w14:paraId="0000015B">
      <w:pPr>
        <w:spacing w:after="240" w:before="24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Несмотря на достигнутые успехи, остаются определённые ограничения: даже для десятилокусной панели фиксируется абсолютное расхождение, эквивалентное примерно 30 из 52 возможных бифуркаций, а высокая частота рекомбинаций в геноме гонококка создаёт мозаичный рисунок вариаций, при котором локусы с «вертикальным» сигналом быстро насыщаются параллельными заменами. Кроме того, обучающая выборка из 29 эталонных штаммов не охватывает всего глобального разнообразия, из‑за чего каждая новая мутация может непропорционально влиять на матрицу расстояний, а агрегированные статистики Random Forest не всегда различают конвергентные и истинно филогенетические изменения.</w:t>
      </w:r>
    </w:p>
    <w:p w:rsidR="00000000" w:rsidDel="00000000" w:rsidP="00000000" w:rsidRDefault="00000000" w:rsidRPr="00000000" w14:paraId="0000015C">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преодоления этих барьеров планируется трёхэтапное расширение методики. Во-первых, выборка будет дополнена несколькими сотнями публичных геномов, что обеспечит модели представленность редкими и географически ограниченными кластерами. Во-вторых, признаковое пространство будет обогащено метаданными — датой и местом изоляции, фенотипом минимальной подавляющей концентрации, типом детерминант устойчивости, — позволяющими отделить сигналы селективного давления от вертикальной эволюции. В-третьих, классический случайный лес предполагается заменить более гибкими архитектурами: сочетания градиентного бустинга, учитывающего взаимосвязи между ортогруппами, и графовых нейронных сетей, способных работать с рекомбинационно‑информативными метриками. Такое развитие методов обеспечит дальнейшее повышение точности и надёжности в самом разнообразном составе штаммов.</w:t>
      </w:r>
    </w:p>
    <w:p w:rsidR="00000000" w:rsidDel="00000000" w:rsidP="00000000" w:rsidRDefault="00000000" w:rsidRPr="00000000" w14:paraId="0000015D">
      <w:pPr>
        <w:spacing w:line="36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E">
      <w:pPr>
        <w:spacing w:line="36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F">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61">
      <w:pPr>
        <w:pStyle w:val="Heading2"/>
        <w:rPr/>
      </w:pPr>
      <w:bookmarkStart w:colFirst="0" w:colLast="0" w:name="_l9xaauiotyhk" w:id="29"/>
      <w:bookmarkEnd w:id="29"/>
      <w:r w:rsidDel="00000000" w:rsidR="00000000" w:rsidRPr="00000000">
        <w:rPr>
          <w:rFonts w:ascii="Times New Roman" w:cs="Times New Roman" w:eastAsia="Times New Roman" w:hAnsi="Times New Roman"/>
          <w:b w:val="1"/>
          <w:rtl w:val="0"/>
        </w:rPr>
        <w:t xml:space="preserve">ОПРЕДЕЛЕНИЯ, ОБОЗНАЧЕНИЯ И СОКРАЩЕНИЯ</w:t>
      </w: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3">
      <w:pPr>
        <w:spacing w:after="200" w:lineRule="auto"/>
        <w:ind w:left="0" w:firstLine="720"/>
        <w:rPr/>
      </w:pPr>
      <w:r w:rsidDel="00000000" w:rsidR="00000000" w:rsidRPr="00000000">
        <w:rPr>
          <w:rFonts w:ascii="Times New Roman" w:cs="Times New Roman" w:eastAsia="Times New Roman" w:hAnsi="Times New Roman"/>
          <w:sz w:val="28"/>
          <w:szCs w:val="28"/>
          <w:rtl w:val="0"/>
        </w:rPr>
        <w:t xml:space="preserve">В настоящем отчете о НИР применяют следующие сокращения и обозначения</w:t>
      </w:r>
      <w:r w:rsidDel="00000000" w:rsidR="00000000" w:rsidRPr="00000000">
        <w:rPr>
          <w:rtl w:val="0"/>
        </w:rPr>
        <w:t xml:space="preserve">:</w:t>
      </w:r>
    </w:p>
    <w:p w:rsidR="00000000" w:rsidDel="00000000" w:rsidP="00000000" w:rsidRDefault="00000000" w:rsidRPr="00000000" w14:paraId="000001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CARD</w:t>
      </w:r>
      <w:r w:rsidDel="00000000" w:rsidR="00000000" w:rsidRPr="00000000">
        <w:rPr>
          <w:rFonts w:ascii="Times New Roman" w:cs="Times New Roman" w:eastAsia="Times New Roman" w:hAnsi="Times New Roman"/>
          <w:sz w:val="28"/>
          <w:szCs w:val="28"/>
          <w:rtl w:val="0"/>
        </w:rPr>
        <w:t xml:space="preserve"> (Comprehensive Antibiotic Resistance Database): Полная база данных по устойчивости к антибиотикам</w:t>
      </w:r>
    </w:p>
    <w:p w:rsidR="00000000" w:rsidDel="00000000" w:rsidP="00000000" w:rsidRDefault="00000000" w:rsidRPr="00000000" w14:paraId="00000165">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HMM </w:t>
      </w:r>
      <w:r w:rsidDel="00000000" w:rsidR="00000000" w:rsidRPr="00000000">
        <w:rPr>
          <w:rFonts w:ascii="Times New Roman" w:cs="Times New Roman" w:eastAsia="Times New Roman" w:hAnsi="Times New Roman"/>
          <w:sz w:val="28"/>
          <w:szCs w:val="28"/>
          <w:rtl w:val="0"/>
        </w:rPr>
        <w:t xml:space="preserve">(Hidden Markov Model, Скрытая марковская модель): это статистическая модель</w:t>
      </w:r>
    </w:p>
    <w:p w:rsidR="00000000" w:rsidDel="00000000" w:rsidP="00000000" w:rsidRDefault="00000000" w:rsidRPr="00000000" w14:paraId="00000166">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Изолят</w:t>
      </w:r>
      <w:r w:rsidDel="00000000" w:rsidR="00000000" w:rsidRPr="00000000">
        <w:rPr>
          <w:rFonts w:ascii="Times New Roman" w:cs="Times New Roman" w:eastAsia="Times New Roman" w:hAnsi="Times New Roman"/>
          <w:sz w:val="28"/>
          <w:szCs w:val="28"/>
          <w:rtl w:val="0"/>
        </w:rPr>
        <w:t xml:space="preserve">: Чистая культура микроорганизма.</w:t>
      </w:r>
    </w:p>
    <w:p w:rsidR="00000000" w:rsidDel="00000000" w:rsidP="00000000" w:rsidRDefault="00000000" w:rsidRPr="00000000" w14:paraId="00000167">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MLST</w:t>
      </w:r>
      <w:r w:rsidDel="00000000" w:rsidR="00000000" w:rsidRPr="00000000">
        <w:rPr>
          <w:rFonts w:ascii="Times New Roman" w:cs="Times New Roman" w:eastAsia="Times New Roman" w:hAnsi="Times New Roman"/>
          <w:sz w:val="28"/>
          <w:szCs w:val="28"/>
          <w:rtl w:val="0"/>
        </w:rPr>
        <w:t xml:space="preserve">: Схема типирования на основе семи housekeeping-генов.</w:t>
      </w:r>
    </w:p>
    <w:p w:rsidR="00000000" w:rsidDel="00000000" w:rsidP="00000000" w:rsidRDefault="00000000" w:rsidRPr="00000000" w14:paraId="00000168">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NG-MAST</w:t>
      </w:r>
      <w:r w:rsidDel="00000000" w:rsidR="00000000" w:rsidRPr="00000000">
        <w:rPr>
          <w:rFonts w:ascii="Times New Roman" w:cs="Times New Roman" w:eastAsia="Times New Roman" w:hAnsi="Times New Roman"/>
          <w:sz w:val="28"/>
          <w:szCs w:val="28"/>
          <w:rtl w:val="0"/>
        </w:rPr>
        <w:t xml:space="preserve">: Двухгенная схема типирования (porB, tbpB).</w:t>
      </w:r>
    </w:p>
    <w:p w:rsidR="00000000" w:rsidDel="00000000" w:rsidP="00000000" w:rsidRDefault="00000000" w:rsidRPr="00000000" w14:paraId="00000169">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NG-STAR</w:t>
      </w:r>
      <w:r w:rsidDel="00000000" w:rsidR="00000000" w:rsidRPr="00000000">
        <w:rPr>
          <w:rFonts w:ascii="Times New Roman" w:cs="Times New Roman" w:eastAsia="Times New Roman" w:hAnsi="Times New Roman"/>
          <w:sz w:val="28"/>
          <w:szCs w:val="28"/>
          <w:rtl w:val="0"/>
        </w:rPr>
        <w:t xml:space="preserve">: Схема типирования для Neisseria gonorrhoeae.</w:t>
      </w:r>
    </w:p>
    <w:p w:rsidR="00000000" w:rsidDel="00000000" w:rsidP="00000000" w:rsidRDefault="00000000" w:rsidRPr="00000000" w14:paraId="0000016A">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Housekeeping-гены:</w:t>
      </w:r>
      <w:r w:rsidDel="00000000" w:rsidR="00000000" w:rsidRPr="00000000">
        <w:rPr>
          <w:rFonts w:ascii="Times New Roman" w:cs="Times New Roman" w:eastAsia="Times New Roman" w:hAnsi="Times New Roman"/>
          <w:sz w:val="28"/>
          <w:szCs w:val="28"/>
          <w:rtl w:val="0"/>
        </w:rPr>
        <w:t xml:space="preserve"> Гены, стабильно экспрессирующиеся в клетке</w:t>
      </w:r>
    </w:p>
    <w:p w:rsidR="00000000" w:rsidDel="00000000" w:rsidP="00000000" w:rsidRDefault="00000000" w:rsidRPr="00000000" w14:paraId="0000016B">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Сore-локусы</w:t>
      </w:r>
      <w:r w:rsidDel="00000000" w:rsidR="00000000" w:rsidRPr="00000000">
        <w:rPr>
          <w:rFonts w:ascii="Times New Roman" w:cs="Times New Roman" w:eastAsia="Times New Roman" w:hAnsi="Times New Roman"/>
          <w:sz w:val="28"/>
          <w:szCs w:val="28"/>
          <w:rtl w:val="0"/>
        </w:rPr>
        <w:t xml:space="preserve">: Гены, присутствующие во всех штаммах вида.</w:t>
      </w:r>
    </w:p>
    <w:p w:rsidR="00000000" w:rsidDel="00000000" w:rsidP="00000000" w:rsidRDefault="00000000" w:rsidRPr="00000000" w14:paraId="0000016C">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Ортогруппы:</w:t>
      </w:r>
      <w:r w:rsidDel="00000000" w:rsidR="00000000" w:rsidRPr="00000000">
        <w:rPr>
          <w:rFonts w:ascii="Times New Roman" w:cs="Times New Roman" w:eastAsia="Times New Roman" w:hAnsi="Times New Roman"/>
          <w:sz w:val="28"/>
          <w:szCs w:val="28"/>
          <w:rtl w:val="0"/>
        </w:rPr>
        <w:t xml:space="preserve"> Группы ортологичных генов - происходят от общего предкового гена в результате видообразования</w:t>
      </w:r>
    </w:p>
    <w:p w:rsidR="00000000" w:rsidDel="00000000" w:rsidP="00000000" w:rsidRDefault="00000000" w:rsidRPr="00000000" w14:paraId="0000016D">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Энтропия Шеннона:</w:t>
      </w:r>
      <w:r w:rsidDel="00000000" w:rsidR="00000000" w:rsidRPr="00000000">
        <w:rPr>
          <w:rFonts w:ascii="Times New Roman" w:cs="Times New Roman" w:eastAsia="Times New Roman" w:hAnsi="Times New Roman"/>
          <w:sz w:val="28"/>
          <w:szCs w:val="28"/>
          <w:rtl w:val="0"/>
        </w:rPr>
        <w:t xml:space="preserve"> Мера вариабельности генетических последовательностей.</w:t>
      </w:r>
    </w:p>
    <w:p w:rsidR="00000000" w:rsidDel="00000000" w:rsidP="00000000" w:rsidRDefault="00000000" w:rsidRPr="00000000" w14:paraId="0000016E">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Парсимониально-информативные позиции:</w:t>
      </w:r>
      <w:r w:rsidDel="00000000" w:rsidR="00000000" w:rsidRPr="00000000">
        <w:rPr>
          <w:rFonts w:ascii="Times New Roman" w:cs="Times New Roman" w:eastAsia="Times New Roman" w:hAnsi="Times New Roman"/>
          <w:sz w:val="28"/>
          <w:szCs w:val="28"/>
          <w:rtl w:val="0"/>
        </w:rPr>
        <w:t xml:space="preserve"> Позиции в выравнивании, информативные для филогении.</w:t>
      </w:r>
    </w:p>
    <w:p w:rsidR="00000000" w:rsidDel="00000000" w:rsidP="00000000" w:rsidRDefault="00000000" w:rsidRPr="00000000" w14:paraId="0000016F">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Попарное расстояние </w:t>
      </w:r>
      <w:r w:rsidDel="00000000" w:rsidR="00000000" w:rsidRPr="00000000">
        <w:rPr>
          <w:rFonts w:ascii="Times New Roman" w:cs="Times New Roman" w:eastAsia="Times New Roman" w:hAnsi="Times New Roman"/>
          <w:sz w:val="28"/>
          <w:szCs w:val="28"/>
          <w:rtl w:val="0"/>
        </w:rPr>
        <w:t xml:space="preserve">(Hamming)</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Метрика различия между последовательностями.</w:t>
      </w:r>
    </w:p>
    <w:p w:rsidR="00000000" w:rsidDel="00000000" w:rsidP="00000000" w:rsidRDefault="00000000" w:rsidRPr="00000000" w14:paraId="00000170">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Филогенетическое дерево:</w:t>
      </w:r>
      <w:r w:rsidDel="00000000" w:rsidR="00000000" w:rsidRPr="00000000">
        <w:rPr>
          <w:rFonts w:ascii="Times New Roman" w:cs="Times New Roman" w:eastAsia="Times New Roman" w:hAnsi="Times New Roman"/>
          <w:sz w:val="28"/>
          <w:szCs w:val="28"/>
          <w:rtl w:val="0"/>
        </w:rPr>
        <w:t xml:space="preserve"> Графическое представление эволюционных связей.</w:t>
      </w:r>
    </w:p>
    <w:p w:rsidR="00000000" w:rsidDel="00000000" w:rsidP="00000000" w:rsidRDefault="00000000" w:rsidRPr="00000000" w14:paraId="00000171">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Robinson–Foulds-дистанция (RF):</w:t>
      </w:r>
      <w:r w:rsidDel="00000000" w:rsidR="00000000" w:rsidRPr="00000000">
        <w:rPr>
          <w:rFonts w:ascii="Times New Roman" w:cs="Times New Roman" w:eastAsia="Times New Roman" w:hAnsi="Times New Roman"/>
          <w:sz w:val="28"/>
          <w:szCs w:val="28"/>
          <w:rtl w:val="0"/>
        </w:rPr>
        <w:t xml:space="preserve"> Метрика для сравнения топологий деревьев</w:t>
      </w:r>
    </w:p>
    <w:p w:rsidR="00000000" w:rsidDel="00000000" w:rsidP="00000000" w:rsidRDefault="00000000" w:rsidRPr="00000000" w14:paraId="00000172">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Ultrafast-bootstrap (UFBoot)</w:t>
      </w:r>
      <w:r w:rsidDel="00000000" w:rsidR="00000000" w:rsidRPr="00000000">
        <w:rPr>
          <w:rFonts w:ascii="Times New Roman" w:cs="Times New Roman" w:eastAsia="Times New Roman" w:hAnsi="Times New Roman"/>
          <w:sz w:val="28"/>
          <w:szCs w:val="28"/>
          <w:rtl w:val="0"/>
        </w:rPr>
        <w:t xml:space="preserve">: Метод оценки поддержки ветвей в филогении.</w:t>
      </w:r>
    </w:p>
    <w:p w:rsidR="00000000" w:rsidDel="00000000" w:rsidP="00000000" w:rsidRDefault="00000000" w:rsidRPr="00000000" w14:paraId="00000173">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MFP (ModelFinder Plus)</w:t>
      </w:r>
      <w:r w:rsidDel="00000000" w:rsidR="00000000" w:rsidRPr="00000000">
        <w:rPr>
          <w:rFonts w:ascii="Times New Roman" w:cs="Times New Roman" w:eastAsia="Times New Roman" w:hAnsi="Times New Roman"/>
          <w:sz w:val="28"/>
          <w:szCs w:val="28"/>
          <w:rtl w:val="0"/>
        </w:rPr>
        <w:t xml:space="preserve">: Автовыбор модели эволюции в IQ-TREE.</w:t>
      </w:r>
    </w:p>
    <w:p w:rsidR="00000000" w:rsidDel="00000000" w:rsidP="00000000" w:rsidRDefault="00000000" w:rsidRPr="00000000" w14:paraId="00000174">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MAE (Mean Absolute Error)</w:t>
      </w:r>
      <w:r w:rsidDel="00000000" w:rsidR="00000000" w:rsidRPr="00000000">
        <w:rPr>
          <w:rFonts w:ascii="Times New Roman" w:cs="Times New Roman" w:eastAsia="Times New Roman" w:hAnsi="Times New Roman"/>
          <w:sz w:val="28"/>
          <w:szCs w:val="28"/>
          <w:rtl w:val="0"/>
        </w:rPr>
        <w:t xml:space="preserve">: Средняя абсолютная ошибка в регрессии.</w:t>
      </w:r>
    </w:p>
    <w:p w:rsidR="00000000" w:rsidDel="00000000" w:rsidP="00000000" w:rsidRDefault="00000000" w:rsidRPr="00000000" w14:paraId="00000175">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Политомии:</w:t>
      </w:r>
      <w:r w:rsidDel="00000000" w:rsidR="00000000" w:rsidRPr="00000000">
        <w:rPr>
          <w:rFonts w:ascii="Times New Roman" w:cs="Times New Roman" w:eastAsia="Times New Roman" w:hAnsi="Times New Roman"/>
          <w:sz w:val="28"/>
          <w:szCs w:val="28"/>
          <w:rtl w:val="0"/>
        </w:rPr>
        <w:t xml:space="preserve"> Неразрешённые узлы в филогенетическом дереве.</w:t>
      </w:r>
    </w:p>
    <w:p w:rsidR="00000000" w:rsidDel="00000000" w:rsidP="00000000" w:rsidRDefault="00000000" w:rsidRPr="00000000" w14:paraId="00000176">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Антибиотикорезистентность:</w:t>
      </w:r>
      <w:r w:rsidDel="00000000" w:rsidR="00000000" w:rsidRPr="00000000">
        <w:rPr>
          <w:rFonts w:ascii="Times New Roman" w:cs="Times New Roman" w:eastAsia="Times New Roman" w:hAnsi="Times New Roman"/>
          <w:sz w:val="28"/>
          <w:szCs w:val="28"/>
          <w:rtl w:val="0"/>
        </w:rPr>
        <w:t xml:space="preserve"> Способность микроорганизмов выживать и размножаться в присутствии антибактериальных препаратов, которые обычно подавляют их рост или убивают.</w:t>
      </w:r>
    </w:p>
    <w:p w:rsidR="00000000" w:rsidDel="00000000" w:rsidP="00000000" w:rsidRDefault="00000000" w:rsidRPr="00000000" w14:paraId="00000177">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Коровые гены:</w:t>
      </w:r>
      <w:r w:rsidDel="00000000" w:rsidR="00000000" w:rsidRPr="00000000">
        <w:rPr>
          <w:rFonts w:ascii="Times New Roman" w:cs="Times New Roman" w:eastAsia="Times New Roman" w:hAnsi="Times New Roman"/>
          <w:sz w:val="28"/>
          <w:szCs w:val="28"/>
          <w:rtl w:val="0"/>
        </w:rPr>
        <w:t xml:space="preserve"> Гены, присутствующие у большинства или всех представителей определённой группы организмов, обычно необходимые для их выживания и базовых клеточных функций.</w:t>
      </w:r>
    </w:p>
    <w:p w:rsidR="00000000" w:rsidDel="00000000" w:rsidP="00000000" w:rsidRDefault="00000000" w:rsidRPr="00000000" w14:paraId="00000178">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Акцессорные гены (дополнительные гены):</w:t>
      </w:r>
      <w:r w:rsidDel="00000000" w:rsidR="00000000" w:rsidRPr="00000000">
        <w:rPr>
          <w:rFonts w:ascii="Times New Roman" w:cs="Times New Roman" w:eastAsia="Times New Roman" w:hAnsi="Times New Roman"/>
          <w:sz w:val="28"/>
          <w:szCs w:val="28"/>
          <w:rtl w:val="0"/>
        </w:rPr>
        <w:t xml:space="preserve"> Гены, которые могут быть приобретены или утрачены организмами, не являясь строго необходимыми для выживания, но часто придающие адаптивные преимущества, такие как антибиотикорезистентность.</w:t>
      </w:r>
    </w:p>
    <w:p w:rsidR="00000000" w:rsidDel="00000000" w:rsidP="00000000" w:rsidRDefault="00000000" w:rsidRPr="00000000" w14:paraId="00000179">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Бинарная панель присутствия/отсутствия:</w:t>
      </w:r>
      <w:r w:rsidDel="00000000" w:rsidR="00000000" w:rsidRPr="00000000">
        <w:rPr>
          <w:rFonts w:ascii="Times New Roman" w:cs="Times New Roman" w:eastAsia="Times New Roman" w:hAnsi="Times New Roman"/>
          <w:sz w:val="28"/>
          <w:szCs w:val="28"/>
          <w:rtl w:val="0"/>
        </w:rPr>
        <w:t xml:space="preserve"> Визуальное представление данных, где наличие или отсутствие определённого признака (в данном случае, гена резистентности) отображается в виде бинарного значения (например, цветом).</w:t>
      </w:r>
    </w:p>
    <w:p w:rsidR="00000000" w:rsidDel="00000000" w:rsidP="00000000" w:rsidRDefault="00000000" w:rsidRPr="00000000" w14:paraId="0000017A">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Клады штаммов:</w:t>
      </w:r>
      <w:r w:rsidDel="00000000" w:rsidR="00000000" w:rsidRPr="00000000">
        <w:rPr>
          <w:rFonts w:ascii="Times New Roman" w:cs="Times New Roman" w:eastAsia="Times New Roman" w:hAnsi="Times New Roman"/>
          <w:sz w:val="28"/>
          <w:szCs w:val="28"/>
          <w:rtl w:val="0"/>
        </w:rPr>
        <w:t xml:space="preserve"> Группы штаммов, имеющие общего предка, определяемые на основе филогенетического анализа.</w:t>
      </w:r>
    </w:p>
    <w:p w:rsidR="00000000" w:rsidDel="00000000" w:rsidP="00000000" w:rsidRDefault="00000000" w:rsidRPr="00000000" w14:paraId="0000017B">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ARG (Antibiotic Resistance Gene):</w:t>
      </w:r>
      <w:r w:rsidDel="00000000" w:rsidR="00000000" w:rsidRPr="00000000">
        <w:rPr>
          <w:rFonts w:ascii="Times New Roman" w:cs="Times New Roman" w:eastAsia="Times New Roman" w:hAnsi="Times New Roman"/>
          <w:sz w:val="28"/>
          <w:szCs w:val="28"/>
          <w:rtl w:val="0"/>
        </w:rPr>
        <w:t xml:space="preserve"> Ген антибиотикорезистентности – генетическая последовательность, кодирующая белок или РНК, которая обеспечивает устойчивость к одному или нескольким антибиотикам.</w:t>
      </w:r>
    </w:p>
    <w:p w:rsidR="00000000" w:rsidDel="00000000" w:rsidP="00000000" w:rsidRDefault="00000000" w:rsidRPr="00000000" w14:paraId="0000017C">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Тепловая карта (Heatmap):</w:t>
      </w:r>
      <w:r w:rsidDel="00000000" w:rsidR="00000000" w:rsidRPr="00000000">
        <w:rPr>
          <w:rFonts w:ascii="Times New Roman" w:cs="Times New Roman" w:eastAsia="Times New Roman" w:hAnsi="Times New Roman"/>
          <w:sz w:val="28"/>
          <w:szCs w:val="28"/>
          <w:rtl w:val="0"/>
        </w:rPr>
        <w:t xml:space="preserve"> Графическое представление данных, где значения в матрице представлены цветами. Используется для визуализации закономерностей и кластеров в больших массивах данных.</w:t>
      </w:r>
    </w:p>
    <w:p w:rsidR="00000000" w:rsidDel="00000000" w:rsidP="00000000" w:rsidRDefault="00000000" w:rsidRPr="00000000" w14:paraId="0000017D">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Гистограмма:</w:t>
      </w:r>
      <w:r w:rsidDel="00000000" w:rsidR="00000000" w:rsidRPr="00000000">
        <w:rPr>
          <w:rFonts w:ascii="Times New Roman" w:cs="Times New Roman" w:eastAsia="Times New Roman" w:hAnsi="Times New Roman"/>
          <w:sz w:val="28"/>
          <w:szCs w:val="28"/>
          <w:rtl w:val="0"/>
        </w:rPr>
        <w:t xml:space="preserve"> Графическое представление распределения числовых данных.</w:t>
      </w:r>
    </w:p>
    <w:p w:rsidR="00000000" w:rsidDel="00000000" w:rsidP="00000000" w:rsidRDefault="00000000" w:rsidRPr="00000000" w14:paraId="0000017E">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SNP-аллели (Single Nucleotide Polymorphism alleles):</w:t>
      </w:r>
      <w:r w:rsidDel="00000000" w:rsidR="00000000" w:rsidRPr="00000000">
        <w:rPr>
          <w:rFonts w:ascii="Times New Roman" w:cs="Times New Roman" w:eastAsia="Times New Roman" w:hAnsi="Times New Roman"/>
          <w:sz w:val="28"/>
          <w:szCs w:val="28"/>
          <w:rtl w:val="0"/>
        </w:rPr>
        <w:t xml:space="preserve"> Различные варианты последовательности ДНК, отличающиеся одним нуклеотидом в определённой позиции.</w:t>
      </w:r>
    </w:p>
    <w:p w:rsidR="00000000" w:rsidDel="00000000" w:rsidP="00000000" w:rsidRDefault="00000000" w:rsidRPr="00000000" w14:paraId="0000017F">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Эффлюкс:</w:t>
      </w:r>
      <w:r w:rsidDel="00000000" w:rsidR="00000000" w:rsidRPr="00000000">
        <w:rPr>
          <w:rFonts w:ascii="Times New Roman" w:cs="Times New Roman" w:eastAsia="Times New Roman" w:hAnsi="Times New Roman"/>
          <w:sz w:val="28"/>
          <w:szCs w:val="28"/>
          <w:rtl w:val="0"/>
        </w:rPr>
        <w:t xml:space="preserve"> Активный механизм выведения веществ (в данном случае, антибиотиков) из клетки с помощью специализированных белковых насосов.</w:t>
      </w:r>
    </w:p>
    <w:p w:rsidR="00000000" w:rsidDel="00000000" w:rsidP="00000000" w:rsidRDefault="00000000" w:rsidRPr="00000000" w14:paraId="00000180">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Изменение мишени:</w:t>
      </w:r>
      <w:r w:rsidDel="00000000" w:rsidR="00000000" w:rsidRPr="00000000">
        <w:rPr>
          <w:rFonts w:ascii="Times New Roman" w:cs="Times New Roman" w:eastAsia="Times New Roman" w:hAnsi="Times New Roman"/>
          <w:sz w:val="28"/>
          <w:szCs w:val="28"/>
          <w:rtl w:val="0"/>
        </w:rPr>
        <w:t xml:space="preserve"> Механизм резистентности, при котором структура белка-мишени антибиотика изменяется, снижая или исключая его связывание с антибиотиком.</w:t>
      </w:r>
    </w:p>
    <w:p w:rsidR="00000000" w:rsidDel="00000000" w:rsidP="00000000" w:rsidRDefault="00000000" w:rsidRPr="00000000" w14:paraId="00000181">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Защита мишени:</w:t>
      </w:r>
      <w:r w:rsidDel="00000000" w:rsidR="00000000" w:rsidRPr="00000000">
        <w:rPr>
          <w:rFonts w:ascii="Times New Roman" w:cs="Times New Roman" w:eastAsia="Times New Roman" w:hAnsi="Times New Roman"/>
          <w:sz w:val="28"/>
          <w:szCs w:val="28"/>
          <w:rtl w:val="0"/>
        </w:rPr>
        <w:t xml:space="preserve"> Механизм резистентности, при котором бактерия синтезирует белок, который связывается с мишенью антибиотика, предотвращая его связывание.</w:t>
      </w:r>
    </w:p>
    <w:p w:rsidR="00000000" w:rsidDel="00000000" w:rsidP="00000000" w:rsidRDefault="00000000" w:rsidRPr="00000000" w14:paraId="00000182">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RND efflux pump (Resistance-Nodulation-Cell Division efflux pump):</w:t>
      </w:r>
      <w:r w:rsidDel="00000000" w:rsidR="00000000" w:rsidRPr="00000000">
        <w:rPr>
          <w:rFonts w:ascii="Times New Roman" w:cs="Times New Roman" w:eastAsia="Times New Roman" w:hAnsi="Times New Roman"/>
          <w:sz w:val="28"/>
          <w:szCs w:val="28"/>
          <w:rtl w:val="0"/>
        </w:rPr>
        <w:t xml:space="preserve"> Семейство трансмембранных белков, образующих эффлюксные насосы, которые активно выкачивают широкий спектр антибиотиков и других токсичных соединений из бактериальной клетки.</w:t>
      </w:r>
    </w:p>
    <w:p w:rsidR="00000000" w:rsidDel="00000000" w:rsidP="00000000" w:rsidRDefault="00000000" w:rsidRPr="00000000" w14:paraId="00000183">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Бета-лактамные антибиотики:</w:t>
      </w:r>
      <w:r w:rsidDel="00000000" w:rsidR="00000000" w:rsidRPr="00000000">
        <w:rPr>
          <w:rFonts w:ascii="Times New Roman" w:cs="Times New Roman" w:eastAsia="Times New Roman" w:hAnsi="Times New Roman"/>
          <w:sz w:val="28"/>
          <w:szCs w:val="28"/>
          <w:rtl w:val="0"/>
        </w:rPr>
        <w:t xml:space="preserve"> Широкий класс антибиотиков, включающий пенициллины, цефалоспорины, карбапенемы и монобактамы, которые действуют, ингибируя синтез бактериальной клеточной стенки.</w:t>
      </w:r>
    </w:p>
    <w:p w:rsidR="00000000" w:rsidDel="00000000" w:rsidP="00000000" w:rsidRDefault="00000000" w:rsidRPr="00000000" w14:paraId="00000184">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Макролиды:</w:t>
      </w:r>
      <w:r w:rsidDel="00000000" w:rsidR="00000000" w:rsidRPr="00000000">
        <w:rPr>
          <w:rFonts w:ascii="Times New Roman" w:cs="Times New Roman" w:eastAsia="Times New Roman" w:hAnsi="Times New Roman"/>
          <w:sz w:val="28"/>
          <w:szCs w:val="28"/>
          <w:rtl w:val="0"/>
        </w:rPr>
        <w:t xml:space="preserve"> Класс антибиотиков, ингибирующих синтез белка бактериями путём связывания с 50S субъединицей рибосом.</w:t>
      </w:r>
    </w:p>
    <w:p w:rsidR="00000000" w:rsidDel="00000000" w:rsidP="00000000" w:rsidRDefault="00000000" w:rsidRPr="00000000" w14:paraId="00000185">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Tetracycline Ribosomal Protection Protein (Tet. Rib. Prot.):</w:t>
      </w:r>
      <w:r w:rsidDel="00000000" w:rsidR="00000000" w:rsidRPr="00000000">
        <w:rPr>
          <w:rFonts w:ascii="Times New Roman" w:cs="Times New Roman" w:eastAsia="Times New Roman" w:hAnsi="Times New Roman"/>
          <w:sz w:val="28"/>
          <w:szCs w:val="28"/>
          <w:rtl w:val="0"/>
        </w:rPr>
        <w:t xml:space="preserve"> Белки, которые связываются с рибосомами и предотвращают действие тетрациклиновых антибиотиков.</w:t>
      </w:r>
    </w:p>
    <w:p w:rsidR="00000000" w:rsidDel="00000000" w:rsidP="00000000" w:rsidRDefault="00000000" w:rsidRPr="00000000" w14:paraId="00000186">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PBP (Penicillin-Binding Protein):</w:t>
      </w:r>
      <w:r w:rsidDel="00000000" w:rsidR="00000000" w:rsidRPr="00000000">
        <w:rPr>
          <w:rFonts w:ascii="Times New Roman" w:cs="Times New Roman" w:eastAsia="Times New Roman" w:hAnsi="Times New Roman"/>
          <w:sz w:val="28"/>
          <w:szCs w:val="28"/>
          <w:rtl w:val="0"/>
        </w:rPr>
        <w:t xml:space="preserve"> Пенициллин-связывающие белки – ферменты, участвующие в синтезе пептидогликана клеточной стенки бактерий, являющиеся мишенями для бета-лактамных антибиотиков. Мутации в этих белках могут приводить к резистентности.</w:t>
      </w:r>
    </w:p>
    <w:p w:rsidR="00000000" w:rsidDel="00000000" w:rsidP="00000000" w:rsidRDefault="00000000" w:rsidRPr="00000000" w14:paraId="00000187">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Фторхинолоны:</w:t>
      </w:r>
      <w:r w:rsidDel="00000000" w:rsidR="00000000" w:rsidRPr="00000000">
        <w:rPr>
          <w:rFonts w:ascii="Times New Roman" w:cs="Times New Roman" w:eastAsia="Times New Roman" w:hAnsi="Times New Roman"/>
          <w:sz w:val="28"/>
          <w:szCs w:val="28"/>
          <w:rtl w:val="0"/>
        </w:rPr>
        <w:t xml:space="preserve"> Класс антибиотиков, ингибирующих бактериальные топоизомеразы (ДНК-гиразу и топоизомеразу IV), необходимые для репликации и деления бактериальной ДНК.</w:t>
      </w:r>
    </w:p>
    <w:p w:rsidR="00000000" w:rsidDel="00000000" w:rsidP="00000000" w:rsidRDefault="00000000" w:rsidRPr="00000000" w14:paraId="00000188">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Порины:</w:t>
      </w:r>
      <w:r w:rsidDel="00000000" w:rsidR="00000000" w:rsidRPr="00000000">
        <w:rPr>
          <w:rFonts w:ascii="Times New Roman" w:cs="Times New Roman" w:eastAsia="Times New Roman" w:hAnsi="Times New Roman"/>
          <w:sz w:val="28"/>
          <w:szCs w:val="28"/>
          <w:rtl w:val="0"/>
        </w:rPr>
        <w:t xml:space="preserve"> Белки, образующие каналы во внешней мембране грамотрицательных бактерий, через которые могут проникать гидрофильные молекулы, включая антибиотики. Изменения в поринах могут приводить к снижению проницаемости и резистентности.</w:t>
      </w:r>
    </w:p>
    <w:p w:rsidR="00000000" w:rsidDel="00000000" w:rsidP="00000000" w:rsidRDefault="00000000" w:rsidRPr="00000000" w14:paraId="00000189">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Таргетные ПЦР-панели:</w:t>
      </w:r>
      <w:r w:rsidDel="00000000" w:rsidR="00000000" w:rsidRPr="00000000">
        <w:rPr>
          <w:rFonts w:ascii="Times New Roman" w:cs="Times New Roman" w:eastAsia="Times New Roman" w:hAnsi="Times New Roman"/>
          <w:sz w:val="28"/>
          <w:szCs w:val="28"/>
          <w:rtl w:val="0"/>
        </w:rPr>
        <w:t xml:space="preserve"> Наборы праймеров для полимеразной цепной реакции (ПЦР), разработанные для обнаружения специфических генов или мутаций, связанных с антибиотикорезистентностью.</w:t>
      </w:r>
    </w:p>
    <w:p w:rsidR="00000000" w:rsidDel="00000000" w:rsidP="00000000" w:rsidRDefault="00000000" w:rsidRPr="00000000" w14:paraId="0000018A">
      <w:pPr>
        <w:pStyle w:val="Heading2"/>
        <w:rPr/>
      </w:pPr>
      <w:bookmarkStart w:colFirst="0" w:colLast="0" w:name="_cl96zqsyetqf" w:id="30"/>
      <w:bookmarkEnd w:id="30"/>
      <w:r w:rsidDel="00000000" w:rsidR="00000000" w:rsidRPr="00000000">
        <w:rPr>
          <w:rFonts w:ascii="Times New Roman" w:cs="Times New Roman" w:eastAsia="Times New Roman" w:hAnsi="Times New Roman"/>
          <w:b w:val="1"/>
          <w:rtl w:val="0"/>
        </w:rPr>
        <w:t xml:space="preserve">ПРИЛОЖЕНИЕ</w:t>
      </w:r>
      <w:r w:rsidDel="00000000" w:rsidR="00000000" w:rsidRPr="00000000">
        <w:rPr>
          <w:rtl w:val="0"/>
        </w:rPr>
      </w:r>
    </w:p>
    <w:p w:rsidR="00000000" w:rsidDel="00000000" w:rsidP="00000000" w:rsidRDefault="00000000" w:rsidRPr="00000000" w14:paraId="0000018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416300"/>
            <wp:effectExtent b="0" l="0" r="0" t="0"/>
            <wp:docPr id="1"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5731200" cy="3416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Рисунок 1 - Присутствие генов резистентности по штаммам</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832100"/>
            <wp:effectExtent b="0" l="0" r="0" t="0"/>
            <wp:docPr id="6"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5731200" cy="28321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Рисунок 2 - Распределение классов антибиотиков </w:t>
      </w:r>
    </w:p>
    <w:p w:rsidR="00000000" w:rsidDel="00000000" w:rsidP="00000000" w:rsidRDefault="00000000" w:rsidRPr="00000000" w14:paraId="0000018E">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860800"/>
            <wp:effectExtent b="0" l="0" r="0" t="0"/>
            <wp:docPr id="2" name="image5.png"/>
            <a:graphic>
              <a:graphicData uri="http://schemas.openxmlformats.org/drawingml/2006/picture">
                <pic:pic>
                  <pic:nvPicPr>
                    <pic:cNvPr id="0" name="image5.png"/>
                    <pic:cNvPicPr preferRelativeResize="0"/>
                  </pic:nvPicPr>
                  <pic:blipFill>
                    <a:blip r:embed="rId34"/>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 Распределение генов среди штаммов</w:t>
      </w:r>
    </w:p>
    <w:p w:rsidR="00000000" w:rsidDel="00000000" w:rsidP="00000000" w:rsidRDefault="00000000" w:rsidRPr="00000000" w14:paraId="00000190">
      <w:pPr>
        <w:spacing w:after="240" w:before="24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1">
      <w:pPr>
        <w:rPr/>
      </w:pPr>
      <w:r w:rsidDel="00000000" w:rsidR="00000000" w:rsidRPr="00000000">
        <w:rPr/>
        <w:drawing>
          <wp:inline distB="114300" distT="114300" distL="114300" distR="114300">
            <wp:extent cx="5731200" cy="3149600"/>
            <wp:effectExtent b="0" l="0" r="0" t="0"/>
            <wp:docPr id="5" name="image4.png"/>
            <a:graphic>
              <a:graphicData uri="http://schemas.openxmlformats.org/drawingml/2006/picture">
                <pic:pic>
                  <pic:nvPicPr>
                    <pic:cNvPr id="0" name="image4.png"/>
                    <pic:cNvPicPr preferRelativeResize="0"/>
                  </pic:nvPicPr>
                  <pic:blipFill>
                    <a:blip r:embed="rId35"/>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4 - Тепловая карта по количеству упоминаний антибиотиков в отчетах CARD</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drawing>
          <wp:inline distB="114300" distT="114300" distL="114300" distR="114300">
            <wp:extent cx="5731200" cy="4279900"/>
            <wp:effectExtent b="0" l="0" r="0" t="0"/>
            <wp:docPr id="4"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5 - Количество вариантов антибиотикорезистентности на штамм</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drawing>
          <wp:inline distB="114300" distT="114300" distL="114300" distR="114300">
            <wp:extent cx="5731200" cy="2184400"/>
            <wp:effectExtent b="0" l="0" r="0" t="0"/>
            <wp:docPr id="3"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6 - Распределение механизмов резистентности по антибиотикам</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drawing>
          <wp:inline distB="114300" distT="114300" distL="114300" distR="114300">
            <wp:extent cx="5731200" cy="2247900"/>
            <wp:effectExtent b="0" l="0" r="0" t="0"/>
            <wp:docPr id="7" name="image6.png"/>
            <a:graphic>
              <a:graphicData uri="http://schemas.openxmlformats.org/drawingml/2006/picture">
                <pic:pic>
                  <pic:nvPicPr>
                    <pic:cNvPr id="0" name="image6.png"/>
                    <pic:cNvPicPr preferRelativeResize="0"/>
                  </pic:nvPicPr>
                  <pic:blipFill>
                    <a:blip r:embed="rId38"/>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7 - Топ-15 комбинаций Антибиотик/Ген/Механизм</w:t>
      </w:r>
      <w:r w:rsidDel="00000000" w:rsidR="00000000" w:rsidRPr="00000000">
        <w:rPr>
          <w:rtl w:val="0"/>
        </w:rPr>
      </w:r>
    </w:p>
    <w:sectPr>
      <w:footerReference r:id="rId3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360" w:lineRule="auto"/>
      <w:ind w:firstLine="720"/>
      <w:jc w:val="both"/>
    </w:pPr>
    <w:rPr>
      <w:sz w:val="32"/>
      <w:szCs w:val="32"/>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spacing w:after="80" w:before="280" w:line="360" w:lineRule="auto"/>
      <w:jc w:val="both"/>
    </w:pPr>
    <w:rPr>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86/s12864-020-6511-6" TargetMode="External"/><Relationship Id="rId22" Type="http://schemas.openxmlformats.org/officeDocument/2006/relationships/hyperlink" Target="https://pubmlst.org/organisms/neisseria-spp/mlst" TargetMode="External"/><Relationship Id="rId21" Type="http://schemas.openxmlformats.org/officeDocument/2006/relationships/hyperlink" Target="https://doi.org/10.1186/s12864-020-6511-6" TargetMode="External"/><Relationship Id="rId24" Type="http://schemas.openxmlformats.org/officeDocument/2006/relationships/hyperlink" Target="https://doi.org/10.1186/s12864-019-5542-3" TargetMode="External"/><Relationship Id="rId23" Type="http://schemas.openxmlformats.org/officeDocument/2006/relationships/hyperlink" Target="https://doi.org/10.1099/mgen.0.00007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93/bioinformatics/bty191" TargetMode="External"/><Relationship Id="rId26" Type="http://schemas.openxmlformats.org/officeDocument/2006/relationships/hyperlink" Target="https://www.ncbi.nlm.nih.gov/" TargetMode="External"/><Relationship Id="rId25" Type="http://schemas.openxmlformats.org/officeDocument/2006/relationships/hyperlink" Target="https://doi.org/10.1093/jac/dkae176" TargetMode="External"/><Relationship Id="rId28" Type="http://schemas.openxmlformats.org/officeDocument/2006/relationships/hyperlink" Target="https://mafft.cbrc.jp/alignment/software/" TargetMode="External"/><Relationship Id="rId27" Type="http://schemas.openxmlformats.org/officeDocument/2006/relationships/hyperlink" Target="https://github.com/davidemms/OrthoFinder" TargetMode="External"/><Relationship Id="rId5" Type="http://schemas.openxmlformats.org/officeDocument/2006/relationships/styles" Target="styles.xml"/><Relationship Id="rId6" Type="http://schemas.openxmlformats.org/officeDocument/2006/relationships/hyperlink" Target="https://doi.org/10.1186/s12859-024-05634-8" TargetMode="External"/><Relationship Id="rId29" Type="http://schemas.openxmlformats.org/officeDocument/2006/relationships/hyperlink" Target="https://doi.org/10.1093/molbev/msaa015" TargetMode="External"/><Relationship Id="rId7" Type="http://schemas.openxmlformats.org/officeDocument/2006/relationships/hyperlink" Target="https://doi.org/10.1186/s13059-019-1891-0" TargetMode="External"/><Relationship Id="rId8" Type="http://schemas.openxmlformats.org/officeDocument/2006/relationships/hyperlink" Target="https://ccb.jhu.edu/software/centrifuge/" TargetMode="External"/><Relationship Id="rId31" Type="http://schemas.openxmlformats.org/officeDocument/2006/relationships/hyperlink" Target="https://doi.org/10.1093/bioinformatics/btab083" TargetMode="External"/><Relationship Id="rId30" Type="http://schemas.openxmlformats.org/officeDocument/2006/relationships/hyperlink" Target="https://doi.org/10.1186/1471-2164-14-879" TargetMode="External"/><Relationship Id="rId11" Type="http://schemas.openxmlformats.org/officeDocument/2006/relationships/hyperlink" Target="https://doi.org/10.1093/bioinformatics/btaf139" TargetMode="External"/><Relationship Id="rId33" Type="http://schemas.openxmlformats.org/officeDocument/2006/relationships/image" Target="media/image2.png"/><Relationship Id="rId10" Type="http://schemas.openxmlformats.org/officeDocument/2006/relationships/hyperlink" Target="https://github.com/DiltheyLab/MetaMaps" TargetMode="External"/><Relationship Id="rId32" Type="http://schemas.openxmlformats.org/officeDocument/2006/relationships/image" Target="media/image3.png"/><Relationship Id="rId13" Type="http://schemas.openxmlformats.org/officeDocument/2006/relationships/hyperlink" Target="https://doi.org/10.7717/peerj.14490" TargetMode="External"/><Relationship Id="rId35" Type="http://schemas.openxmlformats.org/officeDocument/2006/relationships/image" Target="media/image4.png"/><Relationship Id="rId12" Type="http://schemas.openxmlformats.org/officeDocument/2006/relationships/hyperlink" Target="https://doi.org/10.1101/2025.05.12.653324" TargetMode="External"/><Relationship Id="rId34" Type="http://schemas.openxmlformats.org/officeDocument/2006/relationships/image" Target="media/image5.png"/><Relationship Id="rId15" Type="http://schemas.openxmlformats.org/officeDocument/2006/relationships/hyperlink" Target="https://www.cgmlst.org/ncs" TargetMode="External"/><Relationship Id="rId37" Type="http://schemas.openxmlformats.org/officeDocument/2006/relationships/image" Target="media/image7.png"/><Relationship Id="rId14" Type="http://schemas.openxmlformats.org/officeDocument/2006/relationships/hyperlink" Target="https://doi.org/10.1093/bioinformatics/btaa724" TargetMode="External"/><Relationship Id="rId36" Type="http://schemas.openxmlformats.org/officeDocument/2006/relationships/image" Target="media/image1.png"/><Relationship Id="rId17" Type="http://schemas.openxmlformats.org/officeDocument/2006/relationships/hyperlink" Target="https://doi.org/10.1099/00221287-139-11-2603" TargetMode="External"/><Relationship Id="rId39" Type="http://schemas.openxmlformats.org/officeDocument/2006/relationships/footer" Target="footer1.xml"/><Relationship Id="rId16" Type="http://schemas.openxmlformats.org/officeDocument/2006/relationships/hyperlink" Target="https://doi.org/10.1101/2022.08.22.504593" TargetMode="External"/><Relationship Id="rId38" Type="http://schemas.openxmlformats.org/officeDocument/2006/relationships/image" Target="media/image6.png"/><Relationship Id="rId19" Type="http://schemas.openxmlformats.org/officeDocument/2006/relationships/hyperlink" Target="https://doi.org/10.7717/peerj.806" TargetMode="External"/><Relationship Id="rId18" Type="http://schemas.openxmlformats.org/officeDocument/2006/relationships/hyperlink" Target="https://doi.org/10.7717/peerj.8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