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480" w:lineRule="auto"/>
        <w:rPr/>
      </w:pPr>
      <w:r w:rsidDel="00000000" w:rsidR="00000000" w:rsidRPr="00000000">
        <w:rPr>
          <w:i w:val="1"/>
          <w:rtl w:val="0"/>
        </w:rPr>
        <w:t xml:space="preserve">New Phytologist</w:t>
      </w:r>
      <w:r w:rsidDel="00000000" w:rsidR="00000000" w:rsidRPr="00000000">
        <w:rPr>
          <w:rtl w:val="0"/>
        </w:rPr>
        <w:t xml:space="preserve"> Supporting Information </w:t>
      </w:r>
    </w:p>
    <w:p w:rsidR="00000000" w:rsidDel="00000000" w:rsidP="00000000" w:rsidRDefault="00000000" w:rsidRPr="00000000" w14:paraId="00000002">
      <w:pPr>
        <w:rPr>
          <w:b w:val="1"/>
        </w:rPr>
      </w:pPr>
      <w:r w:rsidDel="00000000" w:rsidR="00000000" w:rsidRPr="00000000">
        <w:rPr>
          <w:rtl w:val="0"/>
        </w:rPr>
        <w:t xml:space="preserve">Article title: </w:t>
      </w:r>
      <w:r w:rsidDel="00000000" w:rsidR="00000000" w:rsidRPr="00000000">
        <w:rPr>
          <w:b w:val="1"/>
          <w:rtl w:val="0"/>
        </w:rPr>
        <w:t xml:space="preserve">Non-structural carbon ages and transit times provide insights in carbon allocation dynamics of mature trees.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vertAlign w:val="superscript"/>
        </w:rPr>
      </w:pPr>
      <w:r w:rsidDel="00000000" w:rsidR="00000000" w:rsidRPr="00000000">
        <w:rPr>
          <w:rtl w:val="0"/>
        </w:rPr>
        <w:t xml:space="preserve">Authors: </w:t>
      </w:r>
      <w:r w:rsidDel="00000000" w:rsidR="00000000" w:rsidRPr="00000000">
        <w:rPr>
          <w:rtl w:val="0"/>
        </w:rPr>
        <w:t xml:space="preserve">David Herrera-Ramirez</w:t>
      </w:r>
      <w:r w:rsidDel="00000000" w:rsidR="00000000" w:rsidRPr="00000000">
        <w:rPr>
          <w:vertAlign w:val="superscript"/>
          <w:rtl w:val="0"/>
        </w:rPr>
        <w:t xml:space="preserve">1 </w:t>
      </w:r>
      <w:r w:rsidDel="00000000" w:rsidR="00000000" w:rsidRPr="00000000">
        <w:rPr>
          <w:rtl w:val="0"/>
        </w:rPr>
        <w:t xml:space="preserve">Jan Muhr</w:t>
      </w:r>
      <w:r w:rsidDel="00000000" w:rsidR="00000000" w:rsidRPr="00000000">
        <w:rPr>
          <w:vertAlign w:val="superscript"/>
          <w:rtl w:val="0"/>
        </w:rPr>
        <w:t xml:space="preserve">1,2 </w:t>
      </w:r>
      <w:r w:rsidDel="00000000" w:rsidR="00000000" w:rsidRPr="00000000">
        <w:rPr>
          <w:rtl w:val="0"/>
        </w:rPr>
        <w:t xml:space="preserve">Henrik Hartman</w:t>
      </w:r>
      <w:r w:rsidDel="00000000" w:rsidR="00000000" w:rsidRPr="00000000">
        <w:rPr>
          <w:vertAlign w:val="superscript"/>
          <w:rtl w:val="0"/>
        </w:rPr>
        <w:t xml:space="preserve">1 </w:t>
      </w:r>
      <w:r w:rsidDel="00000000" w:rsidR="00000000" w:rsidRPr="00000000">
        <w:rPr>
          <w:rtl w:val="0"/>
        </w:rPr>
        <w:t xml:space="preserve">Christine Römermann</w:t>
      </w:r>
      <w:r w:rsidDel="00000000" w:rsidR="00000000" w:rsidRPr="00000000">
        <w:rPr>
          <w:vertAlign w:val="superscript"/>
          <w:rtl w:val="0"/>
        </w:rPr>
        <w:t xml:space="preserve">3,4 </w:t>
      </w:r>
      <w:r w:rsidDel="00000000" w:rsidR="00000000" w:rsidRPr="00000000">
        <w:rPr>
          <w:rtl w:val="0"/>
        </w:rPr>
        <w:t xml:space="preserve">Susan Trumbore</w:t>
      </w:r>
      <w:r w:rsidDel="00000000" w:rsidR="00000000" w:rsidRPr="00000000">
        <w:rPr>
          <w:vertAlign w:val="superscript"/>
          <w:rtl w:val="0"/>
        </w:rPr>
        <w:t xml:space="preserve">1 </w:t>
      </w:r>
      <w:r w:rsidDel="00000000" w:rsidR="00000000" w:rsidRPr="00000000">
        <w:rPr>
          <w:rtl w:val="0"/>
        </w:rPr>
        <w:t xml:space="preserve">Carlos A. Sierra</w:t>
      </w:r>
      <w:r w:rsidDel="00000000" w:rsidR="00000000" w:rsidRPr="00000000">
        <w:rPr>
          <w:vertAlign w:val="superscript"/>
          <w:rtl w:val="0"/>
        </w:rPr>
        <w:t xml:space="preserve">1</w:t>
      </w:r>
    </w:p>
    <w:p w:rsidR="00000000" w:rsidDel="00000000" w:rsidP="00000000" w:rsidRDefault="00000000" w:rsidRPr="00000000" w14:paraId="00000005">
      <w:pPr>
        <w:rPr>
          <w:color w:val="80808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Article acceptance date: </w:t>
      </w:r>
      <w:r w:rsidDel="00000000" w:rsidR="00000000" w:rsidRPr="00000000">
        <w:rPr>
          <w:color w:val="808080"/>
          <w:rtl w:val="0"/>
        </w:rPr>
        <w:t xml:space="preserve">Click here to enter a date.</w:t>
      </w:r>
      <w:r w:rsidDel="00000000" w:rsidR="00000000" w:rsidRPr="00000000">
        <w:rPr>
          <w:rtl w:val="0"/>
        </w:rPr>
      </w:r>
    </w:p>
    <w:p w:rsidR="00000000" w:rsidDel="00000000" w:rsidP="00000000" w:rsidRDefault="00000000" w:rsidRPr="00000000" w14:paraId="00000007">
      <w:pPr>
        <w:widowControl w:val="0"/>
        <w:spacing w:line="480" w:lineRule="auto"/>
        <w:rPr/>
      </w:pPr>
      <w:r w:rsidDel="00000000" w:rsidR="00000000" w:rsidRPr="00000000">
        <w:rPr>
          <w:rtl w:val="0"/>
        </w:rPr>
      </w:r>
    </w:p>
    <w:p w:rsidR="00000000" w:rsidDel="00000000" w:rsidP="00000000" w:rsidRDefault="00000000" w:rsidRPr="00000000" w14:paraId="00000008">
      <w:pPr>
        <w:widowControl w:val="0"/>
        <w:spacing w:line="480" w:lineRule="auto"/>
        <w:rPr/>
      </w:pPr>
      <w:r w:rsidDel="00000000" w:rsidR="00000000" w:rsidRPr="00000000">
        <w:rPr>
          <w:rtl w:val="0"/>
        </w:rPr>
        <w:t xml:space="preserve">The following Supporting Information is available for this article:</w:t>
      </w:r>
    </w:p>
    <w:p w:rsidR="00000000" w:rsidDel="00000000" w:rsidP="00000000" w:rsidRDefault="00000000" w:rsidRPr="00000000" w14:paraId="00000009">
      <w:pPr>
        <w:widowControl w:val="0"/>
        <w:spacing w:line="480" w:lineRule="auto"/>
        <w:rPr/>
      </w:pPr>
      <w:r w:rsidDel="00000000" w:rsidR="00000000" w:rsidRPr="00000000">
        <w:rPr>
          <w:rtl w:val="0"/>
        </w:rPr>
      </w:r>
    </w:p>
    <w:p w:rsidR="00000000" w:rsidDel="00000000" w:rsidP="00000000" w:rsidRDefault="00000000" w:rsidRPr="00000000" w14:paraId="0000000A">
      <w:pPr>
        <w:widowControl w:val="0"/>
        <w:spacing w:line="480" w:lineRule="auto"/>
        <w:rPr/>
      </w:pPr>
      <w:r w:rsidDel="00000000" w:rsidR="00000000" w:rsidRPr="00000000">
        <w:rPr>
          <w:b w:val="1"/>
          <w:rtl w:val="0"/>
        </w:rPr>
        <w:t xml:space="preserve">Fig. S1</w:t>
      </w:r>
      <w:r w:rsidDel="00000000" w:rsidR="00000000" w:rsidRPr="00000000">
        <w:rPr>
          <w:rtl w:val="0"/>
        </w:rPr>
        <w:t xml:space="preserve"> </w:t>
      </w:r>
      <w:r w:rsidDel="00000000" w:rsidR="00000000" w:rsidRPr="00000000">
        <w:rPr>
          <w:rtl w:val="0"/>
        </w:rPr>
        <w:t xml:space="preserve">Uncertainties associated with the model parameters with the largest influence in the NSC mean age and mean transit time per species </w:t>
      </w:r>
      <w:r w:rsidDel="00000000" w:rsidR="00000000" w:rsidRPr="00000000">
        <w:rPr>
          <w:b w:val="1"/>
          <w:rtl w:val="0"/>
        </w:rPr>
        <w:t xml:space="preserve">A</w:t>
      </w:r>
      <w:r w:rsidDel="00000000" w:rsidR="00000000" w:rsidRPr="00000000">
        <w:rPr>
          <w:rtl w:val="0"/>
        </w:rPr>
        <w:t xml:space="preserve">) </w:t>
      </w:r>
      <w:r w:rsidDel="00000000" w:rsidR="00000000" w:rsidRPr="00000000">
        <w:rPr>
          <w:i w:val="1"/>
          <w:rtl w:val="0"/>
        </w:rPr>
        <w:t xml:space="preserve">Pinus halepensis</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w:t>
      </w:r>
      <w:r w:rsidDel="00000000" w:rsidR="00000000" w:rsidRPr="00000000">
        <w:rPr>
          <w:i w:val="1"/>
          <w:rtl w:val="0"/>
        </w:rPr>
        <w:t xml:space="preserve">Acer rubrum</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w:t>
      </w:r>
      <w:r w:rsidDel="00000000" w:rsidR="00000000" w:rsidRPr="00000000">
        <w:rPr>
          <w:i w:val="1"/>
          <w:rtl w:val="0"/>
        </w:rPr>
        <w:t xml:space="preserve">Pinus taeda</w:t>
      </w:r>
      <w:r w:rsidDel="00000000" w:rsidR="00000000" w:rsidRPr="00000000">
        <w:rPr>
          <w:rtl w:val="0"/>
        </w:rPr>
        <w:t xml:space="preserve">. It is shown the uncertainty as a density distribution of the mean age and the transit time of the NSC of the tree. The uncertainties associated with the mean ages of the individual tree pools are also shown per tree species.  This density distributions are the results of 1000 Monte Carlo simulations, where each simulation was calculated with different combinations of the model parameter values. The parameter values were chosen randomly from the parameter space. </w:t>
      </w:r>
    </w:p>
    <w:p w:rsidR="00000000" w:rsidDel="00000000" w:rsidP="00000000" w:rsidRDefault="00000000" w:rsidRPr="00000000" w14:paraId="0000000B">
      <w:pPr>
        <w:widowControl w:val="0"/>
        <w:spacing w:line="480" w:lineRule="auto"/>
        <w:rPr/>
      </w:pPr>
      <w:r w:rsidDel="00000000" w:rsidR="00000000" w:rsidRPr="00000000">
        <w:rPr>
          <w:rtl w:val="0"/>
        </w:rPr>
      </w:r>
    </w:p>
    <w:p w:rsidR="00000000" w:rsidDel="00000000" w:rsidP="00000000" w:rsidRDefault="00000000" w:rsidRPr="00000000" w14:paraId="0000000C">
      <w:pPr>
        <w:widowControl w:val="0"/>
        <w:spacing w:line="480" w:lineRule="auto"/>
        <w:rPr/>
      </w:pPr>
      <w:r w:rsidDel="00000000" w:rsidR="00000000" w:rsidRPr="00000000">
        <w:rPr>
          <w:rtl w:val="0"/>
        </w:rPr>
      </w:r>
    </w:p>
    <w:p w:rsidR="00000000" w:rsidDel="00000000" w:rsidP="00000000" w:rsidRDefault="00000000" w:rsidRPr="00000000" w14:paraId="0000000D">
      <w:pPr>
        <w:widowControl w:val="0"/>
        <w:spacing w:line="480" w:lineRule="auto"/>
        <w:rPr/>
      </w:pPr>
      <w:r w:rsidDel="00000000" w:rsidR="00000000" w:rsidRPr="00000000">
        <w:rPr>
          <w:rtl w:val="0"/>
        </w:rPr>
      </w:r>
    </w:p>
    <w:p w:rsidR="00000000" w:rsidDel="00000000" w:rsidP="00000000" w:rsidRDefault="00000000" w:rsidRPr="00000000" w14:paraId="0000000E">
      <w:pPr>
        <w:widowControl w:val="0"/>
        <w:spacing w:line="360" w:lineRule="auto"/>
        <w:rPr>
          <w:b w:val="1"/>
        </w:rPr>
      </w:pPr>
      <w:r w:rsidDel="00000000" w:rsidR="00000000" w:rsidRPr="00000000">
        <w:rPr>
          <w:b w:val="1"/>
        </w:rPr>
        <w:drawing>
          <wp:inline distB="114300" distT="114300" distL="114300" distR="114300">
            <wp:extent cx="3633788" cy="8957996"/>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33788" cy="895799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360" w:lineRule="auto"/>
        <w:rPr>
          <w:b w:val="1"/>
        </w:rPr>
      </w:pPr>
      <w:r w:rsidDel="00000000" w:rsidR="00000000" w:rsidRPr="00000000">
        <w:rPr>
          <w:rtl w:val="0"/>
        </w:rPr>
      </w:r>
    </w:p>
    <w:p w:rsidR="00000000" w:rsidDel="00000000" w:rsidP="00000000" w:rsidRDefault="00000000" w:rsidRPr="00000000" w14:paraId="00000010">
      <w:pPr>
        <w:widowControl w:val="0"/>
        <w:spacing w:after="240" w:line="360" w:lineRule="auto"/>
        <w:rPr/>
      </w:pPr>
      <w:bookmarkStart w:colFirst="0" w:colLast="0" w:name="_26in1rg" w:id="0"/>
      <w:bookmarkEnd w:id="0"/>
      <w:r w:rsidDel="00000000" w:rsidR="00000000" w:rsidRPr="00000000">
        <w:rPr>
          <w:b w:val="1"/>
          <w:rtl w:val="0"/>
        </w:rPr>
        <w:t xml:space="preserve">Figure S2:</w:t>
      </w:r>
      <w:r w:rsidDel="00000000" w:rsidR="00000000" w:rsidRPr="00000000">
        <w:rPr>
          <w:rtl w:val="0"/>
        </w:rPr>
        <w:t xml:space="preserve"> Mean sensitivity value μ and its correspondent variance σ for each flux of each species </w:t>
      </w:r>
      <w:r w:rsidDel="00000000" w:rsidR="00000000" w:rsidRPr="00000000">
        <w:rPr>
          <w:i w:val="1"/>
          <w:rtl w:val="0"/>
        </w:rPr>
        <w:t xml:space="preserve">Pinus halepensis</w:t>
      </w:r>
      <w:r w:rsidDel="00000000" w:rsidR="00000000" w:rsidRPr="00000000">
        <w:rPr>
          <w:rtl w:val="0"/>
        </w:rPr>
        <w:t xml:space="preserve">, </w:t>
      </w:r>
      <w:r w:rsidDel="00000000" w:rsidR="00000000" w:rsidRPr="00000000">
        <w:rPr>
          <w:i w:val="1"/>
          <w:rtl w:val="0"/>
        </w:rPr>
        <w:t xml:space="preserve">Acer rubrum</w:t>
      </w:r>
      <w:r w:rsidDel="00000000" w:rsidR="00000000" w:rsidRPr="00000000">
        <w:rPr>
          <w:rtl w:val="0"/>
        </w:rPr>
        <w:t xml:space="preserve"> and </w:t>
      </w:r>
      <w:r w:rsidDel="00000000" w:rsidR="00000000" w:rsidRPr="00000000">
        <w:rPr>
          <w:i w:val="1"/>
          <w:rtl w:val="0"/>
        </w:rPr>
        <w:t xml:space="preserve">Pinus taeda</w:t>
      </w:r>
      <w:r w:rsidDel="00000000" w:rsidR="00000000" w:rsidRPr="00000000">
        <w:rPr>
          <w:rtl w:val="0"/>
        </w:rPr>
        <w:t xml:space="preserve"> calculated by the Elementary Effects method. The larger the mean sensitivity value the more sensitive is the mean age or the mean transit time to changes in that flux. The bigger the variance of indexes the higher the nonlinear response of the mean age and mean transit time to changes in the fluxes. The fluxes are labeled as they are defined in Table 2.</w:t>
      </w:r>
    </w:p>
    <w:p w:rsidR="00000000" w:rsidDel="00000000" w:rsidP="00000000" w:rsidRDefault="00000000" w:rsidRPr="00000000" w14:paraId="00000011">
      <w:pPr>
        <w:widowControl w:val="0"/>
        <w:spacing w:line="360" w:lineRule="auto"/>
        <w:rPr>
          <w:b w:val="1"/>
        </w:rPr>
      </w:pPr>
      <w:r w:rsidDel="00000000" w:rsidR="00000000" w:rsidRPr="00000000">
        <w:rPr>
          <w:b w:val="1"/>
        </w:rPr>
        <w:drawing>
          <wp:inline distB="114300" distT="114300" distL="114300" distR="114300">
            <wp:extent cx="5943600" cy="3987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line="360" w:lineRule="auto"/>
        <w:rPr>
          <w:b w:val="1"/>
        </w:rPr>
      </w:pPr>
      <w:r w:rsidDel="00000000" w:rsidR="00000000" w:rsidRPr="00000000">
        <w:rPr>
          <w:rtl w:val="0"/>
        </w:rPr>
      </w:r>
    </w:p>
    <w:p w:rsidR="00000000" w:rsidDel="00000000" w:rsidP="00000000" w:rsidRDefault="00000000" w:rsidRPr="00000000" w14:paraId="00000013">
      <w:pPr>
        <w:widowControl w:val="0"/>
        <w:spacing w:line="360" w:lineRule="auto"/>
        <w:rPr>
          <w:b w:val="1"/>
        </w:rPr>
      </w:pPr>
      <w:r w:rsidDel="00000000" w:rsidR="00000000" w:rsidRPr="00000000">
        <w:rPr>
          <w:rtl w:val="0"/>
        </w:rPr>
      </w:r>
    </w:p>
    <w:p w:rsidR="00000000" w:rsidDel="00000000" w:rsidP="00000000" w:rsidRDefault="00000000" w:rsidRPr="00000000" w14:paraId="00000014">
      <w:pPr>
        <w:widowControl w:val="0"/>
        <w:spacing w:line="360" w:lineRule="auto"/>
        <w:rPr>
          <w:b w:val="1"/>
        </w:rPr>
      </w:pPr>
      <w:r w:rsidDel="00000000" w:rsidR="00000000" w:rsidRPr="00000000">
        <w:rPr>
          <w:rtl w:val="0"/>
        </w:rPr>
      </w:r>
    </w:p>
    <w:p w:rsidR="00000000" w:rsidDel="00000000" w:rsidP="00000000" w:rsidRDefault="00000000" w:rsidRPr="00000000" w14:paraId="00000015">
      <w:pPr>
        <w:widowControl w:val="0"/>
        <w:spacing w:line="360" w:lineRule="auto"/>
        <w:rPr>
          <w:b w:val="1"/>
        </w:rPr>
      </w:pPr>
      <w:r w:rsidDel="00000000" w:rsidR="00000000" w:rsidRPr="00000000">
        <w:rPr>
          <w:rtl w:val="0"/>
        </w:rPr>
      </w:r>
    </w:p>
    <w:p w:rsidR="00000000" w:rsidDel="00000000" w:rsidP="00000000" w:rsidRDefault="00000000" w:rsidRPr="00000000" w14:paraId="00000016">
      <w:pPr>
        <w:widowControl w:val="0"/>
        <w:spacing w:line="360" w:lineRule="auto"/>
        <w:rPr>
          <w:b w:val="1"/>
        </w:rPr>
      </w:pPr>
      <w:r w:rsidDel="00000000" w:rsidR="00000000" w:rsidRPr="00000000">
        <w:rPr>
          <w:rtl w:val="0"/>
        </w:rPr>
      </w:r>
    </w:p>
    <w:p w:rsidR="00000000" w:rsidDel="00000000" w:rsidP="00000000" w:rsidRDefault="00000000" w:rsidRPr="00000000" w14:paraId="00000017">
      <w:pPr>
        <w:widowControl w:val="0"/>
        <w:spacing w:line="360" w:lineRule="auto"/>
        <w:rPr>
          <w:b w:val="1"/>
        </w:rPr>
      </w:pPr>
      <w:r w:rsidDel="00000000" w:rsidR="00000000" w:rsidRPr="00000000">
        <w:rPr>
          <w:rtl w:val="0"/>
        </w:rPr>
      </w:r>
    </w:p>
    <w:p w:rsidR="00000000" w:rsidDel="00000000" w:rsidP="00000000" w:rsidRDefault="00000000" w:rsidRPr="00000000" w14:paraId="00000018">
      <w:pPr>
        <w:widowControl w:val="0"/>
        <w:spacing w:line="360" w:lineRule="auto"/>
        <w:rPr>
          <w:b w:val="1"/>
        </w:rPr>
      </w:pPr>
      <w:r w:rsidDel="00000000" w:rsidR="00000000" w:rsidRPr="00000000">
        <w:rPr>
          <w:rtl w:val="0"/>
        </w:rPr>
      </w:r>
    </w:p>
    <w:p w:rsidR="00000000" w:rsidDel="00000000" w:rsidP="00000000" w:rsidRDefault="00000000" w:rsidRPr="00000000" w14:paraId="00000019">
      <w:pPr>
        <w:widowControl w:val="0"/>
        <w:spacing w:line="360" w:lineRule="auto"/>
        <w:rPr>
          <w:b w:val="1"/>
        </w:rPr>
      </w:pPr>
      <w:r w:rsidDel="00000000" w:rsidR="00000000" w:rsidRPr="00000000">
        <w:rPr>
          <w:rtl w:val="0"/>
        </w:rPr>
      </w:r>
    </w:p>
    <w:p w:rsidR="00000000" w:rsidDel="00000000" w:rsidP="00000000" w:rsidRDefault="00000000" w:rsidRPr="00000000" w14:paraId="0000001A">
      <w:pPr>
        <w:widowControl w:val="0"/>
        <w:spacing w:after="240" w:line="360" w:lineRule="auto"/>
        <w:rPr/>
      </w:pPr>
      <w:r w:rsidDel="00000000" w:rsidR="00000000" w:rsidRPr="00000000">
        <w:rPr>
          <w:b w:val="1"/>
          <w:rtl w:val="0"/>
        </w:rPr>
        <w:t xml:space="preserve">Figure S3:</w:t>
      </w:r>
      <w:r w:rsidDel="00000000" w:rsidR="00000000" w:rsidRPr="00000000">
        <w:rPr>
          <w:rtl w:val="0"/>
        </w:rPr>
        <w:t xml:space="preserve"> Association between the most sensitive NSC fluxes (Figure S2) and the mean age and mean transit time for each species: </w:t>
      </w:r>
      <w:r w:rsidDel="00000000" w:rsidR="00000000" w:rsidRPr="00000000">
        <w:rPr>
          <w:i w:val="1"/>
          <w:rtl w:val="0"/>
        </w:rPr>
        <w:t xml:space="preserve">Pinus halepensis</w:t>
      </w:r>
      <w:r w:rsidDel="00000000" w:rsidR="00000000" w:rsidRPr="00000000">
        <w:rPr>
          <w:rtl w:val="0"/>
        </w:rPr>
        <w:t xml:space="preserve">, </w:t>
      </w:r>
      <w:r w:rsidDel="00000000" w:rsidR="00000000" w:rsidRPr="00000000">
        <w:rPr>
          <w:i w:val="1"/>
          <w:rtl w:val="0"/>
        </w:rPr>
        <w:t xml:space="preserve">Acer rubrum</w:t>
      </w:r>
      <w:r w:rsidDel="00000000" w:rsidR="00000000" w:rsidRPr="00000000">
        <w:rPr>
          <w:rtl w:val="0"/>
        </w:rPr>
        <w:t xml:space="preserve"> and </w:t>
      </w:r>
      <w:r w:rsidDel="00000000" w:rsidR="00000000" w:rsidRPr="00000000">
        <w:rPr>
          <w:i w:val="1"/>
          <w:rtl w:val="0"/>
        </w:rPr>
        <w:t xml:space="preserve">Pinus taeda</w:t>
      </w:r>
      <w:r w:rsidDel="00000000" w:rsidR="00000000" w:rsidRPr="00000000">
        <w:rPr>
          <w:rtl w:val="0"/>
        </w:rPr>
        <w:t xml:space="preserve">.</w:t>
      </w:r>
    </w:p>
    <w:p w:rsidR="00000000" w:rsidDel="00000000" w:rsidP="00000000" w:rsidRDefault="00000000" w:rsidRPr="00000000" w14:paraId="0000001B">
      <w:pPr>
        <w:widowControl w:val="0"/>
        <w:spacing w:line="360" w:lineRule="auto"/>
        <w:rPr>
          <w:b w:val="1"/>
        </w:rPr>
      </w:pPr>
      <w:r w:rsidDel="00000000" w:rsidR="00000000" w:rsidRPr="00000000">
        <w:rPr>
          <w:b w:val="1"/>
        </w:rPr>
        <w:drawing>
          <wp:inline distB="114300" distT="114300" distL="114300" distR="114300">
            <wp:extent cx="5943600" cy="2806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99999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847725" cy="285750"/>
          <wp:effectExtent b="0" l="0" r="0" t="0"/>
          <wp:docPr descr="Turquoise NP logo" id="3" name="image3.jpg"/>
          <a:graphic>
            <a:graphicData uri="http://schemas.openxmlformats.org/drawingml/2006/picture">
              <pic:pic>
                <pic:nvPicPr>
                  <pic:cNvPr descr="Turquoise NP logo" id="0" name="image3.jpg"/>
                  <pic:cNvPicPr preferRelativeResize="0"/>
                </pic:nvPicPr>
                <pic:blipFill>
                  <a:blip r:embed="rId1"/>
                  <a:srcRect b="0" l="0" r="0" t="0"/>
                  <a:stretch>
                    <a:fillRect/>
                  </a:stretch>
                </pic:blipFill>
                <pic:spPr>
                  <a:xfrm>
                    <a:off x="0" y="0"/>
                    <a:ext cx="847725" cy="2857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b w:val="1"/>
    </w:rPr>
  </w:style>
  <w:style w:type="paragraph" w:styleId="Heading3">
    <w:name w:val="heading 3"/>
    <w:basedOn w:val="Normal"/>
    <w:next w:val="Normal"/>
    <w:pPr>
      <w:keepNext w:val="1"/>
    </w:pPr>
    <w:rPr>
      <w:u w:val="single"/>
    </w:rPr>
  </w:style>
  <w:style w:type="paragraph" w:styleId="Heading4">
    <w:name w:val="heading 4"/>
    <w:basedOn w:val="Normal"/>
    <w:next w:val="Normal"/>
    <w:pPr>
      <w:keepNext w:val="1"/>
      <w:jc w:val="center"/>
    </w:pPr>
    <w:rPr>
      <w:b w:val="1"/>
    </w:rPr>
  </w:style>
  <w:style w:type="paragraph" w:styleId="Heading5">
    <w:name w:val="heading 5"/>
    <w:basedOn w:val="Normal"/>
    <w:next w:val="Normal"/>
    <w:pPr>
      <w:keepNext w:val="1"/>
      <w:jc w:val="center"/>
    </w:pPr>
    <w:rPr>
      <w:i w:val="1"/>
      <w:color w:val="000000"/>
    </w:rPr>
  </w:style>
  <w:style w:type="paragraph" w:styleId="Heading6">
    <w:name w:val="heading 6"/>
    <w:basedOn w:val="Normal"/>
    <w:next w:val="Normal"/>
    <w:pPr>
      <w:keepNext w:val="1"/>
      <w:tabs>
        <w:tab w:val="center" w:pos="5126"/>
      </w:tabs>
    </w:pPr>
    <w:rPr>
      <w:rFonts w:ascii="Arial" w:cs="Arial" w:eastAsia="Arial" w:hAnsi="Arial"/>
      <w:b w:val="1"/>
      <w:color w:val="00000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