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_Toc24296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_Toc24296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_Toc25693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_Toc25693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_Toc13934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_Toc13934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_Toc12223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_Toc12223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_Toc17937 </w:instrText>
          </w:r>
          <w:r>
            <w:rPr>
              <w:bCs/>
            </w:rPr>
            <w:fldChar w:fldCharType="separate"/>
          </w:r>
          <w:r>
            <w:rPr>
              <w:lang w:val="ru-RU"/>
            </w:rPr>
            <w:t xml:space="preserve">3 </w:t>
          </w:r>
          <w:r>
            <w:t xml:space="preserve">Описание предметной </w:t>
          </w:r>
          <w:r>
            <w:rPr>
              <w:lang w:val="ru-RU"/>
            </w:rPr>
            <w:t>области</w:t>
          </w:r>
          <w:r>
            <w:tab/>
          </w:r>
          <w:r>
            <w:fldChar w:fldCharType="begin"/>
          </w:r>
          <w:r>
            <w:instrText xml:space="preserve"> PAGEREF _Toc17937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_Toc20527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_Toc10179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_Toc10179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_Toc26538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_Toc26538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_Toc6847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_Toc6847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_Toc26513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_Toc26513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_Toc30482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_Toc4429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_Toc4429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_Toc3925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_Toc3925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4.4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_Toc31297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_Toc26847 </w:instrText>
          </w:r>
          <w:r>
            <w:rPr>
              <w:bCs/>
            </w:rPr>
            <w:fldChar w:fldCharType="separate"/>
          </w:r>
          <w:r>
            <w:t>4.4.1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_Toc26847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_Toc25035 </w:instrText>
          </w:r>
          <w:r>
            <w:rPr>
              <w:bCs/>
            </w:rPr>
            <w:fldChar w:fldCharType="separate"/>
          </w:r>
          <w:r>
            <w:t>4.5.1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_Toc25035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_Toc30308 </w:instrText>
          </w:r>
          <w:r>
            <w:rPr>
              <w:bCs/>
            </w:rPr>
            <w:fldChar w:fldCharType="separate"/>
          </w:r>
          <w:r>
            <w:t>4.5.2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_Toc15403 </w:instrText>
          </w:r>
          <w:r>
            <w:rPr>
              <w:bCs/>
            </w:rPr>
            <w:fldChar w:fldCharType="separate"/>
          </w:r>
          <w:r>
            <w:t>4.5.3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_Toc15403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_Toc30449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_Toc30449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_Toc20626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_Toc20626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_Toc14080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_Toc14080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_Toc27763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_Toc27763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_Toc2515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_Toc2515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_Toc20665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_Toc20665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_Toc22115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_Toc22115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_Toc20485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_Toc20485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_Toc13870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_Toc13870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_Toc29108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_Toc32657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_Toc32657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_Toc13658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_Toc21458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_Toc21458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_Toc24352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_Toc22152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_Toc31753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_Toc8522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_Toc8522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24296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pPr>
        <w:rPr>
          <w:rFonts w:hint="default"/>
          <w:lang w:val="ru-RU"/>
        </w:rPr>
      </w:pPr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5693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7953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13934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24539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15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none"/>
        </w:rPr>
      </w:pPr>
      <w:r>
        <w:t xml:space="preserve">Дата завершения разработки: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0</w:t>
      </w:r>
      <w:r>
        <w:rPr>
          <w:rFonts w:hint="default"/>
          <w:highlight w:val="none"/>
          <w:lang w:val="ru-RU"/>
        </w:rPr>
        <w:t xml:space="preserve"> ноября</w:t>
      </w:r>
      <w:r>
        <w:rPr>
          <w:highlight w:val="none"/>
        </w:rPr>
        <w:t xml:space="preserve"> 202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 xml:space="preserve"> года</w:t>
      </w:r>
    </w:p>
    <w:p>
      <w:pPr>
        <w:pStyle w:val="3"/>
      </w:pPr>
      <w:bookmarkStart w:id="5" w:name="_Toc819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12223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  <w:rPr>
          <w:lang w:val="ru-RU"/>
        </w:rPr>
      </w:pPr>
      <w:bookmarkStart w:id="7" w:name="_Toc17937"/>
      <w:r>
        <w:t xml:space="preserve">Описание предметной </w:t>
      </w:r>
      <w:r>
        <w:rPr>
          <w:lang w:val="ru-RU"/>
        </w:rPr>
        <w:t>области</w:t>
      </w:r>
      <w:bookmarkEnd w:id="7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pStyle w:val="2"/>
      </w:pPr>
      <w:bookmarkStart w:id="8" w:name="_Toc20527"/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0179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иметь список текстовых команд, которые можно посмотреть открыв меню команд в интерфейсе чата с ботом. Список команд должен состоять из следующих команд: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 и создавать список кнопок доступных тем для новостей. Данная команда должна обновлять для данного пользователя список тем, на которые пользователь будет получать новости с учетом добавленной выбранной темы пользователем. Выбранная тема для присылаемых новостей пишется пользователем с помощью клавиатуры в чате с телеграм ботом или нажатием на кнопку с темой, после ответного сообщения команды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lang w:val="ru-RU"/>
        </w:rPr>
        <w:t>Команда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новостей, которую нужно удалить из списка тем, которые были установлены ранее и создавать список кнопок тем для присылаемых новостей пользователя. Данная команда должна обновлять для данного пользователя список тем, на которые пользователь будет получать новости с учётом исключённой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промежуток. Промежуток указывается в формате «от-до», где «от»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это единица времени в часах от 0 до 23, «до» 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единица времени в часах от 0 до 23, единица времени «до» указывается включительно, также разница между двумя числами должна быть не менее 1. По умолчанию для каждого пользователя стоит временной промежуток «0-23». Данная команда должна менять временной промежуток на тот, что укажет пользователь в чате с телеграм ботом после ответного сообщения на команду «</w:t>
      </w:r>
      <w:r>
        <w:rPr>
          <w:rFonts w:hint="default"/>
          <w:lang w:val="en-US"/>
        </w:rPr>
        <w:t>change_time</w:t>
      </w:r>
      <w:r>
        <w:rPr>
          <w:rFonts w:hint="default"/>
          <w:lang w:val="ru-RU"/>
        </w:rPr>
        <w:t xml:space="preserve">» и вводится пользователем с помощью клавитуры в чате с телеграм ботом. </w:t>
      </w:r>
    </w:p>
    <w:p>
      <w:pPr>
        <w:pStyle w:val="39"/>
        <w:bidi w:val="0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присылать новости пользователю в чате с ботом телеграм в виде текстовых сообщений в чате с ботом телеграм по мере их появления в новостном источнике с учетом настроек пользователя и времени работы алгоритма.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отвечать на активацию пользователем посредством кнопки «ЗАПУСТИТЬ» ответным текстовым сообщением в чате с телеграм ботом, которое должно содержать краткое описанием бота.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присылать текстовое сообщение в чате с ботом телеграм каждый раз, когда успешно изменена какая-либо настройка бота.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26538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со стороны пользователя представлены в виде заранее подготовленных текстовых команд, вводимых пользователем в чате с ботом в мессенджере Телеграмм.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 из новостного источника представляют из себя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файлы а также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6847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Телеграмм, в состав которых могут входить текстовая информация, изображения, которые используют формат, поддерживаемый в мессенджере Телеграмм.</w:t>
      </w:r>
    </w:p>
    <w:p>
      <w:pPr>
        <w:pStyle w:val="3"/>
      </w:pPr>
      <w:bookmarkStart w:id="12" w:name="_Toc104921165"/>
      <w:bookmarkEnd w:id="12"/>
      <w:bookmarkStart w:id="13" w:name="_Toc5395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команд, а также набора кнопок. Экранные формы представлены на рисунках 4.2.1, 4.2.2, 4.2.3.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</w:pPr>
      <w:r>
        <w:drawing>
          <wp:inline distT="0" distB="0" distL="114300" distR="114300">
            <wp:extent cx="2430145" cy="3989070"/>
            <wp:effectExtent l="0" t="0" r="8255" b="3810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4.2.3 -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26513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30482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4429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3925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31297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80"/>
      <w:bookmarkEnd w:id="20"/>
      <w:bookmarkStart w:id="21" w:name="_Toc104921179"/>
      <w:bookmarkEnd w:id="21"/>
      <w:bookmarkStart w:id="22" w:name="_Toc26847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13200"/>
      <w:r>
        <w:t>Условия эксплуатации</w:t>
      </w:r>
      <w:bookmarkEnd w:id="23"/>
    </w:p>
    <w:p>
      <w:pPr>
        <w:pStyle w:val="4"/>
      </w:pPr>
      <w:bookmarkStart w:id="24" w:name="_Toc25035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30308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15403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31694"/>
      <w:bookmarkStart w:id="28" w:name="_Toc100410595"/>
      <w:bookmarkStart w:id="29" w:name="_Toc74526629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требованиям: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>процессор в соответствии с требованиями ОС, установленной на сервер;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 xml:space="preserve">оперативная память </w:t>
      </w:r>
      <w:r>
        <w:rPr>
          <w:rFonts w:hint="default"/>
          <w:lang w:val="ru-RU"/>
        </w:rPr>
        <w:t>8-16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</w:rPr>
      </w:pPr>
      <w:r>
        <w:rPr>
          <w:rFonts w:hint="default"/>
          <w:lang w:val="ru-RU"/>
        </w:rPr>
        <w:t>свободное</w:t>
      </w:r>
      <w:r>
        <w:rPr>
          <w:rFonts w:hint="default"/>
        </w:rPr>
        <w:t xml:space="preserve"> дисковое пространство не менее </w:t>
      </w:r>
      <w:r>
        <w:rPr>
          <w:rFonts w:hint="default"/>
          <w:lang w:val="ru-RU"/>
        </w:rPr>
        <w:t>5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Доступ в интернет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5-50</w:t>
      </w:r>
      <w:r>
        <w:rPr>
          <w:rFonts w:hint="default"/>
        </w:rPr>
        <w:t xml:space="preserve"> Мбит/с</w:t>
      </w:r>
      <w:r>
        <w:rPr>
          <w:rFonts w:hint="default"/>
          <w:lang w:val="ru-RU"/>
        </w:rPr>
        <w:t>.</w:t>
      </w:r>
    </w:p>
    <w:p>
      <w:pPr>
        <w:pStyle w:val="3"/>
        <w:spacing w:before="100" w:beforeAutospacing="1"/>
        <w:rPr>
          <w:szCs w:val="24"/>
        </w:rPr>
      </w:pPr>
      <w:bookmarkStart w:id="30" w:name="_Toc100410596"/>
      <w:bookmarkStart w:id="31" w:name="_Toc30449"/>
      <w:bookmarkStart w:id="32" w:name="_Toc74526630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68648931"/>
      <w:bookmarkStart w:id="34" w:name="_Toc100410597"/>
      <w:bookmarkStart w:id="35" w:name="_Toc74526631"/>
      <w:bookmarkStart w:id="36" w:name="_Toc20626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100410598"/>
      <w:bookmarkStart w:id="38" w:name="_Toc74526632"/>
      <w:bookmarkStart w:id="39" w:name="_Toc14080"/>
      <w:bookmarkStart w:id="40" w:name="_Toc68648932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100410599"/>
      <w:bookmarkStart w:id="42" w:name="_Toc68648933"/>
      <w:bookmarkStart w:id="43" w:name="_Toc27763"/>
      <w:bookmarkStart w:id="44" w:name="_Toc74526633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100410600"/>
      <w:bookmarkStart w:id="46" w:name="_Toc74526634"/>
      <w:bookmarkStart w:id="47" w:name="_Toc2515"/>
      <w:bookmarkStart w:id="48" w:name="_Toc68648934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100410601"/>
      <w:bookmarkStart w:id="50" w:name="_Toc74526635"/>
      <w:bookmarkStart w:id="51" w:name="_Toc20665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виде репозитория в сервисе </w:t>
      </w:r>
      <w:r>
        <w:rPr>
          <w:rFonts w:hint="default"/>
          <w:lang w:val="en-US"/>
        </w:rPr>
        <w:t>GitHub</w:t>
      </w:r>
      <w:r>
        <w:t xml:space="preserve">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22115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9"/>
      </w:pPr>
      <w:r>
        <w:rPr>
          <w:rFonts w:hint="default"/>
          <w:lang w:val="en-US"/>
        </w:rPr>
        <w:t>Feedparser 6.0.10</w:t>
      </w:r>
    </w:p>
    <w:p>
      <w:pPr>
        <w:pStyle w:val="39"/>
      </w:pPr>
      <w:r>
        <w:rPr>
          <w:rFonts w:hint="default"/>
          <w:lang w:val="en-US"/>
        </w:rPr>
        <w:t>Requests 2.31.0</w:t>
      </w:r>
    </w:p>
    <w:p>
      <w:pPr>
        <w:pStyle w:val="39"/>
      </w:pPr>
      <w:r>
        <w:rPr>
          <w:rFonts w:hint="default"/>
          <w:lang w:val="en-US"/>
        </w:rPr>
        <w:t>SQLAlchemy 2.0.23</w:t>
      </w:r>
      <w:bookmarkStart w:id="84" w:name="_GoBack"/>
      <w:bookmarkEnd w:id="84"/>
    </w:p>
    <w:p>
      <w:pPr>
        <w:pStyle w:val="3"/>
        <w:spacing w:before="100" w:beforeAutospacing="1"/>
        <w:rPr>
          <w:szCs w:val="24"/>
        </w:rPr>
      </w:pPr>
      <w:bookmarkStart w:id="53" w:name="_Toc100410603"/>
      <w:bookmarkStart w:id="54" w:name="_Toc74526637"/>
      <w:bookmarkStart w:id="55" w:name="_Toc20485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13870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68648944"/>
      <w:bookmarkStart w:id="58" w:name="_Toc100410610"/>
      <w:bookmarkStart w:id="59" w:name="_Toc74526644"/>
      <w:bookmarkStart w:id="60" w:name="_Toc29108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100410611"/>
      <w:bookmarkStart w:id="62" w:name="_Toc74526645"/>
      <w:bookmarkStart w:id="63" w:name="_Toc68648945"/>
      <w:bookmarkStart w:id="64" w:name="_Toc32657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13658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100410605"/>
      <w:bookmarkStart w:id="67" w:name="_Toc74526639"/>
      <w:bookmarkStart w:id="68" w:name="_Toc21458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68648940"/>
      <w:bookmarkStart w:id="70" w:name="_Toc24352"/>
      <w:bookmarkStart w:id="71" w:name="_Toc100410606"/>
      <w:bookmarkStart w:id="72" w:name="_Toc74526640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22152"/>
      <w:bookmarkStart w:id="74" w:name="_Toc74526641"/>
      <w:bookmarkStart w:id="75" w:name="_Toc68648941"/>
      <w:bookmarkStart w:id="76" w:name="_Toc100410607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100410608"/>
      <w:bookmarkStart w:id="78" w:name="_Toc31753"/>
      <w:bookmarkStart w:id="79" w:name="_Toc68648942"/>
      <w:bookmarkStart w:id="80" w:name="_Toc74526642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100410613"/>
      <w:bookmarkStart w:id="82" w:name="_Toc74526647"/>
      <w:bookmarkStart w:id="83" w:name="_Toc8522"/>
      <w:r>
        <w:t>Порядок контроля и приемки</w:t>
      </w:r>
      <w:bookmarkEnd w:id="81"/>
      <w:bookmarkEnd w:id="82"/>
      <w:bookmarkEnd w:id="83"/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5232877"/>
    <w:rsid w:val="05854E9B"/>
    <w:rsid w:val="064552D9"/>
    <w:rsid w:val="06520EBE"/>
    <w:rsid w:val="07177A84"/>
    <w:rsid w:val="0AFB4A76"/>
    <w:rsid w:val="0B7C4006"/>
    <w:rsid w:val="0F030047"/>
    <w:rsid w:val="10C4140D"/>
    <w:rsid w:val="12944FAE"/>
    <w:rsid w:val="13F96B31"/>
    <w:rsid w:val="1815568F"/>
    <w:rsid w:val="1DCE7F39"/>
    <w:rsid w:val="1DE47968"/>
    <w:rsid w:val="1EBA004B"/>
    <w:rsid w:val="1FD37FAD"/>
    <w:rsid w:val="21111669"/>
    <w:rsid w:val="23F0FA36"/>
    <w:rsid w:val="288D2228"/>
    <w:rsid w:val="2A0517FE"/>
    <w:rsid w:val="2CB45A85"/>
    <w:rsid w:val="2CDE03EC"/>
    <w:rsid w:val="2DDF2CFF"/>
    <w:rsid w:val="2E080BE6"/>
    <w:rsid w:val="30B9DD65"/>
    <w:rsid w:val="3143739B"/>
    <w:rsid w:val="320565BD"/>
    <w:rsid w:val="339F39E7"/>
    <w:rsid w:val="347D3C45"/>
    <w:rsid w:val="34A1791B"/>
    <w:rsid w:val="39636662"/>
    <w:rsid w:val="3B025EA5"/>
    <w:rsid w:val="403151EA"/>
    <w:rsid w:val="421341B8"/>
    <w:rsid w:val="43EF4482"/>
    <w:rsid w:val="45AA1425"/>
    <w:rsid w:val="45FF21D4"/>
    <w:rsid w:val="467A0D83"/>
    <w:rsid w:val="496E7A85"/>
    <w:rsid w:val="4C9F4AE8"/>
    <w:rsid w:val="4CCD5094"/>
    <w:rsid w:val="4DDA6C22"/>
    <w:rsid w:val="4DDD4D28"/>
    <w:rsid w:val="4EB878B4"/>
    <w:rsid w:val="510E2219"/>
    <w:rsid w:val="53A057EF"/>
    <w:rsid w:val="569241DC"/>
    <w:rsid w:val="59D16D3D"/>
    <w:rsid w:val="5AAD49D1"/>
    <w:rsid w:val="5BAF79DA"/>
    <w:rsid w:val="5E3B0CA9"/>
    <w:rsid w:val="601409DC"/>
    <w:rsid w:val="60DA56E6"/>
    <w:rsid w:val="61A12FC7"/>
    <w:rsid w:val="62397A36"/>
    <w:rsid w:val="650829A6"/>
    <w:rsid w:val="657214BF"/>
    <w:rsid w:val="65746BBF"/>
    <w:rsid w:val="67710EC2"/>
    <w:rsid w:val="699A5D43"/>
    <w:rsid w:val="6C15316C"/>
    <w:rsid w:val="6D85FACB"/>
    <w:rsid w:val="6DE707F5"/>
    <w:rsid w:val="6E9E3B08"/>
    <w:rsid w:val="706A4F77"/>
    <w:rsid w:val="71FC71EA"/>
    <w:rsid w:val="78941160"/>
    <w:rsid w:val="78DF3A17"/>
    <w:rsid w:val="7BE527D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/>
</ds:datastoreItem>
</file>

<file path=customXml/itemProps2.xml><?xml version="1.0" encoding="utf-8"?>
<ds:datastoreItem xmlns:ds="http://schemas.openxmlformats.org/officeDocument/2006/customXml" ds:itemID="{D1D02F96-5624-48FE-AB5F-467181C3EDC1}">
  <ds:schemaRefs/>
</ds:datastoreItem>
</file>

<file path=customXml/itemProps3.xml><?xml version="1.0" encoding="utf-8"?>
<ds:datastoreItem xmlns:ds="http://schemas.openxmlformats.org/officeDocument/2006/customXml" ds:itemID="{BE06CD11-97E7-4DA4-A1E7-C20845DD652C}">
  <ds:schemaRefs/>
</ds:datastoreItem>
</file>

<file path=customXml/itemProps4.xml><?xml version="1.0" encoding="utf-8"?>
<ds:datastoreItem xmlns:ds="http://schemas.openxmlformats.org/officeDocument/2006/customXml" ds:itemID="{716B42F3-8CD4-45D4-A4A6-78ADAF13BD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4</TotalTime>
  <ScaleCrop>false</ScaleCrop>
  <LinksUpToDate>false</LinksUpToDate>
  <CharactersWithSpaces>20757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2023-11-06T08:49:11Z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1049-12.2.0.13266</vt:lpwstr>
  </property>
  <property fmtid="{D5CDD505-2E9C-101B-9397-08002B2CF9AE}" pid="22" name="ICV">
    <vt:lpwstr>D4BCC6FDEA484A73BB533777CB5442FB_13</vt:lpwstr>
  </property>
</Properties>
</file>