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  <w:bookmarkStart w:id="84" w:name="_GoBack"/>
      <w:bookmarkEnd w:id="84"/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_Toc24296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_Toc24296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_Toc25693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_Toc25693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_Toc13934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_Toc13934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_Toc12223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_Toc12223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_Toc17937 </w:instrText>
          </w:r>
          <w:r>
            <w:rPr>
              <w:bCs/>
            </w:rPr>
            <w:fldChar w:fldCharType="separate"/>
          </w:r>
          <w:r>
            <w:rPr>
              <w:lang w:val="ru-RU"/>
            </w:rPr>
            <w:t xml:space="preserve">3 </w:t>
          </w:r>
          <w:r>
            <w:t xml:space="preserve">Описание предметной </w:t>
          </w:r>
          <w:r>
            <w:rPr>
              <w:lang w:val="ru-RU"/>
            </w:rPr>
            <w:t>области</w:t>
          </w:r>
          <w:r>
            <w:tab/>
          </w:r>
          <w:r>
            <w:fldChar w:fldCharType="begin"/>
          </w:r>
          <w:r>
            <w:instrText xml:space="preserve"> PAGEREF _Toc17937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_Toc20527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_Toc10179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_Toc10179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_Toc26538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_Toc26538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_Toc6847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_Toc6847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_Toc26513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_Toc26513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_Toc30482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_Toc4429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_Toc4429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_Toc3925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_Toc3925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4.4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_Toc31297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_Toc26847 </w:instrText>
          </w:r>
          <w:r>
            <w:rPr>
              <w:bCs/>
            </w:rPr>
            <w:fldChar w:fldCharType="separate"/>
          </w:r>
          <w:r>
            <w:t>4.4.1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_Toc26847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_Toc25035 </w:instrText>
          </w:r>
          <w:r>
            <w:rPr>
              <w:bCs/>
            </w:rPr>
            <w:fldChar w:fldCharType="separate"/>
          </w:r>
          <w:r>
            <w:t>4.5.1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_Toc25035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_Toc30308 </w:instrText>
          </w:r>
          <w:r>
            <w:rPr>
              <w:bCs/>
            </w:rPr>
            <w:fldChar w:fldCharType="separate"/>
          </w:r>
          <w:r>
            <w:t>4.5.2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_Toc15403 </w:instrText>
          </w:r>
          <w:r>
            <w:rPr>
              <w:bCs/>
            </w:rPr>
            <w:fldChar w:fldCharType="separate"/>
          </w:r>
          <w:r>
            <w:t>4.5.3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_Toc15403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_Toc30449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_Toc30449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_Toc20626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_Toc20626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_Toc14080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_Toc14080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_Toc27763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_Toc27763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_Toc2515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_Toc2515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_Toc20665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_Toc20665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_Toc22115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_Toc22115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_Toc20485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_Toc20485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_Toc13870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_Toc13870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_Toc29108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_Toc32657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_Toc32657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_Toc13658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_Toc21458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_Toc21458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_Toc24352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_Toc22152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_Toc31753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_Toc8522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_Toc8522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24296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pPr>
        <w:rPr>
          <w:rFonts w:hint="default"/>
          <w:lang w:val="ru-RU"/>
        </w:rPr>
      </w:pPr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5693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7953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13934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24539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none"/>
        </w:rPr>
      </w:pPr>
      <w:r>
        <w:t xml:space="preserve">Дата завершения разработки: </w:t>
      </w:r>
      <w:r>
        <w:rPr>
          <w:rFonts w:hint="default"/>
          <w:lang w:val="en-US"/>
        </w:rPr>
        <w:t>29</w:t>
      </w:r>
      <w:r>
        <w:rPr>
          <w:rFonts w:hint="default"/>
          <w:highlight w:val="none"/>
          <w:lang w:val="ru-RU"/>
        </w:rPr>
        <w:t xml:space="preserve"> ноября</w:t>
      </w:r>
      <w:r>
        <w:rPr>
          <w:highlight w:val="none"/>
        </w:rPr>
        <w:t xml:space="preserve"> 202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 xml:space="preserve"> года</w:t>
      </w:r>
    </w:p>
    <w:p>
      <w:pPr>
        <w:pStyle w:val="3"/>
      </w:pPr>
      <w:bookmarkStart w:id="5" w:name="_Toc819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12223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  <w:rPr>
          <w:lang w:val="ru-RU"/>
        </w:rPr>
      </w:pPr>
      <w:bookmarkStart w:id="7" w:name="_Toc17937"/>
      <w:r>
        <w:t xml:space="preserve">Описание предметной </w:t>
      </w:r>
      <w:r>
        <w:rPr>
          <w:lang w:val="ru-RU"/>
        </w:rPr>
        <w:t>области</w:t>
      </w:r>
      <w:bookmarkEnd w:id="7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pStyle w:val="2"/>
      </w:pPr>
      <w:bookmarkStart w:id="8" w:name="_Toc20527"/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0179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иметь список текстовых команд, которые можно посмотреть открыв меню команд в интерфейсе чата с ботом. Список команд должен состоять из следующих команд: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 и создавать список кнопок доступных тем для новостей. Данная команда должна обновлять для данного пользователя список тем, на которые пользователь будет получать новости с учетом добавленной выбранной темы пользователем. Выбранная тема для присылаемых новостей пишется пользователем с помощью клавиатуры в чате с телеграм ботом или нажатием на кнопку с темой, после ответного сообщения команды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lang w:val="ru-RU"/>
        </w:rPr>
        <w:t>Команда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новостей, которую нужно удалить из списка тем, которые были установлены ранее и создавать список кнопок тем для присылаемых новостей пользователя. Данная команда должна обновлять для данного пользователя список тем, на которые пользователь будет получать новости с учётом исключённой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промежуток. Промежуток указывается в формате «от-до», где «от»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это единица времени в часах от 0 до 23, «до» 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единица времени в часах от 0 до 23, единица времени «до» указывается включительно, также разница между двумя числами должна быть не менее 1. По умолчанию для каждого пользователя стоит временной промежуток «0-23». Данная команда должна менять временной промежуток на тот, что укажет пользователь в чате с телеграм ботом после ответного сообщения на команду «</w:t>
      </w:r>
      <w:r>
        <w:rPr>
          <w:rFonts w:hint="default"/>
          <w:lang w:val="en-US"/>
        </w:rPr>
        <w:t>change_time</w:t>
      </w:r>
      <w:r>
        <w:rPr>
          <w:rFonts w:hint="default"/>
          <w:lang w:val="ru-RU"/>
        </w:rPr>
        <w:t xml:space="preserve">» и вводится пользователем с помощью клавитуры в чате с телеграм ботом. </w:t>
      </w:r>
    </w:p>
    <w:p>
      <w:pPr>
        <w:pStyle w:val="39"/>
        <w:bidi w:val="0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присылать новости пользователю в чате с ботом телеграм в виде текстовых сообщений в чате с ботом телеграм по мере их появления в новостном источнике с учетом настроек пользователя и времени работы алгоритма.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отвечать на активацию пользователем посредством кнопки «ЗАПУСТИТЬ» ответным текстовым сообщением в чате с телеграм ботом, которое должно содержать краткое описанием бота.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присылать текстовое сообщение в чате с ботом телеграм каждый раз, когда успешно изменена какая-либо настройка бота.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26538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со стороны пользователя представлены в виде заранее подготовленных текстовых команд, вводимых пользователем в чате с ботом в мессенджере Телеграм.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 из новостного источника представляют из себя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файлы а также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6847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Телеграм, в состав которых могут входить текстовая информация, изображения, которые используют формат, поддерживаемый в мессенджере Телеграм.</w:t>
      </w:r>
    </w:p>
    <w:p>
      <w:pPr>
        <w:pStyle w:val="3"/>
      </w:pPr>
      <w:bookmarkStart w:id="12" w:name="_Toc104921165"/>
      <w:bookmarkEnd w:id="12"/>
      <w:bookmarkStart w:id="13" w:name="_Toc5395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команд, а также набора кнопок. Экранные формы представлены на рисунках 4.2.1, 4.2.2, 4.2.3.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</w:pPr>
      <w:r>
        <w:drawing>
          <wp:inline distT="0" distB="0" distL="114300" distR="114300">
            <wp:extent cx="2430145" cy="3989070"/>
            <wp:effectExtent l="0" t="0" r="8255" b="3810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4.2.3 -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26513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30482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4429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3925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31297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79"/>
      <w:bookmarkEnd w:id="20"/>
      <w:bookmarkStart w:id="21" w:name="_Toc104921180"/>
      <w:bookmarkEnd w:id="21"/>
      <w:bookmarkStart w:id="22" w:name="_Toc26847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13200"/>
      <w:r>
        <w:t>Условия эксплуатации</w:t>
      </w:r>
      <w:bookmarkEnd w:id="23"/>
    </w:p>
    <w:p>
      <w:pPr>
        <w:pStyle w:val="4"/>
      </w:pPr>
      <w:bookmarkStart w:id="24" w:name="_Toc25035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30308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15403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100410595"/>
      <w:bookmarkStart w:id="28" w:name="_Toc74526629"/>
      <w:bookmarkStart w:id="29" w:name="_Toc31694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требованиям: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>процессор в соответствии с требованиями ОС, установленной на сервер;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 xml:space="preserve">оперативная память </w:t>
      </w:r>
      <w:r>
        <w:rPr>
          <w:rFonts w:hint="default"/>
          <w:lang w:val="ru-RU"/>
        </w:rPr>
        <w:t>8-16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</w:rPr>
      </w:pPr>
      <w:r>
        <w:rPr>
          <w:rFonts w:hint="default"/>
          <w:lang w:val="ru-RU"/>
        </w:rPr>
        <w:t>свободное</w:t>
      </w:r>
      <w:r>
        <w:rPr>
          <w:rFonts w:hint="default"/>
        </w:rPr>
        <w:t xml:space="preserve"> дисковое пространство не менее </w:t>
      </w:r>
      <w:r>
        <w:rPr>
          <w:rFonts w:hint="default"/>
          <w:lang w:val="ru-RU"/>
        </w:rPr>
        <w:t>5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Доступ в интернет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5-50</w:t>
      </w:r>
      <w:r>
        <w:rPr>
          <w:rFonts w:hint="default"/>
        </w:rPr>
        <w:t xml:space="preserve"> Мбит/с</w:t>
      </w:r>
      <w:r>
        <w:rPr>
          <w:rFonts w:hint="default"/>
          <w:lang w:val="ru-RU"/>
        </w:rPr>
        <w:t>.</w:t>
      </w:r>
    </w:p>
    <w:p>
      <w:pPr>
        <w:pStyle w:val="3"/>
        <w:spacing w:before="100" w:beforeAutospacing="1"/>
        <w:rPr>
          <w:szCs w:val="24"/>
        </w:rPr>
      </w:pPr>
      <w:bookmarkStart w:id="30" w:name="_Toc74526630"/>
      <w:bookmarkStart w:id="31" w:name="_Toc100410596"/>
      <w:bookmarkStart w:id="32" w:name="_Toc30449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68648931"/>
      <w:bookmarkStart w:id="34" w:name="_Toc100410597"/>
      <w:bookmarkStart w:id="35" w:name="_Toc74526631"/>
      <w:bookmarkStart w:id="36" w:name="_Toc20626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74526632"/>
      <w:bookmarkStart w:id="38" w:name="_Toc100410598"/>
      <w:bookmarkStart w:id="39" w:name="_Toc68648932"/>
      <w:bookmarkStart w:id="40" w:name="_Toc14080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100410599"/>
      <w:bookmarkStart w:id="42" w:name="_Toc74526633"/>
      <w:bookmarkStart w:id="43" w:name="_Toc68648933"/>
      <w:bookmarkStart w:id="44" w:name="_Toc27763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74526634"/>
      <w:bookmarkStart w:id="46" w:name="_Toc100410600"/>
      <w:bookmarkStart w:id="47" w:name="_Toc68648934"/>
      <w:bookmarkStart w:id="48" w:name="_Toc2515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74526635"/>
      <w:bookmarkStart w:id="50" w:name="_Toc100410601"/>
      <w:bookmarkStart w:id="51" w:name="_Toc20665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виде репозитория в сервисе </w:t>
      </w:r>
      <w:r>
        <w:rPr>
          <w:rFonts w:hint="default"/>
          <w:lang w:val="en-US"/>
        </w:rPr>
        <w:t>GitHub</w:t>
      </w:r>
      <w:r>
        <w:t xml:space="preserve">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22115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"/>
        <w:spacing w:before="100" w:beforeAutospacing="1"/>
        <w:rPr>
          <w:szCs w:val="24"/>
        </w:rPr>
      </w:pPr>
      <w:bookmarkStart w:id="53" w:name="_Toc100410603"/>
      <w:bookmarkStart w:id="54" w:name="_Toc74526637"/>
      <w:bookmarkStart w:id="55" w:name="_Toc20485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13870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68648944"/>
      <w:bookmarkStart w:id="58" w:name="_Toc74526644"/>
      <w:bookmarkStart w:id="59" w:name="_Toc100410610"/>
      <w:bookmarkStart w:id="60" w:name="_Toc29108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74526645"/>
      <w:bookmarkStart w:id="62" w:name="_Toc100410611"/>
      <w:bookmarkStart w:id="63" w:name="_Toc68648945"/>
      <w:bookmarkStart w:id="64" w:name="_Toc32657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13658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100410605"/>
      <w:bookmarkStart w:id="67" w:name="_Toc74526639"/>
      <w:bookmarkStart w:id="68" w:name="_Toc21458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74526640"/>
      <w:bookmarkStart w:id="70" w:name="_Toc68648940"/>
      <w:bookmarkStart w:id="71" w:name="_Toc100410606"/>
      <w:bookmarkStart w:id="72" w:name="_Toc24352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100410607"/>
      <w:bookmarkStart w:id="74" w:name="_Toc74526641"/>
      <w:bookmarkStart w:id="75" w:name="_Toc68648941"/>
      <w:bookmarkStart w:id="76" w:name="_Toc22152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68648942"/>
      <w:bookmarkStart w:id="78" w:name="_Toc74526642"/>
      <w:bookmarkStart w:id="79" w:name="_Toc100410608"/>
      <w:bookmarkStart w:id="80" w:name="_Toc31753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100410613"/>
      <w:bookmarkStart w:id="82" w:name="_Toc74526647"/>
      <w:bookmarkStart w:id="83" w:name="_Toc8522"/>
      <w:r>
        <w:t>Порядок контроля и приемки</w:t>
      </w:r>
      <w:bookmarkEnd w:id="81"/>
      <w:bookmarkEnd w:id="82"/>
      <w:bookmarkEnd w:id="83"/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5232877"/>
    <w:rsid w:val="05854E9B"/>
    <w:rsid w:val="06520EBE"/>
    <w:rsid w:val="07177A84"/>
    <w:rsid w:val="0AFB4A76"/>
    <w:rsid w:val="0B7C4006"/>
    <w:rsid w:val="0F030047"/>
    <w:rsid w:val="10C4140D"/>
    <w:rsid w:val="12944FAE"/>
    <w:rsid w:val="13F96B31"/>
    <w:rsid w:val="1815568F"/>
    <w:rsid w:val="1DCE7F39"/>
    <w:rsid w:val="1DE47968"/>
    <w:rsid w:val="1EBA004B"/>
    <w:rsid w:val="1FD37FAD"/>
    <w:rsid w:val="21111669"/>
    <w:rsid w:val="23F0FA36"/>
    <w:rsid w:val="288D2228"/>
    <w:rsid w:val="2A0517FE"/>
    <w:rsid w:val="2CDE03EC"/>
    <w:rsid w:val="2DDF2CFF"/>
    <w:rsid w:val="2E080BE6"/>
    <w:rsid w:val="30B9DD65"/>
    <w:rsid w:val="3143739B"/>
    <w:rsid w:val="320565BD"/>
    <w:rsid w:val="339F39E7"/>
    <w:rsid w:val="347D3C45"/>
    <w:rsid w:val="34A1791B"/>
    <w:rsid w:val="39636662"/>
    <w:rsid w:val="3B025EA5"/>
    <w:rsid w:val="403151EA"/>
    <w:rsid w:val="421341B8"/>
    <w:rsid w:val="43EF4482"/>
    <w:rsid w:val="45AA1425"/>
    <w:rsid w:val="467A0D83"/>
    <w:rsid w:val="496E7A85"/>
    <w:rsid w:val="4C9F4AE8"/>
    <w:rsid w:val="4CCD5094"/>
    <w:rsid w:val="4DDA6C22"/>
    <w:rsid w:val="4DDD4D28"/>
    <w:rsid w:val="4EB878B4"/>
    <w:rsid w:val="510E2219"/>
    <w:rsid w:val="53A057EF"/>
    <w:rsid w:val="569241DC"/>
    <w:rsid w:val="59D16D3D"/>
    <w:rsid w:val="5AAD49D1"/>
    <w:rsid w:val="5BAF79DA"/>
    <w:rsid w:val="5E3B0CA9"/>
    <w:rsid w:val="601409DC"/>
    <w:rsid w:val="60DA56E6"/>
    <w:rsid w:val="61A12FC7"/>
    <w:rsid w:val="62397A36"/>
    <w:rsid w:val="650829A6"/>
    <w:rsid w:val="65746BBF"/>
    <w:rsid w:val="67710EC2"/>
    <w:rsid w:val="699A5D43"/>
    <w:rsid w:val="6C15316C"/>
    <w:rsid w:val="6D85FACB"/>
    <w:rsid w:val="6DE707F5"/>
    <w:rsid w:val="6E9E3B08"/>
    <w:rsid w:val="706A4F77"/>
    <w:rsid w:val="78941160"/>
    <w:rsid w:val="7BE527D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0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2023-11-05T17:06:53Z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