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CB4" w:rsidRDefault="008E7094" w:rsidP="00F12CB4">
      <w:pPr>
        <w:pStyle w:val="Heading1"/>
        <w:rPr>
          <w:b/>
          <w:bCs/>
        </w:rPr>
      </w:pPr>
      <w:r w:rsidRPr="00FE06B7">
        <w:rPr>
          <w:b/>
          <w:bCs/>
        </w:rPr>
        <w:t>Proof of Concept</w:t>
      </w:r>
      <w:r w:rsidR="00441D05" w:rsidRPr="00FE06B7">
        <w:rPr>
          <w:b/>
          <w:bCs/>
        </w:rPr>
        <w:t>: collection, analysis and archiving of publicly available social media</w:t>
      </w:r>
    </w:p>
    <w:p w:rsidR="008E7094" w:rsidRDefault="008E7094" w:rsidP="003165DC">
      <w:pPr>
        <w:pStyle w:val="Heading1"/>
      </w:pPr>
      <w:r>
        <w:t>Elaboration I Planning</w:t>
      </w:r>
    </w:p>
    <w:p w:rsidR="008E7094" w:rsidRDefault="008E7094" w:rsidP="00AC08F5">
      <w:pPr>
        <w:spacing w:line="240" w:lineRule="atLeast"/>
        <w:rPr>
          <w:b/>
        </w:rPr>
      </w:pPr>
      <w:r>
        <w:rPr>
          <w:b/>
        </w:rPr>
        <w:t>Roslyn Walker</w:t>
      </w:r>
      <w:r w:rsidR="00F12CB4">
        <w:rPr>
          <w:b/>
        </w:rPr>
        <w:t xml:space="preserve"> Student Number</w:t>
      </w:r>
      <w:r w:rsidR="003165DC">
        <w:rPr>
          <w:b/>
        </w:rPr>
        <w:t xml:space="preserve"> 45149631</w:t>
      </w:r>
    </w:p>
    <w:p w:rsidR="00CD3AB1" w:rsidRDefault="00CD3AB1" w:rsidP="00CD3AB1">
      <w:pPr>
        <w:rPr>
          <w:lang w:val="en-GB"/>
        </w:rPr>
      </w:pPr>
    </w:p>
    <w:p w:rsidR="00CD3AB1" w:rsidRPr="00CD3AB1" w:rsidRDefault="00CD3AB1" w:rsidP="00CD3AB1">
      <w:pPr>
        <w:rPr>
          <w:i/>
          <w:iCs/>
        </w:rPr>
      </w:pPr>
      <w:r w:rsidRPr="00CD3AB1">
        <w:rPr>
          <w:i/>
          <w:iCs/>
          <w:lang w:val="en-GB"/>
        </w:rPr>
        <w:t xml:space="preserve">Task: </w:t>
      </w:r>
      <w:r w:rsidRPr="00CD3AB1">
        <w:rPr>
          <w:i/>
          <w:iCs/>
        </w:rPr>
        <w:t>Using the step-by-step breakdown of your problems / solutions developed last week, identify technologies (programming languages, software libraries, APIs (Application programming interfaces, the means by which one program talks to another program) and other components of a modern data collection or processing workflow) that could accomplish each step. You may want to specify more than one possible technology.</w:t>
      </w:r>
    </w:p>
    <w:p w:rsidR="00CD3AB1" w:rsidRDefault="00CD3AB1" w:rsidP="00CD3AB1">
      <w:pPr>
        <w:rPr>
          <w:i/>
          <w:iCs/>
        </w:rPr>
      </w:pPr>
      <w:r w:rsidRPr="00CD3AB1">
        <w:rPr>
          <w:i/>
          <w:iCs/>
        </w:rPr>
        <w:t xml:space="preserve">This document can be written in any format (though we encourage further practice in LaTeX) and should be as long as it needs to be. If you find yourself testing too many steps or technologies which depend on each other, you may wish to adjust your scope to be more specific. The judgment call for “too many” is “Can you see yourself learning enough to use and connect these tools and techniques in the next month?” </w:t>
      </w:r>
    </w:p>
    <w:p w:rsidR="00CD3AB1" w:rsidRPr="00CD3AB1" w:rsidRDefault="00CD3AB1" w:rsidP="00CD3AB1">
      <w:pPr>
        <w:rPr>
          <w:i/>
          <w:iCs/>
        </w:rPr>
      </w:pPr>
      <w:r w:rsidRPr="00CD3AB1">
        <w:rPr>
          <w:i/>
          <w:iCs/>
        </w:rPr>
        <w:t>Alternatives found for components which do not prove suitable during elaboration. All components identified could be credibly combined together to solve the problem articulated in the scoping document and the steps necessary to achieve this goal have been identified.</w:t>
      </w:r>
    </w:p>
    <w:p w:rsidR="00CD3AB1" w:rsidRPr="00CD3AB1" w:rsidRDefault="00CD3AB1" w:rsidP="00CD3AB1">
      <w:pPr>
        <w:rPr>
          <w:i/>
          <w:iCs/>
        </w:rPr>
      </w:pPr>
    </w:p>
    <w:p w:rsidR="006643D9" w:rsidRDefault="004E03DE" w:rsidP="004E03DE">
      <w:r>
        <w:t>This Proof of Concept proposes a workflow process for the collection, analysis, and archiving of publicly available data from online and social media platforms.</w:t>
      </w:r>
    </w:p>
    <w:p w:rsidR="004E03DE" w:rsidRPr="006643D9" w:rsidRDefault="008E7094" w:rsidP="008E7094">
      <w:pPr>
        <w:rPr>
          <w:bCs/>
          <w:lang w:val="en-GB"/>
        </w:rPr>
      </w:pPr>
      <w:r w:rsidRPr="005267A6">
        <w:rPr>
          <w:b/>
          <w:bCs/>
        </w:rPr>
        <w:t xml:space="preserve">Elaboration </w:t>
      </w:r>
      <w:r w:rsidR="005A08BA" w:rsidRPr="005267A6">
        <w:rPr>
          <w:b/>
          <w:bCs/>
        </w:rPr>
        <w:t>I</w:t>
      </w:r>
      <w:r w:rsidR="005A08BA">
        <w:t xml:space="preserve"> is a </w:t>
      </w:r>
      <w:r>
        <w:t xml:space="preserve">plan </w:t>
      </w:r>
      <w:r w:rsidR="004E03DE">
        <w:t xml:space="preserve">to </w:t>
      </w:r>
      <w:r w:rsidR="006643D9">
        <w:t>identify</w:t>
      </w:r>
      <w:r w:rsidR="004E03DE">
        <w:t xml:space="preserve"> </w:t>
      </w:r>
      <w:r w:rsidR="006643D9">
        <w:t xml:space="preserve">a process for workflow for the Proof of Concept. The </w:t>
      </w:r>
      <w:r w:rsidR="006643D9">
        <w:rPr>
          <w:bCs/>
        </w:rPr>
        <w:t>technical and non-technical considerations of workflow are in the scope of this Proof of Concept to address the ethical and l</w:t>
      </w:r>
      <w:r w:rsidR="006643D9" w:rsidRPr="009A50F8">
        <w:rPr>
          <w:bCs/>
        </w:rPr>
        <w:t>egal framework</w:t>
      </w:r>
      <w:r w:rsidR="006643D9">
        <w:rPr>
          <w:bCs/>
        </w:rPr>
        <w:t xml:space="preserve"> for using personally identifiable information that forms the source data for this project.</w:t>
      </w:r>
    </w:p>
    <w:p w:rsidR="005267A6" w:rsidRPr="005267A6" w:rsidRDefault="005267A6" w:rsidP="005267A6">
      <w:pPr>
        <w:rPr>
          <w:lang w:val="en-GB"/>
        </w:rPr>
      </w:pPr>
    </w:p>
    <w:p w:rsidR="008E7094" w:rsidRPr="00F12CB4" w:rsidRDefault="008E7094" w:rsidP="00F12CB4">
      <w:pPr>
        <w:pStyle w:val="Heading2"/>
      </w:pPr>
      <w:r w:rsidRPr="00F12CB4">
        <w:t>S</w:t>
      </w:r>
      <w:r w:rsidR="000221DE">
        <w:t>even</w:t>
      </w:r>
      <w:r w:rsidRPr="00F12CB4">
        <w:t xml:space="preserve"> duties </w:t>
      </w:r>
      <w:r w:rsidR="00F210D8" w:rsidRPr="00F12CB4">
        <w:t xml:space="preserve">for </w:t>
      </w:r>
      <w:r w:rsidR="00F12CB4" w:rsidRPr="00F12CB4">
        <w:t xml:space="preserve">the </w:t>
      </w:r>
      <w:r w:rsidR="00F210D8" w:rsidRPr="00F12CB4">
        <w:t>collection, analysis and archiving of publicly available s</w:t>
      </w:r>
      <w:r w:rsidRPr="00F12CB4">
        <w:t xml:space="preserve">ocial </w:t>
      </w:r>
      <w:r w:rsidR="00F210D8" w:rsidRPr="00F12CB4">
        <w:t>m</w:t>
      </w:r>
      <w:r w:rsidRPr="00F12CB4">
        <w:t>edia</w:t>
      </w:r>
    </w:p>
    <w:p w:rsidR="008E7094" w:rsidRDefault="008E7094" w:rsidP="00AC08F5">
      <w:pPr>
        <w:spacing w:line="240" w:lineRule="atLeast"/>
        <w:rPr>
          <w:b/>
        </w:rPr>
      </w:pPr>
      <w:r>
        <w:rPr>
          <w:b/>
        </w:rPr>
        <w:t>1.</w:t>
      </w:r>
      <w:r w:rsidR="007D45E3">
        <w:rPr>
          <w:b/>
        </w:rPr>
        <w:t xml:space="preserve"> Meet ethical research requirements</w:t>
      </w:r>
    </w:p>
    <w:p w:rsidR="000F5B93" w:rsidRDefault="000F5B93" w:rsidP="000F5B93">
      <w:r>
        <w:t xml:space="preserve">With reference to the </w:t>
      </w:r>
      <w:r w:rsidRPr="000F5B93">
        <w:t>Guide to data analytics and the Australian Privacy Principles</w:t>
      </w:r>
      <w:r>
        <w:t xml:space="preserve"> from the Office of the Australian Information Commission--the c</w:t>
      </w:r>
      <w:r w:rsidR="007D45E3" w:rsidRPr="000F5B93">
        <w:t xml:space="preserve">ollection of data </w:t>
      </w:r>
      <w:r>
        <w:t>from Twitter must comply with Australian laws. In addition as research is conducted with Macquarie University for learning and research the process must comply with ethical</w:t>
      </w:r>
      <w:r w:rsidR="007D45E3" w:rsidRPr="000F5B93">
        <w:t xml:space="preserve"> research protocols.</w:t>
      </w:r>
      <w:r>
        <w:t xml:space="preserve"> </w:t>
      </w:r>
      <w:r w:rsidR="007D45E3">
        <w:t>This</w:t>
      </w:r>
      <w:r>
        <w:t xml:space="preserve"> also</w:t>
      </w:r>
      <w:r w:rsidR="007D45E3">
        <w:t xml:space="preserve"> means </w:t>
      </w:r>
      <w:r>
        <w:t xml:space="preserve">the </w:t>
      </w:r>
      <w:r w:rsidR="007D45E3">
        <w:t xml:space="preserve">compliance with </w:t>
      </w:r>
      <w:r w:rsidR="00F12CB4">
        <w:t xml:space="preserve">the </w:t>
      </w:r>
      <w:r w:rsidR="007D45E3">
        <w:t>terms of service</w:t>
      </w:r>
      <w:r w:rsidR="00F91239">
        <w:t xml:space="preserve"> of social media platforms</w:t>
      </w:r>
      <w:r w:rsidR="00F12CB4">
        <w:t>.</w:t>
      </w:r>
    </w:p>
    <w:p w:rsidR="000F5B93" w:rsidRDefault="000F5B93" w:rsidP="000F5B93">
      <w:r>
        <w:t>One approach is to investigate t</w:t>
      </w:r>
      <w:r w:rsidR="00F91239">
        <w:t xml:space="preserve">he </w:t>
      </w:r>
      <w:r>
        <w:t xml:space="preserve">minimisation of the </w:t>
      </w:r>
      <w:r w:rsidR="00F91239">
        <w:t>collection of personally identifiable information metadata will be minimised</w:t>
      </w:r>
      <w:r>
        <w:t xml:space="preserve">. The use of </w:t>
      </w:r>
      <w:r w:rsidRPr="000F5B93">
        <w:t>‘all the data’ for ‘unknown purposes’ expose</w:t>
      </w:r>
      <w:r>
        <w:t>s the University</w:t>
      </w:r>
      <w:r w:rsidRPr="000F5B93">
        <w:t xml:space="preserve"> to privacy compliance risks. </w:t>
      </w:r>
      <w:r>
        <w:t>This requires the l</w:t>
      </w:r>
      <w:r w:rsidRPr="000F5B93">
        <w:t>imit</w:t>
      </w:r>
      <w:r>
        <w:t>ing of</w:t>
      </w:r>
      <w:r w:rsidRPr="000F5B93">
        <w:t xml:space="preserve"> the </w:t>
      </w:r>
      <w:r w:rsidRPr="000F5B93">
        <w:lastRenderedPageBreak/>
        <w:t xml:space="preserve">collection of personal information that </w:t>
      </w:r>
      <w:r>
        <w:t>I am</w:t>
      </w:r>
      <w:r w:rsidRPr="000F5B93">
        <w:t xml:space="preserve"> only collecting information which is reasonably necessary to pursue </w:t>
      </w:r>
      <w:r>
        <w:t>the</w:t>
      </w:r>
      <w:r w:rsidRPr="000F5B93">
        <w:t xml:space="preserve"> legitimate functions and activities</w:t>
      </w:r>
      <w:r>
        <w:t xml:space="preserve"> of this project.</w:t>
      </w:r>
    </w:p>
    <w:p w:rsidR="000F5B93" w:rsidRPr="000F5B93" w:rsidRDefault="000F5B93" w:rsidP="000F5B93">
      <w:r>
        <w:t xml:space="preserve">With respect to </w:t>
      </w:r>
      <w:r w:rsidRPr="000F5B93">
        <w:t>sensitive information</w:t>
      </w:r>
      <w:r>
        <w:t xml:space="preserve"> the creation of new data sets may lead </w:t>
      </w:r>
      <w:r w:rsidRPr="000F5B93">
        <w:t xml:space="preserve">to the creation </w:t>
      </w:r>
      <w:r>
        <w:t>and</w:t>
      </w:r>
      <w:r w:rsidRPr="000F5B93">
        <w:t xml:space="preserve"> collection of sensitive information may be generated</w:t>
      </w:r>
      <w:r>
        <w:t xml:space="preserve"> from</w:t>
      </w:r>
      <w:r w:rsidRPr="000F5B93">
        <w:t xml:space="preserve"> inferred or derived data. </w:t>
      </w:r>
      <w:r>
        <w:t xml:space="preserve">Where </w:t>
      </w:r>
      <w:r w:rsidRPr="000F5B93">
        <w:t>personal information is created which the organisation is not able to collect under APP3, it may need to be de-identified or destroyed. See </w:t>
      </w:r>
      <w:hyperlink r:id="rId5" w:anchor="s2-2-collection-of-personal-information-app-3" w:history="1">
        <w:r w:rsidRPr="000F5B93">
          <w:t>Collecting Personal Information</w:t>
        </w:r>
      </w:hyperlink>
      <w:r w:rsidRPr="000F5B93">
        <w:t> in Part Two.</w:t>
      </w:r>
      <w:r>
        <w:t>" (OAIC 2019</w:t>
      </w:r>
      <w:r w:rsidR="006B6F3E">
        <w:t>).</w:t>
      </w:r>
    </w:p>
    <w:p w:rsidR="000F5B93" w:rsidRPr="000F5B93" w:rsidRDefault="000F5B93" w:rsidP="006B6F3E">
      <w:r>
        <w:t xml:space="preserve">An alternative to this approach </w:t>
      </w:r>
      <w:r w:rsidR="006B6F3E">
        <w:t>is to use the data sets generated through my own Twitter feed for the Proof of Concept and investigate whether this creates compliance issues with regard to ethical protocols or privacy compliance.</w:t>
      </w:r>
    </w:p>
    <w:p w:rsidR="00BD1A65" w:rsidRDefault="00BD1A65" w:rsidP="00AC08F5">
      <w:pPr>
        <w:spacing w:line="240" w:lineRule="atLeast"/>
        <w:rPr>
          <w:b/>
        </w:rPr>
      </w:pPr>
      <w:r>
        <w:rPr>
          <w:b/>
        </w:rPr>
        <w:t xml:space="preserve">2. </w:t>
      </w:r>
      <w:r w:rsidR="00CD6E32">
        <w:rPr>
          <w:b/>
        </w:rPr>
        <w:t>Access s</w:t>
      </w:r>
      <w:r>
        <w:rPr>
          <w:b/>
        </w:rPr>
        <w:t xml:space="preserve">ource data </w:t>
      </w:r>
      <w:r w:rsidR="00CD6E32">
        <w:rPr>
          <w:b/>
        </w:rPr>
        <w:t>online and from social media platforms</w:t>
      </w:r>
    </w:p>
    <w:p w:rsidR="00CD3AB1" w:rsidRDefault="006B6F3E" w:rsidP="00CD3AB1">
      <w:r>
        <w:rPr>
          <w:bCs/>
        </w:rPr>
        <w:t>Twitter feed data is o</w:t>
      </w:r>
      <w:r w:rsidR="00EF148F" w:rsidRPr="0058126F">
        <w:rPr>
          <w:bCs/>
        </w:rPr>
        <w:t>btain</w:t>
      </w:r>
      <w:r>
        <w:rPr>
          <w:bCs/>
        </w:rPr>
        <w:t xml:space="preserve"> through an</w:t>
      </w:r>
      <w:r w:rsidR="00EF148F" w:rsidRPr="0058126F">
        <w:rPr>
          <w:bCs/>
        </w:rPr>
        <w:t xml:space="preserve"> </w:t>
      </w:r>
      <w:r w:rsidR="00A92655" w:rsidRPr="0058126F">
        <w:rPr>
          <w:bCs/>
        </w:rPr>
        <w:t>Application Programming Interfaces (API)</w:t>
      </w:r>
      <w:r>
        <w:rPr>
          <w:bCs/>
        </w:rPr>
        <w:t>. Twitter is able to provide access to API through a developer account. Atlernatively this is provided for use on my own data</w:t>
      </w:r>
      <w:r w:rsidR="00CD3AB1">
        <w:rPr>
          <w:bCs/>
        </w:rPr>
        <w:t xml:space="preserve"> </w:t>
      </w:r>
      <w:r>
        <w:rPr>
          <w:bCs/>
        </w:rPr>
        <w:t>held by</w:t>
      </w:r>
      <w:r w:rsidR="00CD3AB1">
        <w:rPr>
          <w:bCs/>
        </w:rPr>
        <w:t xml:space="preserve"> Twitter</w:t>
      </w:r>
      <w:r>
        <w:rPr>
          <w:bCs/>
        </w:rPr>
        <w:t>. As an alternative</w:t>
      </w:r>
      <w:r w:rsidR="00CD3AB1">
        <w:rPr>
          <w:bCs/>
        </w:rPr>
        <w:t xml:space="preserve"> </w:t>
      </w:r>
      <w:r>
        <w:rPr>
          <w:bCs/>
        </w:rPr>
        <w:t>path this Proof of Concept could e</w:t>
      </w:r>
      <w:r w:rsidR="00CD3AB1">
        <w:rPr>
          <w:bCs/>
        </w:rPr>
        <w:t>xplore n</w:t>
      </w:r>
      <w:r w:rsidR="0091641C" w:rsidRPr="0058126F">
        <w:rPr>
          <w:bCs/>
        </w:rPr>
        <w:t>on API methods</w:t>
      </w:r>
      <w:r w:rsidR="00CD3AB1">
        <w:rPr>
          <w:bCs/>
        </w:rPr>
        <w:t xml:space="preserve">. The </w:t>
      </w:r>
      <w:r w:rsidR="005267A6">
        <w:t xml:space="preserve">Application Programming Interfaces (APIs) </w:t>
      </w:r>
      <w:r w:rsidR="00CD3AB1">
        <w:t>could</w:t>
      </w:r>
      <w:r w:rsidR="005267A6">
        <w:t xml:space="preserve"> be used in this project to enable technologies to communicate with each other.</w:t>
      </w:r>
    </w:p>
    <w:p w:rsidR="00EF148F" w:rsidRDefault="0058126F" w:rsidP="00EF148F">
      <w:pPr>
        <w:spacing w:line="240" w:lineRule="atLeast"/>
        <w:rPr>
          <w:b/>
        </w:rPr>
      </w:pPr>
      <w:r>
        <w:rPr>
          <w:b/>
        </w:rPr>
        <w:t>3</w:t>
      </w:r>
      <w:r w:rsidR="008E7094">
        <w:rPr>
          <w:b/>
        </w:rPr>
        <w:t>.</w:t>
      </w:r>
      <w:r w:rsidR="007D45E3">
        <w:rPr>
          <w:b/>
        </w:rPr>
        <w:t xml:space="preserve"> </w:t>
      </w:r>
      <w:r w:rsidR="00CD6E32">
        <w:rPr>
          <w:b/>
        </w:rPr>
        <w:t>Store and retrieve source data</w:t>
      </w:r>
    </w:p>
    <w:p w:rsidR="005A08BA" w:rsidRPr="00C2476C" w:rsidRDefault="005A08BA" w:rsidP="008D4B8E">
      <w:r w:rsidRPr="00C2476C">
        <w:t>For archival research</w:t>
      </w:r>
      <w:r w:rsidR="00311719" w:rsidRPr="00C2476C">
        <w:t xml:space="preserve"> it's important to</w:t>
      </w:r>
      <w:r w:rsidRPr="00C2476C">
        <w:t xml:space="preserve"> build a pipeline around the management of </w:t>
      </w:r>
      <w:r w:rsidR="00311719" w:rsidRPr="00C2476C">
        <w:t xml:space="preserve">the </w:t>
      </w:r>
      <w:r w:rsidRPr="00C2476C">
        <w:t xml:space="preserve">archival sources </w:t>
      </w:r>
      <w:r w:rsidR="00311719" w:rsidRPr="00C2476C">
        <w:t>such as</w:t>
      </w:r>
      <w:r w:rsidRPr="00C2476C">
        <w:t xml:space="preserve"> </w:t>
      </w:r>
      <w:r w:rsidR="00C2476C" w:rsidRPr="00C2476C">
        <w:t xml:space="preserve">the images </w:t>
      </w:r>
      <w:r w:rsidR="00311719" w:rsidRPr="00C2476C">
        <w:t xml:space="preserve">and text. </w:t>
      </w:r>
      <w:r w:rsidR="006B6F3E">
        <w:t>The Proof of Concept could c</w:t>
      </w:r>
      <w:r w:rsidR="00542DA6">
        <w:t>onsider</w:t>
      </w:r>
      <w:r w:rsidR="006B6F3E">
        <w:t xml:space="preserve"> the</w:t>
      </w:r>
      <w:r w:rsidR="00542DA6">
        <w:t xml:space="preserve"> potential of </w:t>
      </w:r>
      <w:r w:rsidR="006B6F3E">
        <w:t>using a</w:t>
      </w:r>
      <w:r w:rsidR="00542DA6">
        <w:t xml:space="preserve"> combination of application</w:t>
      </w:r>
      <w:r w:rsidR="006B6F3E">
        <w:t>s</w:t>
      </w:r>
      <w:r w:rsidR="00542DA6">
        <w:t xml:space="preserve"> in existing platforms and systems with </w:t>
      </w:r>
      <w:r w:rsidR="00E767C2" w:rsidRPr="00C2476C">
        <w:t>o</w:t>
      </w:r>
      <w:r w:rsidR="00311719" w:rsidRPr="00C2476C">
        <w:t xml:space="preserve">pen source tools </w:t>
      </w:r>
      <w:r w:rsidR="008D4B8E">
        <w:t>includ</w:t>
      </w:r>
      <w:r w:rsidR="00542DA6">
        <w:t>ing</w:t>
      </w:r>
      <w:r w:rsidR="008D4B8E">
        <w:t xml:space="preserve"> </w:t>
      </w:r>
      <w:r w:rsidRPr="00C2476C">
        <w:t>Zotero</w:t>
      </w:r>
      <w:r w:rsidR="00542DA6">
        <w:t xml:space="preserve"> as a bibliography software</w:t>
      </w:r>
      <w:r w:rsidR="008D4B8E">
        <w:t xml:space="preserve"> </w:t>
      </w:r>
      <w:r w:rsidR="00542DA6">
        <w:t xml:space="preserve">and </w:t>
      </w:r>
      <w:r w:rsidRPr="00C2476C">
        <w:t>Tropy</w:t>
      </w:r>
      <w:r w:rsidR="00542DA6">
        <w:t xml:space="preserve"> as a research photograph tool.</w:t>
      </w:r>
    </w:p>
    <w:p w:rsidR="008E7094" w:rsidRDefault="0058126F" w:rsidP="00AC08F5">
      <w:pPr>
        <w:spacing w:line="240" w:lineRule="atLeast"/>
        <w:rPr>
          <w:b/>
        </w:rPr>
      </w:pPr>
      <w:r>
        <w:rPr>
          <w:b/>
        </w:rPr>
        <w:t>4</w:t>
      </w:r>
      <w:r w:rsidR="008E7094">
        <w:rPr>
          <w:b/>
        </w:rPr>
        <w:t>.</w:t>
      </w:r>
      <w:r w:rsidR="00BD1A65">
        <w:rPr>
          <w:b/>
        </w:rPr>
        <w:t xml:space="preserve"> </w:t>
      </w:r>
      <w:r w:rsidR="00CD6E32">
        <w:rPr>
          <w:b/>
        </w:rPr>
        <w:t>Analyse source d</w:t>
      </w:r>
      <w:r w:rsidR="00EF148F">
        <w:rPr>
          <w:b/>
        </w:rPr>
        <w:t>ata</w:t>
      </w:r>
    </w:p>
    <w:p w:rsidR="00441D05" w:rsidRPr="00A92655" w:rsidRDefault="006B6F3E" w:rsidP="006B6F3E">
      <w:pPr>
        <w:rPr>
          <w:bCs/>
        </w:rPr>
      </w:pPr>
      <w:r>
        <w:rPr>
          <w:bCs/>
        </w:rPr>
        <w:t xml:space="preserve">Explore file formats from source data on Twitter with potential </w:t>
      </w:r>
      <w:r w:rsidR="00441D05">
        <w:rPr>
          <w:bCs/>
        </w:rPr>
        <w:t>thematic tagging of content</w:t>
      </w:r>
      <w:r>
        <w:rPr>
          <w:bCs/>
        </w:rPr>
        <w:t xml:space="preserve"> and d</w:t>
      </w:r>
      <w:r w:rsidR="00441D05">
        <w:rPr>
          <w:bCs/>
        </w:rPr>
        <w:t>isplay of content as a virtual exhibition</w:t>
      </w:r>
      <w:r>
        <w:rPr>
          <w:bCs/>
        </w:rPr>
        <w:t>.</w:t>
      </w:r>
    </w:p>
    <w:p w:rsidR="00CD6E32" w:rsidRDefault="0058126F" w:rsidP="00CD6E32">
      <w:pPr>
        <w:rPr>
          <w:b/>
        </w:rPr>
      </w:pPr>
      <w:r>
        <w:rPr>
          <w:b/>
        </w:rPr>
        <w:t>5</w:t>
      </w:r>
      <w:r w:rsidR="00F91239">
        <w:rPr>
          <w:b/>
        </w:rPr>
        <w:t xml:space="preserve">. Data governance </w:t>
      </w:r>
      <w:r w:rsidR="00CD6E32">
        <w:rPr>
          <w:b/>
        </w:rPr>
        <w:t xml:space="preserve">maintained through </w:t>
      </w:r>
      <w:r w:rsidR="007B77C4">
        <w:rPr>
          <w:b/>
        </w:rPr>
        <w:t xml:space="preserve">the solution </w:t>
      </w:r>
      <w:r w:rsidR="00CD6E32">
        <w:rPr>
          <w:b/>
        </w:rPr>
        <w:t>workflow</w:t>
      </w:r>
    </w:p>
    <w:p w:rsidR="00CD6E32" w:rsidRDefault="00CD6E32" w:rsidP="00CD6E32">
      <w:pPr>
        <w:rPr>
          <w:rFonts w:eastAsiaTheme="majorEastAsia"/>
        </w:rPr>
      </w:pPr>
      <w:r w:rsidRPr="00CD6E32">
        <w:rPr>
          <w:rFonts w:eastAsiaTheme="majorEastAsia"/>
        </w:rPr>
        <w:t xml:space="preserve">Throughout the workflow process the solution has a duty to include a data governance framework that provides checks-and-balances to maintaining the integrity of the data through the workflow. The governance framework will use the five </w:t>
      </w:r>
      <w:r>
        <w:rPr>
          <w:rFonts w:eastAsiaTheme="majorEastAsia"/>
        </w:rPr>
        <w:t xml:space="preserve">knows principle: </w:t>
      </w:r>
    </w:p>
    <w:p w:rsidR="00CD6E32" w:rsidRPr="00CD6E32" w:rsidRDefault="00CD6E32" w:rsidP="00CD6E32">
      <w:r>
        <w:rPr>
          <w:rFonts w:eastAsiaTheme="majorEastAsia"/>
        </w:rPr>
        <w:t xml:space="preserve">1. </w:t>
      </w:r>
      <w:r w:rsidRPr="00CD6E32">
        <w:t>Do you know the value of your data?</w:t>
      </w:r>
    </w:p>
    <w:p w:rsidR="00CD6E32" w:rsidRPr="00CD6E32" w:rsidRDefault="00CD6E32" w:rsidP="00CD6E32">
      <w:r>
        <w:t xml:space="preserve">2. </w:t>
      </w:r>
      <w:r w:rsidRPr="00CD6E32">
        <w:t>Do you know who has access to your data?</w:t>
      </w:r>
    </w:p>
    <w:p w:rsidR="00CD6E32" w:rsidRPr="00CD6E32" w:rsidRDefault="00CD6E32" w:rsidP="00CD6E32">
      <w:r>
        <w:t xml:space="preserve">3. </w:t>
      </w:r>
      <w:r w:rsidRPr="00CD6E32">
        <w:t>Do you know where your data is?</w:t>
      </w:r>
    </w:p>
    <w:p w:rsidR="00CD6E32" w:rsidRPr="00CD6E32" w:rsidRDefault="00CD6E32" w:rsidP="00CD6E32">
      <w:r>
        <w:t xml:space="preserve">4. </w:t>
      </w:r>
      <w:r w:rsidRPr="00CD6E32">
        <w:t>Do you know who is protecting your data?</w:t>
      </w:r>
    </w:p>
    <w:p w:rsidR="00CD6E32" w:rsidRPr="00CD6E32" w:rsidRDefault="00CD6E32" w:rsidP="00CD6E32">
      <w:r>
        <w:t xml:space="preserve">5. </w:t>
      </w:r>
      <w:r w:rsidRPr="00CD6E32">
        <w:t>Do you know how well your data is protected?</w:t>
      </w:r>
    </w:p>
    <w:p w:rsidR="003165DC" w:rsidRPr="00CD3AB1" w:rsidRDefault="00CD3AB1" w:rsidP="00AC08F5">
      <w:pPr>
        <w:spacing w:line="240" w:lineRule="atLeast"/>
        <w:rPr>
          <w:bCs/>
        </w:rPr>
      </w:pPr>
      <w:r w:rsidRPr="00CD3AB1">
        <w:rPr>
          <w:bCs/>
        </w:rPr>
        <w:t>Data governance software includes</w:t>
      </w:r>
    </w:p>
    <w:p w:rsidR="003165DC" w:rsidRDefault="003165DC" w:rsidP="00AC08F5">
      <w:pPr>
        <w:spacing w:line="240" w:lineRule="atLeast"/>
        <w:rPr>
          <w:b/>
        </w:rPr>
      </w:pPr>
    </w:p>
    <w:p w:rsidR="008E7094" w:rsidRDefault="008E7094" w:rsidP="00AC08F5">
      <w:pPr>
        <w:spacing w:line="240" w:lineRule="atLeast"/>
        <w:rPr>
          <w:b/>
        </w:rPr>
      </w:pPr>
      <w:bookmarkStart w:id="0" w:name="_GoBack"/>
      <w:bookmarkEnd w:id="0"/>
      <w:r>
        <w:rPr>
          <w:b/>
        </w:rPr>
        <w:t>References:</w:t>
      </w:r>
    </w:p>
    <w:p w:rsidR="008E7094" w:rsidRDefault="00D72AC1" w:rsidP="000F47D8">
      <w:r>
        <w:rPr>
          <w:rFonts w:eastAsiaTheme="minorHAnsi"/>
          <w:lang w:val="en-GB" w:eastAsia="en-US"/>
        </w:rPr>
        <w:t>Connolly, B. (2015)</w:t>
      </w:r>
      <w:r>
        <w:t xml:space="preserve">. CISO </w:t>
      </w:r>
      <w:r w:rsidRPr="00D72AC1">
        <w:t>Telstra’s ‘five knows of cyber security’</w:t>
      </w:r>
      <w:r w:rsidR="0088262F">
        <w:t xml:space="preserve"> at </w:t>
      </w:r>
      <w:r w:rsidR="00CD6E32" w:rsidRPr="00CD6E32">
        <w:t>www.cio.com.au/article/583438/telstra-five-knows-cyber-security</w:t>
      </w:r>
    </w:p>
    <w:p w:rsidR="006B6F3E" w:rsidRPr="000F47D8" w:rsidRDefault="006B6F3E" w:rsidP="000F47D8">
      <w:pPr>
        <w:rPr>
          <w:lang w:val="en-US"/>
        </w:rPr>
      </w:pPr>
      <w:r>
        <w:lastRenderedPageBreak/>
        <w:t>OAIC 2019,</w:t>
      </w:r>
      <w:r w:rsidRPr="006B6F3E">
        <w:t xml:space="preserve"> </w:t>
      </w:r>
      <w:r>
        <w:t xml:space="preserve">the </w:t>
      </w:r>
      <w:r w:rsidRPr="000F5B93">
        <w:t>Guide to data analytics and the Australian Privacy Principles</w:t>
      </w:r>
      <w:r>
        <w:t xml:space="preserve"> </w:t>
      </w:r>
      <w:r w:rsidRPr="000F5B93">
        <w:rPr>
          <w:color w:val="0000FF"/>
          <w:u w:val="single"/>
        </w:rPr>
        <w:t>https://www.oaic.gov.au/privacy/guidance-and-advice/guide-to-data-analytics-and-the-australian-privacy-principles/</w:t>
      </w:r>
      <w:r>
        <w:rPr>
          <w:color w:val="0000FF"/>
          <w:u w:val="single"/>
        </w:rPr>
        <w:t>)</w:t>
      </w:r>
    </w:p>
    <w:sectPr w:rsidR="006B6F3E" w:rsidRPr="000F47D8" w:rsidSect="009524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3311"/>
    <w:multiLevelType w:val="hybridMultilevel"/>
    <w:tmpl w:val="BF9C3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D5181"/>
    <w:multiLevelType w:val="hybridMultilevel"/>
    <w:tmpl w:val="261EBB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6161EF6"/>
    <w:multiLevelType w:val="hybridMultilevel"/>
    <w:tmpl w:val="010A5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7C46CA"/>
    <w:multiLevelType w:val="hybridMultilevel"/>
    <w:tmpl w:val="E6B69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704343"/>
    <w:multiLevelType w:val="hybridMultilevel"/>
    <w:tmpl w:val="56AEB7EC"/>
    <w:lvl w:ilvl="0" w:tplc="84541CD2">
      <w:start w:val="1"/>
      <w:numFmt w:val="decimal"/>
      <w:lvlText w:val="%1)"/>
      <w:lvlJc w:val="left"/>
      <w:pPr>
        <w:ind w:left="709" w:hanging="357"/>
      </w:pPr>
    </w:lvl>
    <w:lvl w:ilvl="1" w:tplc="17649A62">
      <w:start w:val="1"/>
      <w:numFmt w:val="lowerLetter"/>
      <w:lvlText w:val="%2."/>
      <w:lvlJc w:val="left"/>
      <w:pPr>
        <w:ind w:left="1429" w:hanging="357"/>
      </w:pPr>
    </w:lvl>
    <w:lvl w:ilvl="2" w:tplc="246A7E12">
      <w:start w:val="1"/>
      <w:numFmt w:val="lowerRoman"/>
      <w:lvlText w:val="%3."/>
      <w:lvlJc w:val="right"/>
      <w:pPr>
        <w:ind w:left="2149" w:hanging="177"/>
      </w:pPr>
    </w:lvl>
    <w:lvl w:ilvl="3" w:tplc="0D2EDFEC">
      <w:start w:val="1"/>
      <w:numFmt w:val="decimal"/>
      <w:lvlText w:val="%4."/>
      <w:lvlJc w:val="left"/>
      <w:pPr>
        <w:ind w:left="2869" w:hanging="357"/>
      </w:pPr>
    </w:lvl>
    <w:lvl w:ilvl="4" w:tplc="228A689C">
      <w:start w:val="1"/>
      <w:numFmt w:val="lowerLetter"/>
      <w:lvlText w:val="%5."/>
      <w:lvlJc w:val="left"/>
      <w:pPr>
        <w:ind w:left="3589" w:hanging="357"/>
      </w:pPr>
    </w:lvl>
    <w:lvl w:ilvl="5" w:tplc="A4B422B4">
      <w:start w:val="1"/>
      <w:numFmt w:val="lowerRoman"/>
      <w:lvlText w:val="%6."/>
      <w:lvlJc w:val="right"/>
      <w:pPr>
        <w:ind w:left="4309" w:hanging="177"/>
      </w:pPr>
    </w:lvl>
    <w:lvl w:ilvl="6" w:tplc="C01A4934">
      <w:start w:val="1"/>
      <w:numFmt w:val="decimal"/>
      <w:lvlText w:val="%7."/>
      <w:lvlJc w:val="left"/>
      <w:pPr>
        <w:ind w:left="5029" w:hanging="357"/>
      </w:pPr>
    </w:lvl>
    <w:lvl w:ilvl="7" w:tplc="C46ACA4A">
      <w:start w:val="1"/>
      <w:numFmt w:val="lowerLetter"/>
      <w:lvlText w:val="%8."/>
      <w:lvlJc w:val="left"/>
      <w:pPr>
        <w:ind w:left="5749" w:hanging="357"/>
      </w:pPr>
    </w:lvl>
    <w:lvl w:ilvl="8" w:tplc="0BA8972C">
      <w:start w:val="1"/>
      <w:numFmt w:val="lowerRoman"/>
      <w:lvlText w:val="%9."/>
      <w:lvlJc w:val="right"/>
      <w:pPr>
        <w:ind w:left="6469" w:hanging="177"/>
      </w:pPr>
    </w:lvl>
  </w:abstractNum>
  <w:abstractNum w:abstractNumId="5" w15:restartNumberingAfterBreak="0">
    <w:nsid w:val="5D066959"/>
    <w:multiLevelType w:val="multilevel"/>
    <w:tmpl w:val="9ED2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D2246"/>
    <w:multiLevelType w:val="multilevel"/>
    <w:tmpl w:val="3784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713745"/>
    <w:multiLevelType w:val="hybridMultilevel"/>
    <w:tmpl w:val="1E5E7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085678"/>
    <w:multiLevelType w:val="multilevel"/>
    <w:tmpl w:val="F2B47E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7"/>
  </w:num>
  <w:num w:numId="3">
    <w:abstractNumId w:val="2"/>
  </w:num>
  <w:num w:numId="4">
    <w:abstractNumId w:val="3"/>
  </w:num>
  <w:num w:numId="5">
    <w:abstractNumId w:val="0"/>
  </w:num>
  <w:num w:numId="6">
    <w:abstractNumId w:val="1"/>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27"/>
    <w:rsid w:val="000221DE"/>
    <w:rsid w:val="00076BA3"/>
    <w:rsid w:val="000C11D8"/>
    <w:rsid w:val="000D2B49"/>
    <w:rsid w:val="000F47D8"/>
    <w:rsid w:val="000F5B93"/>
    <w:rsid w:val="00164D4E"/>
    <w:rsid w:val="00166D76"/>
    <w:rsid w:val="001815D1"/>
    <w:rsid w:val="00202545"/>
    <w:rsid w:val="00254D44"/>
    <w:rsid w:val="002921E9"/>
    <w:rsid w:val="002A2B57"/>
    <w:rsid w:val="00311719"/>
    <w:rsid w:val="003165DC"/>
    <w:rsid w:val="00330B57"/>
    <w:rsid w:val="00330FA1"/>
    <w:rsid w:val="003574FD"/>
    <w:rsid w:val="00362ADD"/>
    <w:rsid w:val="003A6B54"/>
    <w:rsid w:val="00441D05"/>
    <w:rsid w:val="00445D60"/>
    <w:rsid w:val="004828C8"/>
    <w:rsid w:val="004A5C49"/>
    <w:rsid w:val="004C65F3"/>
    <w:rsid w:val="004D236D"/>
    <w:rsid w:val="004E03DE"/>
    <w:rsid w:val="005267A6"/>
    <w:rsid w:val="00542DA6"/>
    <w:rsid w:val="005439A1"/>
    <w:rsid w:val="00566094"/>
    <w:rsid w:val="0058126F"/>
    <w:rsid w:val="00591D4C"/>
    <w:rsid w:val="005A08BA"/>
    <w:rsid w:val="005C7D0A"/>
    <w:rsid w:val="005D50CA"/>
    <w:rsid w:val="005F0753"/>
    <w:rsid w:val="006243AE"/>
    <w:rsid w:val="006643D9"/>
    <w:rsid w:val="00677BE0"/>
    <w:rsid w:val="00685592"/>
    <w:rsid w:val="006973D2"/>
    <w:rsid w:val="006B4F02"/>
    <w:rsid w:val="006B6F3E"/>
    <w:rsid w:val="006B7527"/>
    <w:rsid w:val="006C61D3"/>
    <w:rsid w:val="00750345"/>
    <w:rsid w:val="007577B7"/>
    <w:rsid w:val="007B77C4"/>
    <w:rsid w:val="007D45E3"/>
    <w:rsid w:val="007D4758"/>
    <w:rsid w:val="007F2A0E"/>
    <w:rsid w:val="008217CC"/>
    <w:rsid w:val="008275BE"/>
    <w:rsid w:val="00841A8C"/>
    <w:rsid w:val="00845A13"/>
    <w:rsid w:val="00856456"/>
    <w:rsid w:val="0088262F"/>
    <w:rsid w:val="008B2C75"/>
    <w:rsid w:val="008C4746"/>
    <w:rsid w:val="008D4B8E"/>
    <w:rsid w:val="008E7094"/>
    <w:rsid w:val="0091641C"/>
    <w:rsid w:val="00946D27"/>
    <w:rsid w:val="00952458"/>
    <w:rsid w:val="009616EB"/>
    <w:rsid w:val="00990EB3"/>
    <w:rsid w:val="009A294E"/>
    <w:rsid w:val="009A2C68"/>
    <w:rsid w:val="009A50F8"/>
    <w:rsid w:val="009A6E29"/>
    <w:rsid w:val="009C463B"/>
    <w:rsid w:val="009C55BE"/>
    <w:rsid w:val="009E230F"/>
    <w:rsid w:val="009F76A7"/>
    <w:rsid w:val="00A12F49"/>
    <w:rsid w:val="00A47275"/>
    <w:rsid w:val="00A66756"/>
    <w:rsid w:val="00A92655"/>
    <w:rsid w:val="00AB475C"/>
    <w:rsid w:val="00AC08F5"/>
    <w:rsid w:val="00AE0AED"/>
    <w:rsid w:val="00AE3280"/>
    <w:rsid w:val="00AF244E"/>
    <w:rsid w:val="00B11999"/>
    <w:rsid w:val="00B17109"/>
    <w:rsid w:val="00B622D6"/>
    <w:rsid w:val="00B921E9"/>
    <w:rsid w:val="00B979DB"/>
    <w:rsid w:val="00BD1A65"/>
    <w:rsid w:val="00C12BAA"/>
    <w:rsid w:val="00C243D3"/>
    <w:rsid w:val="00C2476C"/>
    <w:rsid w:val="00C258F3"/>
    <w:rsid w:val="00C533FA"/>
    <w:rsid w:val="00C966D8"/>
    <w:rsid w:val="00CB00C1"/>
    <w:rsid w:val="00CC3116"/>
    <w:rsid w:val="00CD3AB1"/>
    <w:rsid w:val="00CD6E32"/>
    <w:rsid w:val="00CF0C18"/>
    <w:rsid w:val="00D07E06"/>
    <w:rsid w:val="00D44875"/>
    <w:rsid w:val="00D72AC1"/>
    <w:rsid w:val="00D81BE5"/>
    <w:rsid w:val="00D855E2"/>
    <w:rsid w:val="00DC0BA1"/>
    <w:rsid w:val="00E23C1C"/>
    <w:rsid w:val="00E53AB1"/>
    <w:rsid w:val="00E731C1"/>
    <w:rsid w:val="00E767C2"/>
    <w:rsid w:val="00E807F6"/>
    <w:rsid w:val="00E93F1C"/>
    <w:rsid w:val="00EA05D2"/>
    <w:rsid w:val="00ED4DF9"/>
    <w:rsid w:val="00EF148F"/>
    <w:rsid w:val="00F12CB4"/>
    <w:rsid w:val="00F210D8"/>
    <w:rsid w:val="00F25DC3"/>
    <w:rsid w:val="00F91239"/>
    <w:rsid w:val="00FC6E5B"/>
    <w:rsid w:val="00FE0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A03F27"/>
  <w14:defaultImageDpi w14:val="32767"/>
  <w15:chartTrackingRefBased/>
  <w15:docId w15:val="{8EBA6CE2-174E-2F4D-AB23-903FC5F4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CD6E32"/>
    <w:pPr>
      <w:spacing w:after="120"/>
    </w:pPr>
    <w:rPr>
      <w:rFonts w:ascii="Calibri" w:eastAsia="Times New Roman" w:hAnsi="Calibri" w:cs="Times New Roman"/>
      <w:lang w:val="en-AU" w:eastAsia="en-GB"/>
    </w:rPr>
  </w:style>
  <w:style w:type="paragraph" w:styleId="Heading1">
    <w:name w:val="heading 1"/>
    <w:basedOn w:val="Normal"/>
    <w:next w:val="Normal"/>
    <w:link w:val="Heading1Char"/>
    <w:uiPriority w:val="9"/>
    <w:qFormat/>
    <w:rsid w:val="00F12CB4"/>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12CB4"/>
    <w:pPr>
      <w:keepNext/>
      <w:keepLines/>
      <w:spacing w:before="40" w:after="20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B4"/>
    <w:pPr>
      <w:pBdr>
        <w:top w:val="none" w:sz="4" w:space="0" w:color="000000"/>
        <w:left w:val="none" w:sz="4" w:space="0" w:color="000000"/>
        <w:bottom w:val="none" w:sz="4" w:space="0" w:color="000000"/>
        <w:right w:val="none" w:sz="4" w:space="0" w:color="000000"/>
        <w:between w:val="none" w:sz="4" w:space="0" w:color="000000"/>
      </w:pBdr>
      <w:spacing w:after="200" w:line="276" w:lineRule="auto"/>
      <w:ind w:left="720"/>
      <w:contextualSpacing/>
    </w:pPr>
    <w:rPr>
      <w:rFonts w:eastAsia="Arial" w:cs="Arial"/>
      <w:szCs w:val="22"/>
      <w:lang w:val="en-US"/>
    </w:rPr>
  </w:style>
  <w:style w:type="character" w:customStyle="1" w:styleId="Heading2Char">
    <w:name w:val="Heading 2 Char"/>
    <w:basedOn w:val="DefaultParagraphFont"/>
    <w:link w:val="Heading2"/>
    <w:uiPriority w:val="9"/>
    <w:rsid w:val="00F12CB4"/>
    <w:rPr>
      <w:rFonts w:ascii="Calibri" w:eastAsiaTheme="majorEastAsia" w:hAnsi="Calibri" w:cstheme="majorBidi"/>
      <w:b/>
      <w:color w:val="000000" w:themeColor="text1"/>
      <w:sz w:val="26"/>
      <w:szCs w:val="26"/>
    </w:rPr>
  </w:style>
  <w:style w:type="character" w:customStyle="1" w:styleId="Heading1Char">
    <w:name w:val="Heading 1 Char"/>
    <w:basedOn w:val="DefaultParagraphFont"/>
    <w:link w:val="Heading1"/>
    <w:uiPriority w:val="9"/>
    <w:rsid w:val="00F12CB4"/>
    <w:rPr>
      <w:rFonts w:asciiTheme="majorHAnsi" w:eastAsiaTheme="majorEastAsia" w:hAnsiTheme="majorHAnsi" w:cstheme="majorBidi"/>
      <w:color w:val="000000" w:themeColor="text1"/>
      <w:sz w:val="32"/>
      <w:szCs w:val="32"/>
    </w:rPr>
  </w:style>
  <w:style w:type="character" w:styleId="Strong">
    <w:name w:val="Strong"/>
    <w:basedOn w:val="DefaultParagraphFont"/>
    <w:uiPriority w:val="22"/>
    <w:qFormat/>
    <w:rsid w:val="00CD6E32"/>
    <w:rPr>
      <w:b/>
      <w:bCs/>
    </w:rPr>
  </w:style>
  <w:style w:type="paragraph" w:customStyle="1" w:styleId="art-sms">
    <w:name w:val="art-sms"/>
    <w:basedOn w:val="Normal"/>
    <w:rsid w:val="00CD6E32"/>
    <w:pPr>
      <w:spacing w:before="100" w:beforeAutospacing="1" w:after="100" w:afterAutospacing="1"/>
    </w:pPr>
    <w:rPr>
      <w:rFonts w:ascii="Times New Roman" w:hAnsi="Times New Roman"/>
    </w:rPr>
  </w:style>
  <w:style w:type="character" w:styleId="Hyperlink">
    <w:name w:val="Hyperlink"/>
    <w:basedOn w:val="DefaultParagraphFont"/>
    <w:uiPriority w:val="99"/>
    <w:semiHidden/>
    <w:unhideWhenUsed/>
    <w:rsid w:val="000F5B93"/>
    <w:rPr>
      <w:color w:val="0000FF"/>
      <w:u w:val="single"/>
    </w:rPr>
  </w:style>
  <w:style w:type="paragraph" w:styleId="NormalWeb">
    <w:name w:val="Normal (Web)"/>
    <w:basedOn w:val="Normal"/>
    <w:uiPriority w:val="99"/>
    <w:semiHidden/>
    <w:unhideWhenUsed/>
    <w:rsid w:val="000F5B93"/>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911">
      <w:bodyDiv w:val="1"/>
      <w:marLeft w:val="0"/>
      <w:marRight w:val="0"/>
      <w:marTop w:val="0"/>
      <w:marBottom w:val="0"/>
      <w:divBdr>
        <w:top w:val="none" w:sz="0" w:space="0" w:color="auto"/>
        <w:left w:val="none" w:sz="0" w:space="0" w:color="auto"/>
        <w:bottom w:val="none" w:sz="0" w:space="0" w:color="auto"/>
        <w:right w:val="none" w:sz="0" w:space="0" w:color="auto"/>
      </w:divBdr>
    </w:div>
    <w:div w:id="310333543">
      <w:bodyDiv w:val="1"/>
      <w:marLeft w:val="0"/>
      <w:marRight w:val="0"/>
      <w:marTop w:val="0"/>
      <w:marBottom w:val="0"/>
      <w:divBdr>
        <w:top w:val="none" w:sz="0" w:space="0" w:color="auto"/>
        <w:left w:val="none" w:sz="0" w:space="0" w:color="auto"/>
        <w:bottom w:val="none" w:sz="0" w:space="0" w:color="auto"/>
        <w:right w:val="none" w:sz="0" w:space="0" w:color="auto"/>
      </w:divBdr>
    </w:div>
    <w:div w:id="1037508573">
      <w:bodyDiv w:val="1"/>
      <w:marLeft w:val="0"/>
      <w:marRight w:val="0"/>
      <w:marTop w:val="0"/>
      <w:marBottom w:val="0"/>
      <w:divBdr>
        <w:top w:val="none" w:sz="0" w:space="0" w:color="auto"/>
        <w:left w:val="none" w:sz="0" w:space="0" w:color="auto"/>
        <w:bottom w:val="none" w:sz="0" w:space="0" w:color="auto"/>
        <w:right w:val="none" w:sz="0" w:space="0" w:color="auto"/>
      </w:divBdr>
    </w:div>
    <w:div w:id="1496384058">
      <w:bodyDiv w:val="1"/>
      <w:marLeft w:val="0"/>
      <w:marRight w:val="0"/>
      <w:marTop w:val="0"/>
      <w:marBottom w:val="0"/>
      <w:divBdr>
        <w:top w:val="none" w:sz="0" w:space="0" w:color="auto"/>
        <w:left w:val="none" w:sz="0" w:space="0" w:color="auto"/>
        <w:bottom w:val="none" w:sz="0" w:space="0" w:color="auto"/>
        <w:right w:val="none" w:sz="0" w:space="0" w:color="auto"/>
      </w:divBdr>
    </w:div>
    <w:div w:id="1553931337">
      <w:bodyDiv w:val="1"/>
      <w:marLeft w:val="0"/>
      <w:marRight w:val="0"/>
      <w:marTop w:val="0"/>
      <w:marBottom w:val="0"/>
      <w:divBdr>
        <w:top w:val="none" w:sz="0" w:space="0" w:color="auto"/>
        <w:left w:val="none" w:sz="0" w:space="0" w:color="auto"/>
        <w:bottom w:val="none" w:sz="0" w:space="0" w:color="auto"/>
        <w:right w:val="none" w:sz="0" w:space="0" w:color="auto"/>
      </w:divBdr>
    </w:div>
    <w:div w:id="209258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aic.gov.au/privacy/guidance-and-advice/guide-to-data-analytics-and-the-australian-privacy-princi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Walker</dc:creator>
  <cp:keywords/>
  <dc:description/>
  <cp:lastModifiedBy>Roslyn Walker</cp:lastModifiedBy>
  <cp:revision>49</cp:revision>
  <dcterms:created xsi:type="dcterms:W3CDTF">2019-09-05T06:31:00Z</dcterms:created>
  <dcterms:modified xsi:type="dcterms:W3CDTF">2019-09-06T02:42:00Z</dcterms:modified>
</cp:coreProperties>
</file>