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p w14:paraId="2D85D19F" w14:textId="77777777" w:rsidR="0057366C" w:rsidRPr="005049F0" w:rsidRDefault="0057366C" w:rsidP="005049F0">
      <w:pPr>
        <w:rPr>
          <w:rFonts w:asciiTheme="minorBidi" w:eastAsia="Arial Unicode MS" w:hAnsiTheme="minorBidi" w:cstheme="minorBidi"/>
          <w:sz w:val="6"/>
          <w:szCs w:val="6"/>
          <w:lang w:bidi="ar-SA"/>
        </w:rPr>
      </w:pPr>
    </w:p>
    <w:tbl>
      <w:tblPr>
        <w:tblStyle w:val="TableGrid1"/>
        <w:tblW w:w="9747" w:type="dxa"/>
        <w:tblInd w:w="22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66C" w:rsidRPr="005049F0" w14:paraId="2F1CF1E8" w14:textId="77777777" w:rsidTr="00CC5CDB">
        <w:tc>
          <w:tcPr>
            <w:tcW w:w="9747" w:type="dxa"/>
          </w:tcPr>
          <w:p w14:paraId="01C77CB5" w14:textId="77777777" w:rsidR="0057366C" w:rsidRPr="005049F0" w:rsidRDefault="0057366C" w:rsidP="005049F0">
            <w:pPr>
              <w:widowControl/>
              <w:spacing w:after="80"/>
              <w:rPr>
                <w:rFonts w:asciiTheme="minorBidi" w:eastAsia="Tahoma" w:hAnsiTheme="minorBidi" w:cstheme="minorBidi"/>
                <w:sz w:val="2"/>
                <w:szCs w:val="2"/>
                <w:u w:val="single"/>
                <w14:ligatures w14:val="standardContextual"/>
              </w:rPr>
            </w:pPr>
          </w:p>
          <w:tbl>
            <w:tblPr>
              <w:tblStyle w:val="TableGrid1"/>
              <w:tblW w:w="0" w:type="auto"/>
              <w:tblBorders>
                <w:top w:val="single" w:sz="8" w:space="0" w:color="C1D6EF"/>
                <w:left w:val="single" w:sz="8" w:space="0" w:color="C1D6EF"/>
                <w:bottom w:val="single" w:sz="4" w:space="0" w:color="ADBECE"/>
                <w:right w:val="single" w:sz="4" w:space="0" w:color="ADBECE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1"/>
            </w:tblGrid>
            <w:tr w:rsidR="0057366C" w:rsidRPr="005049F0" w14:paraId="13D7976B" w14:textId="77777777" w:rsidTr="00CC5CDB">
              <w:tc>
                <w:tcPr>
                  <w:tcW w:w="1041" w:type="dxa"/>
                  <w:tcBorders>
                    <w:top w:val="single" w:sz="8" w:space="0" w:color="C1D6EF"/>
                    <w:bottom w:val="single" w:sz="8" w:space="0" w:color="C1D6EF"/>
                    <w:right w:val="single" w:sz="8" w:space="0" w:color="7E8EA5"/>
                  </w:tcBorders>
                  <w:vAlign w:val="center"/>
                </w:tcPr>
                <w:p w14:paraId="5D07EB37" w14:textId="77777777" w:rsidR="0057366C" w:rsidRPr="005049F0" w:rsidRDefault="0057366C" w:rsidP="005049F0">
                  <w:pPr>
                    <w:widowControl/>
                    <w:spacing w:before="20"/>
                    <w:jc w:val="center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Voltar</w:t>
                  </w:r>
                </w:p>
              </w:tc>
            </w:tr>
          </w:tbl>
          <w:p w14:paraId="50D8A6B5" w14:textId="77777777" w:rsidR="0057366C" w:rsidRPr="005049F0" w:rsidRDefault="0057366C" w:rsidP="005049F0">
            <w:pPr>
              <w:widowControl/>
              <w:spacing w:after="20"/>
              <w:jc w:val="center"/>
              <w:rPr>
                <w:rFonts w:asciiTheme="minorBidi" w:eastAsia="Tahoma" w:hAnsiTheme="minorBidi" w:cstheme="minorBidi"/>
                <w:sz w:val="2"/>
                <w:szCs w:val="2"/>
                <w14:ligatures w14:val="standardContextual"/>
              </w:rPr>
            </w:pPr>
          </w:p>
          <w:p w14:paraId="2280487F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2E69E257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4"/>
                <w:szCs w:val="4"/>
              </w:rPr>
            </w:pPr>
          </w:p>
        </w:tc>
      </w:tr>
    </w:tbl>
    <w:p w14:paraId="04792402" w14:textId="77777777" w:rsidR="0057366C" w:rsidRPr="005049F0" w:rsidRDefault="0057366C" w:rsidP="00D712E8">
      <w:pPr>
        <w:widowControl/>
        <w:autoSpaceDE w:val="0"/>
        <w:autoSpaceDN w:val="0"/>
        <w:adjustRightInd w:val="0"/>
        <w:spacing w:before="104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>Suporte a sistemas: 136 - opção 8</w:t>
      </w:r>
    </w:p>
    <w:p w14:paraId="36670238" w14:textId="77777777" w:rsidR="0057366C" w:rsidRPr="005049F0" w:rsidRDefault="0057366C" w:rsidP="005049F0">
      <w:pPr>
        <w:widowControl/>
        <w:autoSpaceDE w:val="0"/>
        <w:autoSpaceDN w:val="0"/>
        <w:adjustRightInd w:val="0"/>
        <w:spacing w:before="2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 xml:space="preserve">e-mail: </w:t>
      </w:r>
      <w:hyperlink r:id="rId18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bidi="ar-SA"/>
          </w:rPr>
          <w:t>suporte.sistemas@datasus.gov.br</w:t>
        </w:r>
      </w:hyperlink>
    </w:p>
    <w:p w14:paraId="46F9EA17" w14:textId="77777777" w:rsidR="00825F76" w:rsidRDefault="0057366C" w:rsidP="005049F0">
      <w:pPr>
        <w:ind w:left="-441"/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val="it-IT" w:bidi="ar-SA"/>
        </w:rPr>
        <w:t xml:space="preserve">Fale conosco: </w:t>
      </w:r>
      <w:hyperlink r:id="rId19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val="it-IT" w:bidi="ar-SA"/>
          </w:rPr>
          <w:t>http://datasus.saude.gov.br/fale-conosco</w:t>
        </w:r>
      </w:hyperlink>
    </w:p>
    <w:p w14:paraId="2DA74CC6" w14:textId="77777777" w:rsidR="007505E5" w:rsidRDefault="007505E5" w:rsidP="005049F0">
      <w:pPr>
        <w:ind w:left="-441"/>
      </w:pPr>
    </w:p>
    <w:p w14:paraId="079B246D" w14:textId="77777777" w:rsidR="007505E5" w:rsidRDefault="007505E5" w:rsidP="005049F0">
      <w:pPr>
        <w:ind w:left="-441"/>
        <w:sectPr w:rsidR="007505E5" w:rsidSect="005049F0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9" w:h="16840"/>
          <w:pgMar w:top="567" w:right="641" w:bottom="504" w:left="1071" w:header="317" w:footer="3" w:gutter="0"/>
          <w:pgNumType w:start="1"/>
          <w:cols w:space="720"/>
          <w:noEndnote/>
          <w:docGrid w:linePitch="360"/>
        </w:sectPr>
      </w:pPr>
    </w:p>
    <w:p w14:paraId="7711D9B9" w14:textId="77777777" w:rsidR="00F2683E" w:rsidRPr="00F2683E" w:rsidRDefault="00F2683E" w:rsidP="00F2683E">
      <w:pPr>
        <w:widowControl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color w:val="auto"/>
          <w:sz w:val="22"/>
          <w:szCs w:val="22"/>
          <w:lang w:eastAsia="en-US" w:bidi="ar-SA"/>
        </w:rPr>
        <w:lastRenderedPageBreak/>
        <w:t>Blumenau, 09 de julho de 2026.</w:t>
      </w:r>
    </w:p>
    <w:p w14:paraId="02DA8FE9" w14:textId="77777777" w:rsidR="00F2683E" w:rsidRPr="00F2683E" w:rsidRDefault="00F2683E" w:rsidP="00A75853">
      <w:pPr>
        <w:widowControl/>
        <w:spacing w:before="500"/>
        <w:ind w:right="1350"/>
        <w:jc w:val="center"/>
        <w:rPr>
          <w:rFonts w:ascii="Times New Roman" w:eastAsia="Times New Roman" w:hAnsi="Times New Roman" w:cs="Times New Roman"/>
          <w:color w:val="auto"/>
          <w:sz w:val="21"/>
          <w:szCs w:val="21"/>
          <w:lang w:eastAsia="en-US" w:bidi="ar-SA"/>
        </w:rPr>
      </w:pPr>
      <w:r w:rsidRPr="00F2683E">
        <w:rPr>
          <w:rFonts w:ascii="Calibri" w:eastAsia="Calibri" w:hAnsi="Calibri" w:cs="Calibri"/>
          <w:b/>
          <w:bCs/>
          <w:color w:val="auto"/>
          <w:sz w:val="21"/>
          <w:szCs w:val="21"/>
          <w:u w:val="single"/>
          <w:lang w:eastAsia="en-US" w:bidi="ar-SA"/>
        </w:rPr>
        <w:t>Ao Comitê de Ética e Pesquisa da FURB – Universidade Regional de Blumenau</w:t>
      </w:r>
    </w:p>
    <w:p w14:paraId="15CFA14F" w14:textId="77777777" w:rsidR="00F2683E" w:rsidRPr="00F2683E" w:rsidRDefault="00F2683E" w:rsidP="00A75853">
      <w:pPr>
        <w:widowControl/>
        <w:spacing w:before="260"/>
        <w:ind w:right="1242"/>
        <w:jc w:val="center"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i/>
          <w:iCs/>
          <w:color w:val="auto"/>
          <w:sz w:val="22"/>
          <w:szCs w:val="22"/>
          <w:lang w:eastAsia="en-US" w:bidi="ar-SA"/>
        </w:rPr>
        <w:t>“Estudo duplo-cego randomizado para comparar a eficácia, a farmacocinética, a segurança e a imunogenicidade entre ABP 234 e Keytruda® (pembrolizumabe) em participantes com câncer de pulmão de células não pequenas e não escamosas avançado ou metastático.”</w:t>
      </w:r>
    </w:p>
    <w:sectPr w:rsidR="00F76FF5" w:rsidSect="002B028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9" w:h="16840"/>
      <w:pgMar w:top="1566" w:right="38" w:bottom="639" w:left="1413" w:header="317" w:footer="28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perfect_split_1_2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