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0088B0"/>
          <w:spacing w:val="30"/>
          <w:sz w:val="17"/>
          <w:szCs w:val="17"/>
        </w:rPr>
        <w:t xml:space="preserve">CAPGEMINI TECH4POSITIVE FUTURES 2026  ·  FINALE</w:t>
      </w:r>
    </w:p>
    <w:p>
      <w:pPr>
        <w:spacing w:after="60"/>
      </w:pPr>
      <w:r>
        <w:rPr>
          <w:rFonts w:ascii="Cambria" w:cs="Cambria" w:eastAsia="Cambria" w:hAnsi="Cambria"/>
          <w:b/>
          <w:bCs/>
          <w:color w:val="201E1D"/>
          <w:sz w:val="82"/>
          <w:szCs w:val="82"/>
        </w:rPr>
        <w:t xml:space="preserve">SETU</w:t>
      </w:r>
    </w:p>
    <w:p>
      <w:pPr>
        <w:spacing w:after="260"/>
      </w:pPr>
      <w:r>
        <w:rPr>
          <w:rFonts w:ascii="Cambria" w:cs="Cambria" w:eastAsia="Cambria" w:hAnsi="Cambria"/>
          <w:color w:val="5E5956"/>
          <w:sz w:val="24"/>
          <w:szCs w:val="24"/>
        </w:rPr>
        <w:t xml:space="preserve">Finale Playbook — the seven-minute plan, the live-demo runbook, the persuasion architecture, and the jury defence pack.</w:t>
      </w:r>
    </w:p>
    <w:p>
      <w:pPr>
        <w:pBdr>
          <w:bottom w:val="single" w:color="C9C6C4" w:sz="8" w:space="6"/>
        </w:pBdr>
        <w:spacing w:after="220"/>
      </w:pPr>
    </w:p>
    <w:p>
      <w:pPr>
        <w:spacing w:after="130"/>
      </w:pPr>
      <w:r>
        <w:rPr>
          <w:rFonts w:ascii="Calibri" w:cs="Calibri" w:eastAsia="Calibri" w:hAnsi="Calibri"/>
          <w:color w:val="201E1D"/>
          <w:sz w:val="20"/>
          <w:szCs w:val="20"/>
        </w:rPr>
        <w:t xml:space="preserve">This document is the companion to SETU_Finale_Capgemini_T4PF_2026.pptx. Six slides. Seven minutes, hard stop. Eight minutes of jury Q&amp;A after.</w:t>
      </w:r>
    </w:p>
    <w:p>
      <w:pPr>
        <w:spacing w:after="130"/>
      </w:pPr>
      <w:r>
        <w:rPr>
          <w:rFonts w:ascii="Calibri" w:cs="Calibri" w:eastAsia="Calibri" w:hAnsi="Calibri"/>
          <w:color w:val="201E1D"/>
          <w:sz w:val="20"/>
          <w:szCs w:val="20"/>
        </w:rPr>
        <w:t xml:space="preserve">Rehearse against a stopwatch at least four times. The single most common way finalists lose is running long and being cut off before the ask.</w:t>
      </w:r>
    </w:p>
    <w:p>
      <w:pPr>
        <w:pStyle w:val="Heading1"/>
        <w:spacing w:after="160" w:before="420"/>
      </w:pPr>
      <w:r>
        <w:rPr>
          <w:rFonts w:ascii="Cambria" w:cs="Cambria" w:eastAsia="Cambria" w:hAnsi="Cambria"/>
          <w:b/>
          <w:bCs/>
          <w:color w:val="201E1D"/>
          <w:sz w:val="34"/>
          <w:szCs w:val="34"/>
        </w:rPr>
        <w:t xml:space="preserve">1  ·  The seven-minute plan</w:t>
      </w:r>
    </w:p>
    <w:p>
      <w:pPr>
        <w:spacing w:after="130"/>
      </w:pPr>
      <w:r>
        <w:rPr>
          <w:rFonts w:ascii="Calibri" w:cs="Calibri" w:eastAsia="Calibri" w:hAnsi="Calibri"/>
          <w:color w:val="201E1D"/>
          <w:sz w:val="20"/>
          <w:szCs w:val="20"/>
        </w:rPr>
        <w:t xml:space="preserve">The T4PF finale guidelines allow 7 minutes including the demo, with a one-minute warning at 6:00. This plan finishes at 6:55 and puts the warning inside the business slide, where it is easy to absorb without breaking stride.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500"/>
        <w:gridCol w:w="1400"/>
        <w:gridCol w:w="3900"/>
      </w:tblGrid>
      <w:tr>
        <w:tc>
          <w:tcPr>
            <w:tcW w:type="dxa" w:w="15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Slide</w:t>
            </w:r>
          </w:p>
        </w:tc>
        <w:tc>
          <w:tcPr>
            <w:tcW w:type="dxa" w:w="9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Runs</w:t>
            </w:r>
          </w:p>
        </w:tc>
        <w:tc>
          <w:tcPr>
            <w:tcW w:type="dxa" w:w="15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Clock</w:t>
            </w:r>
          </w:p>
        </w:tc>
        <w:tc>
          <w:tcPr>
            <w:tcW w:type="dxa" w:w="14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Speaker</w:t>
            </w:r>
          </w:p>
        </w:tc>
        <w:tc>
          <w:tcPr>
            <w:tcW w:type="dxa" w:w="39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Job it does</w:t>
            </w:r>
          </w:p>
        </w:tc>
      </w:tr>
      <w:tr>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1  Title</w:t>
            </w:r>
          </w:p>
        </w:tc>
        <w:tc>
          <w:tcPr>
            <w:tcW w:type="dxa" w:w="900"/>
            <w:tcMar>
              <w:top w:type="dxa" w:w="90"/>
              <w:left w:type="dxa" w:w="120"/>
              <w:bottom w:type="dxa" w:w="90"/>
              <w:right w:type="dxa" w:w="120"/>
            </w:tcMar>
          </w:tcPr>
          <w:p>
            <w:r>
              <w:rPr>
                <w:rFonts w:ascii="Calibri" w:cs="Calibri" w:eastAsia="Calibri" w:hAnsi="Calibri"/>
                <w:b w:val="false"/>
                <w:bCs w:val="false"/>
                <w:color w:val="201E1D"/>
                <w:sz w:val="18"/>
                <w:szCs w:val="18"/>
              </w:rPr>
              <w:t xml:space="preserve">0:20</w:t>
            </w:r>
          </w:p>
        </w:tc>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0:00–0:20</w:t>
            </w:r>
          </w:p>
        </w:tc>
        <w:tc>
          <w:tcPr>
            <w:tcW w:type="dxa" w:w="1400"/>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1</w:t>
            </w:r>
          </w:p>
        </w:tc>
        <w:tc>
          <w:tcPr>
            <w:tcW w:type="dxa" w:w="3900"/>
            <w:tcMar>
              <w:top w:type="dxa" w:w="90"/>
              <w:left w:type="dxa" w:w="120"/>
              <w:bottom w:type="dxa" w:w="90"/>
              <w:right w:type="dxa" w:w="120"/>
            </w:tcMar>
          </w:tcPr>
          <w:p>
            <w:r>
              <w:rPr>
                <w:rFonts w:ascii="Calibri" w:cs="Calibri" w:eastAsia="Calibri" w:hAnsi="Calibri"/>
                <w:b w:val="false"/>
                <w:bCs w:val="false"/>
                <w:color w:val="201E1D"/>
                <w:sz w:val="18"/>
                <w:szCs w:val="18"/>
              </w:rPr>
              <w:t xml:space="preserve">Name the product. Land one human image.</w:t>
            </w:r>
          </w:p>
        </w:tc>
      </w:tr>
      <w:tr>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2  Problem</w:t>
            </w:r>
          </w:p>
        </w:tc>
        <w:tc>
          <w:tcPr>
            <w:tcW w:type="dxa" w:w="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1:00</w:t>
            </w:r>
          </w:p>
        </w:tc>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0:20–1:20</w:t>
            </w:r>
          </w:p>
        </w:tc>
        <w:tc>
          <w:tcPr>
            <w:tcW w:type="dxa" w:w="1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1</w:t>
            </w:r>
          </w:p>
        </w:tc>
        <w:tc>
          <w:tcPr>
            <w:tcW w:type="dxa" w:w="3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The gap: 3.6 million vs 54,080. The web is getting worse.</w:t>
            </w:r>
          </w:p>
        </w:tc>
      </w:tr>
      <w:tr>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3  Solution</w:t>
            </w:r>
          </w:p>
        </w:tc>
        <w:tc>
          <w:tcPr>
            <w:tcW w:type="dxa" w:w="900"/>
            <w:tcMar>
              <w:top w:type="dxa" w:w="90"/>
              <w:left w:type="dxa" w:w="120"/>
              <w:bottom w:type="dxa" w:w="90"/>
              <w:right w:type="dxa" w:w="120"/>
            </w:tcMar>
          </w:tcPr>
          <w:p>
            <w:r>
              <w:rPr>
                <w:rFonts w:ascii="Calibri" w:cs="Calibri" w:eastAsia="Calibri" w:hAnsi="Calibri"/>
                <w:b w:val="false"/>
                <w:bCs w:val="false"/>
                <w:color w:val="201E1D"/>
                <w:sz w:val="18"/>
                <w:szCs w:val="18"/>
              </w:rPr>
              <w:t xml:space="preserve">1:00</w:t>
            </w:r>
          </w:p>
        </w:tc>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1:20–2:20</w:t>
            </w:r>
          </w:p>
        </w:tc>
        <w:tc>
          <w:tcPr>
            <w:tcW w:type="dxa" w:w="1400"/>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1</w:t>
            </w:r>
          </w:p>
        </w:tc>
        <w:tc>
          <w:tcPr>
            <w:tcW w:type="dxa" w:w="3900"/>
            <w:tcMar>
              <w:top w:type="dxa" w:w="90"/>
              <w:left w:type="dxa" w:w="120"/>
              <w:bottom w:type="dxa" w:w="90"/>
              <w:right w:type="dxa" w:w="120"/>
            </w:tcMar>
          </w:tcPr>
          <w:p>
            <w:r>
              <w:rPr>
                <w:rFonts w:ascii="Calibri" w:cs="Calibri" w:eastAsia="Calibri" w:hAnsi="Calibri"/>
                <w:b w:val="false"/>
                <w:bCs w:val="false"/>
                <w:color w:val="201E1D"/>
                <w:sz w:val="18"/>
                <w:szCs w:val="18"/>
              </w:rPr>
              <w:t xml:space="preserve">Architecture, three differentiators, the clinical rebuild.</w:t>
            </w:r>
          </w:p>
        </w:tc>
      </w:tr>
      <w:tr>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4  LIVE DEMO</w:t>
            </w:r>
          </w:p>
        </w:tc>
        <w:tc>
          <w:tcPr>
            <w:tcW w:type="dxa" w:w="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3:00</w:t>
            </w:r>
          </w:p>
        </w:tc>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2:20–5:20</w:t>
            </w:r>
          </w:p>
        </w:tc>
        <w:tc>
          <w:tcPr>
            <w:tcW w:type="dxa" w:w="1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2</w:t>
            </w:r>
          </w:p>
        </w:tc>
        <w:tc>
          <w:tcPr>
            <w:tcW w:type="dxa" w:w="3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Five beats. Hands on the keyboard.</w:t>
            </w:r>
          </w:p>
        </w:tc>
      </w:tr>
      <w:tr>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5  Business</w:t>
            </w:r>
          </w:p>
        </w:tc>
        <w:tc>
          <w:tcPr>
            <w:tcW w:type="dxa" w:w="900"/>
            <w:tcMar>
              <w:top w:type="dxa" w:w="90"/>
              <w:left w:type="dxa" w:w="120"/>
              <w:bottom w:type="dxa" w:w="90"/>
              <w:right w:type="dxa" w:w="120"/>
            </w:tcMar>
          </w:tcPr>
          <w:p>
            <w:r>
              <w:rPr>
                <w:rFonts w:ascii="Calibri" w:cs="Calibri" w:eastAsia="Calibri" w:hAnsi="Calibri"/>
                <w:b w:val="false"/>
                <w:bCs w:val="false"/>
                <w:color w:val="201E1D"/>
                <w:sz w:val="18"/>
                <w:szCs w:val="18"/>
              </w:rPr>
              <w:t xml:space="preserve">1:00</w:t>
            </w:r>
          </w:p>
        </w:tc>
        <w:tc>
          <w:tcPr>
            <w:tcW w:type="dxa" w:w="1500"/>
            <w:tcMar>
              <w:top w:type="dxa" w:w="90"/>
              <w:left w:type="dxa" w:w="120"/>
              <w:bottom w:type="dxa" w:w="90"/>
              <w:right w:type="dxa" w:w="120"/>
            </w:tcMar>
          </w:tcPr>
          <w:p>
            <w:r>
              <w:rPr>
                <w:rFonts w:ascii="Calibri" w:cs="Calibri" w:eastAsia="Calibri" w:hAnsi="Calibri"/>
                <w:b w:val="false"/>
                <w:bCs w:val="false"/>
                <w:color w:val="201E1D"/>
                <w:sz w:val="18"/>
                <w:szCs w:val="18"/>
              </w:rPr>
              <w:t xml:space="preserve">5:20–6:20</w:t>
            </w:r>
          </w:p>
        </w:tc>
        <w:tc>
          <w:tcPr>
            <w:tcW w:type="dxa" w:w="1400"/>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2</w:t>
            </w:r>
          </w:p>
        </w:tc>
        <w:tc>
          <w:tcPr>
            <w:tcW w:type="dxa" w:w="3900"/>
            <w:tcMar>
              <w:top w:type="dxa" w:w="90"/>
              <w:left w:type="dxa" w:w="120"/>
              <w:bottom w:type="dxa" w:w="90"/>
              <w:right w:type="dxa" w:w="120"/>
            </w:tcMar>
          </w:tcPr>
          <w:p>
            <w:r>
              <w:rPr>
                <w:rFonts w:ascii="Calibri" w:cs="Calibri" w:eastAsia="Calibri" w:hAnsi="Calibri"/>
                <w:b w:val="false"/>
                <w:bCs w:val="false"/>
                <w:color w:val="201E1D"/>
                <w:sz w:val="18"/>
                <w:szCs w:val="18"/>
              </w:rPr>
              <w:t xml:space="preserve">Unit cost, pricing, break-even, inbound demand.</w:t>
            </w:r>
          </w:p>
        </w:tc>
      </w:tr>
      <w:tr>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6  Close</w:t>
            </w:r>
          </w:p>
        </w:tc>
        <w:tc>
          <w:tcPr>
            <w:tcW w:type="dxa" w:w="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0:35</w:t>
            </w:r>
          </w:p>
        </w:tc>
        <w:tc>
          <w:tcPr>
            <w:tcW w:type="dxa" w:w="15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6:20–6:55</w:t>
            </w:r>
          </w:p>
        </w:tc>
        <w:tc>
          <w:tcPr>
            <w:tcW w:type="dxa" w:w="1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Speaker 1</w:t>
            </w:r>
          </w:p>
        </w:tc>
        <w:tc>
          <w:tcPr>
            <w:tcW w:type="dxa" w:w="39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The line. The ask. Stop talking.</w:t>
            </w:r>
          </w:p>
        </w:tc>
      </w:tr>
    </w:tbl>
    <w:p>
      <w:pPr>
        <w:spacing w:after="200"/>
      </w:pPr>
    </w:p>
    <w:p>
      <w:pPr>
        <w:spacing w:after="150"/>
        <w:ind w:left="431"/>
      </w:pPr>
      <w:r>
        <w:rPr>
          <w:rFonts w:ascii="Calibri" w:cs="Calibri" w:eastAsia="Calibri" w:hAnsi="Calibri"/>
          <w:i/>
          <w:iCs/>
          <w:color w:val="5E5956"/>
          <w:sz w:val="18"/>
          <w:szCs w:val="18"/>
        </w:rPr>
        <w:t xml:space="preserve">Speaker 1 opens and closes; Speaker 2 owns the laptop from slide 4 and carries straight into the business slide. That handover pattern means nobody is walking across the stage mid-argument, and Speaker 1 gets ninety seconds to reset before the close.</w:t>
      </w:r>
    </w:p>
    <w:p>
      <w:r>
        <w:br w:type="page"/>
      </w:r>
    </w:p>
    <w:p>
      <w:pPr>
        <w:pStyle w:val="Heading1"/>
        <w:spacing w:after="160" w:before="420"/>
      </w:pPr>
      <w:r>
        <w:rPr>
          <w:rFonts w:ascii="Cambria" w:cs="Cambria" w:eastAsia="Cambria" w:hAnsi="Cambria"/>
          <w:b/>
          <w:bCs/>
          <w:color w:val="201E1D"/>
          <w:sz w:val="34"/>
          <w:szCs w:val="34"/>
        </w:rPr>
        <w:t xml:space="preserve">2  ·  The script</w:t>
      </w:r>
    </w:p>
    <w:p>
      <w:pPr>
        <w:spacing w:after="150"/>
        <w:ind w:left="431"/>
      </w:pPr>
      <w:r>
        <w:rPr>
          <w:rFonts w:ascii="Calibri" w:cs="Calibri" w:eastAsia="Calibri" w:hAnsi="Calibri"/>
          <w:i/>
          <w:iCs/>
          <w:color w:val="5E5956"/>
          <w:sz w:val="18"/>
          <w:szCs w:val="18"/>
        </w:rPr>
        <w:t xml:space="preserve">Written at roughly 150 words per minute — a calm pace, which is the right pace for this subject. Read it out loud with a timer before you change a word. Square brackets are stage directions, not speech.</w:t>
      </w:r>
    </w:p>
    <w:p>
      <w:pPr>
        <w:pStyle w:val="Heading2"/>
        <w:spacing w:after="120" w:before="300"/>
      </w:pPr>
      <w:r>
        <w:rPr>
          <w:rFonts w:ascii="Calibri" w:cs="Calibri" w:eastAsia="Calibri" w:hAnsi="Calibri"/>
          <w:b/>
          <w:bCs/>
          <w:color w:val="0088B0"/>
          <w:spacing w:val="14"/>
          <w:sz w:val="21"/>
          <w:szCs w:val="21"/>
        </w:rPr>
        <w:t xml:space="preserve">Slide 1  ·  Title  ·  0:00–0:20  ·  Speaker 1</w:t>
      </w:r>
    </w:p>
    <w:p>
      <w:pPr>
        <w:pBdr>
          <w:left w:val="single" w:color="0088B0" w:sz="14" w:space="12"/>
        </w:pBdr>
        <w:spacing w:after="170" w:before="90"/>
        <w:ind w:left="431"/>
      </w:pPr>
      <w:r>
        <w:rPr>
          <w:rFonts w:ascii="Cambria" w:cs="Cambria" w:eastAsia="Cambria" w:hAnsi="Cambria"/>
          <w:color w:val="201E1D"/>
          <w:sz w:val="21"/>
          <w:szCs w:val="21"/>
        </w:rPr>
        <w:t xml:space="preserve">Good morning. Setu is the Sanskrit word for bridge.</w:t>
      </w:r>
    </w:p>
    <w:p>
      <w:pPr>
        <w:pBdr>
          <w:left w:val="single" w:color="0088B0" w:sz="14" w:space="12"/>
        </w:pBdr>
        <w:spacing w:after="170" w:before="90"/>
        <w:ind w:left="431"/>
      </w:pPr>
      <w:r>
        <w:rPr>
          <w:rFonts w:ascii="Cambria" w:cs="Cambria" w:eastAsia="Cambria" w:hAnsi="Cambria"/>
          <w:color w:val="201E1D"/>
          <w:sz w:val="21"/>
          <w:szCs w:val="21"/>
        </w:rPr>
        <w:t xml:space="preserve">For most people, opening a form is a small thing. For about one student in twelve, it is the moment the day stops.</w:t>
      </w:r>
    </w:p>
    <w:p>
      <w:pPr>
        <w:pBdr>
          <w:left w:val="single" w:color="0088B0" w:sz="14" w:space="12"/>
        </w:pBdr>
        <w:spacing w:after="170" w:before="90"/>
        <w:ind w:left="431"/>
      </w:pPr>
      <w:r>
        <w:rPr>
          <w:rFonts w:ascii="Cambria" w:cs="Cambria" w:eastAsia="Cambria" w:hAnsi="Cambria"/>
          <w:color w:val="201E1D"/>
          <w:sz w:val="21"/>
          <w:szCs w:val="21"/>
        </w:rPr>
        <w:t xml:space="preserve">That is the gap we build across. Here is the size of it.</w:t>
      </w:r>
    </w:p>
    <w:p>
      <w:pPr>
        <w:spacing w:after="130" w:before="60"/>
      </w:pPr>
      <w:r>
        <w:rPr>
          <w:rFonts w:ascii="Calibri" w:cs="Calibri" w:eastAsia="Calibri" w:hAnsi="Calibri"/>
          <w:b/>
          <w:bCs/>
          <w:color w:val="D6006C"/>
          <w:spacing w:val="8"/>
          <w:sz w:val="18"/>
          <w:szCs w:val="18"/>
        </w:rPr>
        <w:t xml:space="preserve">→ ADVANCE TO SLIDE 2</w:t>
      </w:r>
    </w:p>
    <w:p>
      <w:pPr>
        <w:pStyle w:val="Heading2"/>
        <w:spacing w:after="120" w:before="300"/>
      </w:pPr>
      <w:r>
        <w:rPr>
          <w:rFonts w:ascii="Calibri" w:cs="Calibri" w:eastAsia="Calibri" w:hAnsi="Calibri"/>
          <w:b/>
          <w:bCs/>
          <w:color w:val="0088B0"/>
          <w:spacing w:val="14"/>
          <w:sz w:val="21"/>
          <w:szCs w:val="21"/>
        </w:rPr>
        <w:t xml:space="preserve">Slide 2  ·  Problem &amp; Opportunity  ·  0:20–1:20  ·  Speaker 1</w:t>
      </w:r>
    </w:p>
    <w:p>
      <w:pPr>
        <w:pBdr>
          <w:left w:val="single" w:color="0088B0" w:sz="14" w:space="12"/>
        </w:pBdr>
        <w:spacing w:after="170" w:before="90"/>
        <w:ind w:left="431"/>
      </w:pPr>
      <w:r>
        <w:rPr>
          <w:rFonts w:ascii="Cambria" w:cs="Cambria" w:eastAsia="Cambria" w:hAnsi="Cambria"/>
          <w:color w:val="201E1D"/>
          <w:sz w:val="21"/>
          <w:szCs w:val="21"/>
        </w:rPr>
        <w:t xml:space="preserve">Eight per cent of Indian children have a specific learning disorder — dyslexia, dysgraphia, dyscalculia. That figure is a meta-analysis of eight thousand children, not a marketing number.</w:t>
      </w:r>
    </w:p>
    <w:p>
      <w:pPr>
        <w:pBdr>
          <w:left w:val="single" w:color="0088B0" w:sz="14" w:space="12"/>
        </w:pBdr>
        <w:spacing w:after="170" w:before="90"/>
        <w:ind w:left="431"/>
      </w:pPr>
      <w:r>
        <w:rPr>
          <w:rFonts w:ascii="Cambria" w:cs="Cambria" w:eastAsia="Cambria" w:hAnsi="Cambria"/>
          <w:color w:val="201E1D"/>
          <w:sz w:val="21"/>
          <w:szCs w:val="21"/>
        </w:rPr>
        <w:t xml:space="preserve">Apply it to the forty-five million students in Indian higher education and you get three point six million.</w:t>
      </w:r>
    </w:p>
    <w:p>
      <w:pPr>
        <w:pBdr>
          <w:left w:val="single" w:color="0088B0" w:sz="14" w:space="12"/>
        </w:pBdr>
        <w:spacing w:after="170" w:before="90"/>
        <w:ind w:left="431"/>
      </w:pPr>
      <w:r>
        <w:rPr>
          <w:rFonts w:ascii="Cambria" w:cs="Cambria" w:eastAsia="Cambria" w:hAnsi="Cambria"/>
          <w:color w:val="201E1D"/>
          <w:sz w:val="21"/>
          <w:szCs w:val="21"/>
        </w:rPr>
        <w:t xml:space="preserve">Now the number the system can actually see. Fifty-four thousand and eighty. That is every student in the country registered with a benchmark disability — all disabilities, not just these three. Nought point one per cent.</w:t>
      </w:r>
    </w:p>
    <w:p>
      <w:pPr>
        <w:spacing w:after="150"/>
        <w:ind w:left="431"/>
      </w:pPr>
      <w:r>
        <w:rPr>
          <w:rFonts w:ascii="Calibri" w:cs="Calibri" w:eastAsia="Calibri" w:hAnsi="Calibri"/>
          <w:i/>
          <w:iCs/>
          <w:color w:val="5E5956"/>
          <w:sz w:val="18"/>
          <w:szCs w:val="18"/>
        </w:rPr>
        <w:t xml:space="preserve">[Pause here. Two full seconds. Let the sliver on the slide do the work.]</w:t>
      </w:r>
    </w:p>
    <w:p>
      <w:pPr>
        <w:pBdr>
          <w:left w:val="single" w:color="0088B0" w:sz="14" w:space="12"/>
        </w:pBdr>
        <w:spacing w:after="170" w:before="90"/>
        <w:ind w:left="431"/>
      </w:pPr>
      <w:r>
        <w:rPr>
          <w:rFonts w:ascii="Cambria" w:cs="Cambria" w:eastAsia="Cambria" w:hAnsi="Cambria"/>
          <w:color w:val="201E1D"/>
          <w:sz w:val="21"/>
          <w:szCs w:val="21"/>
        </w:rPr>
        <w:t xml:space="preserve">Three and a half million students are managing this alone. No diagnosis, no accommodation, and no idea that the problem was never them.</w:t>
      </w:r>
    </w:p>
    <w:p>
      <w:pPr>
        <w:pBdr>
          <w:left w:val="single" w:color="0088B0" w:sz="14" w:space="12"/>
        </w:pBdr>
        <w:spacing w:after="170" w:before="90"/>
        <w:ind w:left="431"/>
      </w:pPr>
      <w:r>
        <w:rPr>
          <w:rFonts w:ascii="Cambria" w:cs="Cambria" w:eastAsia="Cambria" w:hAnsi="Cambria"/>
          <w:color w:val="201E1D"/>
          <w:sz w:val="21"/>
          <w:szCs w:val="21"/>
        </w:rPr>
        <w:t xml:space="preserve">And the web is moving away from them. WebAIM tested a million home pages this year: ninety-five point nine per cent fail. That is worse than last year — the first reversal in seven years.</w:t>
      </w:r>
    </w:p>
    <w:p>
      <w:pPr>
        <w:pBdr>
          <w:left w:val="single" w:color="0088B0" w:sz="14" w:space="12"/>
        </w:pBdr>
        <w:spacing w:after="170" w:before="90"/>
        <w:ind w:left="431"/>
      </w:pPr>
      <w:r>
        <w:rPr>
          <w:rFonts w:ascii="Cambria" w:cs="Cambria" w:eastAsia="Cambria" w:hAnsi="Cambria"/>
          <w:color w:val="201E1D"/>
          <w:sz w:val="21"/>
          <w:szCs w:val="21"/>
        </w:rPr>
        <w:t xml:space="preserve">Screen readers read the page. Reading tools restyle it. Chatbots answer questions about it. Nobody helps them finish it.</w:t>
      </w:r>
    </w:p>
    <w:p>
      <w:pPr>
        <w:spacing w:after="130" w:before="60"/>
      </w:pPr>
      <w:r>
        <w:rPr>
          <w:rFonts w:ascii="Calibri" w:cs="Calibri" w:eastAsia="Calibri" w:hAnsi="Calibri"/>
          <w:b/>
          <w:bCs/>
          <w:color w:val="D6006C"/>
          <w:spacing w:val="8"/>
          <w:sz w:val="18"/>
          <w:szCs w:val="18"/>
        </w:rPr>
        <w:t xml:space="preserve">→ ADVANCE TO SLIDE 3</w:t>
      </w:r>
    </w:p>
    <w:p>
      <w:pPr>
        <w:pStyle w:val="Heading2"/>
        <w:spacing w:after="120" w:before="300"/>
      </w:pPr>
      <w:r>
        <w:rPr>
          <w:rFonts w:ascii="Calibri" w:cs="Calibri" w:eastAsia="Calibri" w:hAnsi="Calibri"/>
          <w:b/>
          <w:bCs/>
          <w:color w:val="0088B0"/>
          <w:spacing w:val="14"/>
          <w:sz w:val="21"/>
          <w:szCs w:val="21"/>
        </w:rPr>
        <w:t xml:space="preserve">Slide 3  ·  Solution &amp; Unique Value  ·  1:20–2:20  ·  Speaker 1</w:t>
      </w:r>
    </w:p>
    <w:p>
      <w:pPr>
        <w:pBdr>
          <w:left w:val="single" w:color="0088B0" w:sz="14" w:space="12"/>
        </w:pBdr>
        <w:spacing w:after="170" w:before="90"/>
        <w:ind w:left="431"/>
      </w:pPr>
      <w:r>
        <w:rPr>
          <w:rFonts w:ascii="Cambria" w:cs="Cambria" w:eastAsia="Cambria" w:hAnsi="Cambria"/>
          <w:color w:val="201E1D"/>
          <w:sz w:val="21"/>
          <w:szCs w:val="21"/>
        </w:rPr>
        <w:t xml:space="preserve">So we built one engine behind four surfaces — a Chrome extension, a web workspace, an Android app, and the engine itself. Fifty-three endpoints, nine cognitive modes, eleven Indian languages, all deployed and running right now.</w:t>
      </w:r>
    </w:p>
    <w:p>
      <w:pPr>
        <w:pBdr>
          <w:left w:val="single" w:color="0088B0" w:sz="14" w:space="12"/>
        </w:pBdr>
        <w:spacing w:after="170" w:before="90"/>
        <w:ind w:left="431"/>
      </w:pPr>
      <w:r>
        <w:rPr>
          <w:rFonts w:ascii="Cambria" w:cs="Cambria" w:eastAsia="Cambria" w:hAnsi="Cambria"/>
          <w:color w:val="201E1D"/>
          <w:sz w:val="21"/>
          <w:szCs w:val="21"/>
        </w:rPr>
        <w:t xml:space="preserve">Three things make it hard to copy.</w:t>
      </w:r>
    </w:p>
    <w:p>
      <w:pPr>
        <w:pBdr>
          <w:left w:val="single" w:color="0088B0" w:sz="14" w:space="12"/>
        </w:pBdr>
        <w:spacing w:after="170" w:before="90"/>
        <w:ind w:left="431"/>
      </w:pPr>
      <w:r>
        <w:rPr>
          <w:rFonts w:ascii="Cambria" w:cs="Cambria" w:eastAsia="Cambria" w:hAnsi="Cambria"/>
          <w:color w:val="201E1D"/>
          <w:sz w:val="21"/>
          <w:szCs w:val="21"/>
        </w:rPr>
        <w:t xml:space="preserve">It is local-first. Ten of the reading tools never touch a server — they cost us nothing per use and they work with the network off.</w:t>
      </w:r>
    </w:p>
    <w:p>
      <w:pPr>
        <w:pBdr>
          <w:left w:val="single" w:color="0088B0" w:sz="14" w:space="12"/>
        </w:pBdr>
        <w:spacing w:after="170" w:before="90"/>
        <w:ind w:left="431"/>
      </w:pPr>
      <w:r>
        <w:rPr>
          <w:rFonts w:ascii="Cambria" w:cs="Cambria" w:eastAsia="Cambria" w:hAnsi="Cambria"/>
          <w:color w:val="201E1D"/>
          <w:sz w:val="21"/>
          <w:szCs w:val="21"/>
        </w:rPr>
        <w:t xml:space="preserve">It degrades instead of failing. Every AI feature draws an answer from the page itself in under a second, then upgrades it when the model replies. A tool that shows a spinner and then an error is a tool nobody opens twice.</w:t>
      </w:r>
    </w:p>
    <w:p>
      <w:pPr>
        <w:pBdr>
          <w:left w:val="single" w:color="0088B0" w:sz="14" w:space="12"/>
        </w:pBdr>
        <w:spacing w:after="170" w:before="90"/>
        <w:ind w:left="431"/>
      </w:pPr>
      <w:r>
        <w:rPr>
          <w:rFonts w:ascii="Cambria" w:cs="Cambria" w:eastAsia="Cambria" w:hAnsi="Cambria"/>
          <w:color w:val="201E1D"/>
          <w:sz w:val="21"/>
          <w:szCs w:val="21"/>
        </w:rPr>
        <w:t xml:space="preserve">And it was rewritten on clinical evidence. On the seventeenth of August we took Setu to Dr. Prakhar Jain. He told us that bionic reading — our headline feature — does not work, because the difficulty in dyslexia is comprehension, not eyesight.</w:t>
      </w:r>
    </w:p>
    <w:p>
      <w:pPr>
        <w:pBdr>
          <w:left w:val="single" w:color="0088B0" w:sz="14" w:space="12"/>
        </w:pBdr>
        <w:spacing w:after="170" w:before="90"/>
        <w:ind w:left="431"/>
      </w:pPr>
      <w:r>
        <w:rPr>
          <w:rFonts w:ascii="Cambria" w:cs="Cambria" w:eastAsia="Cambria" w:hAnsi="Cambria"/>
          <w:color w:val="201E1D"/>
          <w:sz w:val="21"/>
          <w:szCs w:val="21"/>
        </w:rPr>
        <w:t xml:space="preserve">So we demoted our own flagship. And we built Numbers mode for dyscalculia, a picture mode that carries no text at all, and a crisis path that never reaches a model.</w:t>
      </w:r>
    </w:p>
    <w:p>
      <w:pPr>
        <w:spacing w:after="150"/>
        <w:ind w:left="431"/>
      </w:pPr>
      <w:r>
        <w:rPr>
          <w:rFonts w:ascii="Calibri" w:cs="Calibri" w:eastAsia="Calibri" w:hAnsi="Calibri"/>
          <w:i/>
          <w:iCs/>
          <w:color w:val="5E5956"/>
          <w:sz w:val="18"/>
          <w:szCs w:val="18"/>
        </w:rPr>
        <w:t xml:space="preserve">[Speaker 2 moves to the laptop during the last line. Do not narrate the handover.]</w:t>
      </w:r>
    </w:p>
    <w:p>
      <w:pPr>
        <w:spacing w:after="130" w:before="60"/>
      </w:pPr>
      <w:r>
        <w:rPr>
          <w:rFonts w:ascii="Calibri" w:cs="Calibri" w:eastAsia="Calibri" w:hAnsi="Calibri"/>
          <w:b/>
          <w:bCs/>
          <w:color w:val="D6006C"/>
          <w:spacing w:val="8"/>
          <w:sz w:val="18"/>
          <w:szCs w:val="18"/>
        </w:rPr>
        <w:t xml:space="preserve">→ ADVANCE TO SLIDE 4, THEN SWITCH TO THE BROWSER</w:t>
      </w:r>
    </w:p>
    <w:p>
      <w:pPr>
        <w:pStyle w:val="Heading2"/>
        <w:spacing w:after="120" w:before="300"/>
      </w:pPr>
      <w:r>
        <w:rPr>
          <w:rFonts w:ascii="Calibri" w:cs="Calibri" w:eastAsia="Calibri" w:hAnsi="Calibri"/>
          <w:b/>
          <w:bCs/>
          <w:color w:val="0088B0"/>
          <w:spacing w:val="14"/>
          <w:sz w:val="21"/>
          <w:szCs w:val="21"/>
        </w:rPr>
        <w:t xml:space="preserve">Slide 4  ·  Live demo  ·  2:20–5:20  ·  Speaker 2</w:t>
      </w:r>
    </w:p>
    <w:p>
      <w:pPr>
        <w:spacing w:after="150"/>
        <w:ind w:left="431"/>
      </w:pPr>
      <w:r>
        <w:rPr>
          <w:rFonts w:ascii="Calibri" w:cs="Calibri" w:eastAsia="Calibri" w:hAnsi="Calibri"/>
          <w:i/>
          <w:iCs/>
          <w:color w:val="5E5956"/>
          <w:sz w:val="18"/>
          <w:szCs w:val="18"/>
        </w:rPr>
        <w:t xml:space="preserve">Roughly 35 seconds per beat. Narrate what you are about to do before you do it, so a slow render never leaves silence. If a beat fails, say the one-line fallback and move on — never debug in front of the jury.</w:t>
      </w:r>
    </w:p>
    <w:p>
      <w:pPr>
        <w:spacing w:after="130"/>
      </w:pPr>
      <w:r>
        <w:rPr>
          <w:rFonts w:ascii="Calibri" w:cs="Calibri" w:eastAsia="Calibri" w:hAnsi="Calibri"/>
          <w:b/>
          <w:bCs/>
          <w:color w:val="0088B0"/>
          <w:sz w:val="20"/>
          <w:szCs w:val="20"/>
        </w:rPr>
        <w:t xml:space="preserve">BEAT 1  ·  The portal  (0:00–0:35)</w:t>
      </w:r>
    </w:p>
    <w:p>
      <w:pPr>
        <w:pBdr>
          <w:left w:val="single" w:color="0088B0" w:sz="14" w:space="12"/>
        </w:pBdr>
        <w:spacing w:after="170" w:before="90"/>
        <w:ind w:left="431"/>
      </w:pPr>
      <w:r>
        <w:rPr>
          <w:rFonts w:ascii="Cambria" w:cs="Cambria" w:eastAsia="Cambria" w:hAnsi="Cambria"/>
          <w:color w:val="201E1D"/>
          <w:sz w:val="21"/>
          <w:szCs w:val="21"/>
        </w:rPr>
        <w:t xml:space="preserve">This is a real registration page. Fourteen fields, three warnings, and no indication of what to do first. For the student we are describing, this is not an inconvenience — this is where the task ends.</w:t>
      </w:r>
    </w:p>
    <w:p>
      <w:pPr>
        <w:spacing w:after="130"/>
      </w:pPr>
      <w:r>
        <w:rPr>
          <w:rFonts w:ascii="Calibri" w:cs="Calibri" w:eastAsia="Calibri" w:hAnsi="Calibri"/>
          <w:b/>
          <w:bCs/>
          <w:color w:val="0088B0"/>
          <w:sz w:val="20"/>
          <w:szCs w:val="20"/>
        </w:rPr>
        <w:t xml:space="preserve">BEAT 2  ·  Alt+3  (0:35–1:10)</w:t>
      </w:r>
    </w:p>
    <w:p>
      <w:pPr>
        <w:pBdr>
          <w:left w:val="single" w:color="0088B0" w:sz="14" w:space="12"/>
        </w:pBdr>
        <w:spacing w:after="170" w:before="90"/>
        <w:ind w:left="431"/>
      </w:pPr>
      <w:r>
        <w:rPr>
          <w:rFonts w:ascii="Cambria" w:cs="Cambria" w:eastAsia="Cambria" w:hAnsi="Cambria"/>
          <w:color w:val="201E1D"/>
          <w:sz w:val="21"/>
          <w:szCs w:val="21"/>
        </w:rPr>
        <w:t xml:space="preserve">One keystroke. Three steps, in under a second — and notice that nothing left this browser. No server, no API key, no cost. That is the ten local tools I mentioned.</w:t>
      </w:r>
    </w:p>
    <w:p>
      <w:pPr>
        <w:spacing w:after="150"/>
        <w:ind w:left="431"/>
      </w:pPr>
      <w:r>
        <w:rPr>
          <w:rFonts w:ascii="Calibri" w:cs="Calibri" w:eastAsia="Calibri" w:hAnsi="Calibri"/>
          <w:i/>
          <w:iCs/>
          <w:color w:val="5E5956"/>
          <w:sz w:val="18"/>
          <w:szCs w:val="18"/>
        </w:rPr>
        <w:t xml:space="preserve">Fallback: if the chunker stalls, press Alt+F for Focus Mode instead — it strips the page live and makes the same point.</w:t>
      </w:r>
    </w:p>
    <w:p>
      <w:pPr>
        <w:spacing w:after="130"/>
      </w:pPr>
      <w:r>
        <w:rPr>
          <w:rFonts w:ascii="Calibri" w:cs="Calibri" w:eastAsia="Calibri" w:hAnsi="Calibri"/>
          <w:b/>
          <w:bCs/>
          <w:color w:val="0088B0"/>
          <w:sz w:val="20"/>
          <w:szCs w:val="20"/>
        </w:rPr>
        <w:t xml:space="preserve">BEAT 3  ·  Commander  (1:10–1:45)</w:t>
      </w:r>
    </w:p>
    <w:p>
      <w:pPr>
        <w:pBdr>
          <w:left w:val="single" w:color="0088B0" w:sz="14" w:space="12"/>
        </w:pBdr>
        <w:spacing w:after="170" w:before="90"/>
        <w:ind w:left="431"/>
      </w:pPr>
      <w:r>
        <w:rPr>
          <w:rFonts w:ascii="Cambria" w:cs="Cambria" w:eastAsia="Cambria" w:hAnsi="Cambria"/>
          <w:color w:val="201E1D"/>
          <w:sz w:val="21"/>
          <w:szCs w:val="21"/>
        </w:rPr>
        <w:t xml:space="preserve">Now the agent. I ask it to fill the form. It reads the page's own controls, plans the steps, and fills them — and then it stops. It will not submit. Anything irreversible needs a human to say yes. That rule is asserted in our test suite, not just in our intentions.</w:t>
      </w:r>
    </w:p>
    <w:p>
      <w:pPr>
        <w:spacing w:after="150"/>
        <w:ind w:left="431"/>
      </w:pPr>
      <w:r>
        <w:rPr>
          <w:rFonts w:ascii="Calibri" w:cs="Calibri" w:eastAsia="Calibri" w:hAnsi="Calibri"/>
          <w:i/>
          <w:iCs/>
          <w:color w:val="5E5956"/>
          <w:sz w:val="18"/>
          <w:szCs w:val="18"/>
        </w:rPr>
        <w:t xml:space="preserve">This is the trust beat. Land it slowly. It is the answer to the question every technical judge is already forming.</w:t>
      </w:r>
    </w:p>
    <w:p>
      <w:pPr>
        <w:spacing w:after="130"/>
      </w:pPr>
      <w:r>
        <w:rPr>
          <w:rFonts w:ascii="Calibri" w:cs="Calibri" w:eastAsia="Calibri" w:hAnsi="Calibri"/>
          <w:b/>
          <w:bCs/>
          <w:color w:val="0088B0"/>
          <w:sz w:val="20"/>
          <w:szCs w:val="20"/>
        </w:rPr>
        <w:t xml:space="preserve">BEAT 4  ·  The voice  (1:45–2:20)</w:t>
      </w:r>
    </w:p>
    <w:p>
      <w:pPr>
        <w:pBdr>
          <w:left w:val="single" w:color="0088B0" w:sz="14" w:space="12"/>
        </w:pBdr>
        <w:spacing w:after="170" w:before="90"/>
        <w:ind w:left="431"/>
      </w:pPr>
      <w:r>
        <w:rPr>
          <w:rFonts w:ascii="Cambria" w:cs="Cambria" w:eastAsia="Cambria" w:hAnsi="Cambria"/>
          <w:color w:val="201E1D"/>
          <w:sz w:val="21"/>
          <w:szCs w:val="21"/>
        </w:rPr>
        <w:t xml:space="preserve">Dr. Jain told us mind maps only help if they carry no text, or if the text is spoken when the cursor reaches it. So — hover a branch, and it speaks. In Tamil. Eleven Indian languages, and the schema underneath stays in English so nothing silently breaks.</w:t>
      </w:r>
    </w:p>
    <w:p>
      <w:pPr>
        <w:spacing w:after="150"/>
        <w:ind w:left="431"/>
      </w:pPr>
      <w:r>
        <w:rPr>
          <w:rFonts w:ascii="Calibri" w:cs="Calibri" w:eastAsia="Calibri" w:hAnsi="Calibri"/>
          <w:i/>
          <w:iCs/>
          <w:color w:val="5E5956"/>
          <w:sz w:val="18"/>
          <w:szCs w:val="18"/>
        </w:rPr>
        <w:t xml:space="preserve">Fallback: if Sarvam is slow, the browser voice takes over automatically. Say so — 'that is the fallback engine, and the user never hears silence.' The failure is the feature.</w:t>
      </w:r>
    </w:p>
    <w:p>
      <w:pPr>
        <w:spacing w:after="130"/>
      </w:pPr>
      <w:r>
        <w:rPr>
          <w:rFonts w:ascii="Calibri" w:cs="Calibri" w:eastAsia="Calibri" w:hAnsi="Calibri"/>
          <w:b/>
          <w:bCs/>
          <w:color w:val="0088B0"/>
          <w:sz w:val="20"/>
          <w:szCs w:val="20"/>
        </w:rPr>
        <w:t xml:space="preserve">BEAT 5  ·  The handoff  (2:20–3:00)</w:t>
      </w:r>
    </w:p>
    <w:p>
      <w:pPr>
        <w:pBdr>
          <w:left w:val="single" w:color="0088B0" w:sz="14" w:space="12"/>
        </w:pBdr>
        <w:spacing w:after="170" w:before="90"/>
        <w:ind w:left="431"/>
      </w:pPr>
      <w:r>
        <w:rPr>
          <w:rFonts w:ascii="Cambria" w:cs="Cambria" w:eastAsia="Cambria" w:hAnsi="Cambria"/>
          <w:color w:val="201E1D"/>
          <w:sz w:val="21"/>
          <w:szCs w:val="21"/>
        </w:rPr>
        <w:t xml:space="preserve">Same student, same task, on the phone. It picks up mid-sentence. Working memory is the thing that is actually impaired here — so Setu carries the context, and the person does not have to.</w:t>
      </w:r>
    </w:p>
    <w:p>
      <w:pPr>
        <w:spacing w:after="130" w:before="60"/>
      </w:pPr>
      <w:r>
        <w:rPr>
          <w:rFonts w:ascii="Calibri" w:cs="Calibri" w:eastAsia="Calibri" w:hAnsi="Calibri"/>
          <w:b/>
          <w:bCs/>
          <w:color w:val="D6006C"/>
          <w:spacing w:val="8"/>
          <w:sz w:val="18"/>
          <w:szCs w:val="18"/>
        </w:rPr>
        <w:t xml:space="preserve">→ RETURN TO THE DECK, ADVANCE TO SLIDE 5</w:t>
      </w:r>
    </w:p>
    <w:p>
      <w:pPr>
        <w:pStyle w:val="Heading2"/>
        <w:spacing w:after="120" w:before="300"/>
      </w:pPr>
      <w:r>
        <w:rPr>
          <w:rFonts w:ascii="Calibri" w:cs="Calibri" w:eastAsia="Calibri" w:hAnsi="Calibri"/>
          <w:b/>
          <w:bCs/>
          <w:color w:val="0088B0"/>
          <w:spacing w:val="14"/>
          <w:sz w:val="21"/>
          <w:szCs w:val="21"/>
        </w:rPr>
        <w:t xml:space="preserve">Slide 5  ·  Cost, model and scale  ·  5:20–6:20  ·  Speaker 2</w:t>
      </w:r>
    </w:p>
    <w:p>
      <w:pPr>
        <w:pBdr>
          <w:left w:val="single" w:color="0088B0" w:sz="14" w:space="12"/>
        </w:pBdr>
        <w:spacing w:after="170" w:before="90"/>
        <w:ind w:left="431"/>
      </w:pPr>
      <w:r>
        <w:rPr>
          <w:rFonts w:ascii="Cambria" w:cs="Cambria" w:eastAsia="Cambria" w:hAnsi="Cambria"/>
          <w:color w:val="201E1D"/>
          <w:sz w:val="21"/>
          <w:szCs w:val="21"/>
        </w:rPr>
        <w:t xml:space="preserve">One active user costs us twenty-five rupees a month. Eight for AI reasoning, fifteen for the natural voice, two for storage — and nothing at all for the ten local tools, because they never call us.</w:t>
      </w:r>
    </w:p>
    <w:p>
      <w:pPr>
        <w:pBdr>
          <w:left w:val="single" w:color="0088B0" w:sz="14" w:space="12"/>
        </w:pBdr>
        <w:spacing w:after="170" w:before="90"/>
        <w:ind w:left="431"/>
      </w:pPr>
      <w:r>
        <w:rPr>
          <w:rFonts w:ascii="Cambria" w:cs="Cambria" w:eastAsia="Cambria" w:hAnsi="Cambria"/>
          <w:color w:val="201E1D"/>
          <w:sz w:val="21"/>
          <w:szCs w:val="21"/>
        </w:rPr>
        <w:t xml:space="preserve">Today it is zero. The model chain starts on free tiers and ends in a deterministic offline engine, so our infrastructure spend to date is nothing.</w:t>
      </w:r>
    </w:p>
    <w:p>
      <w:pPr>
        <w:pBdr>
          <w:left w:val="single" w:color="0088B0" w:sz="14" w:space="12"/>
        </w:pBdr>
        <w:spacing w:after="170" w:before="90"/>
        <w:ind w:left="431"/>
      </w:pPr>
      <w:r>
        <w:rPr>
          <w:rFonts w:ascii="Cambria" w:cs="Cambria" w:eastAsia="Cambria" w:hAnsi="Cambria"/>
          <w:color w:val="201E1D"/>
          <w:sz w:val="21"/>
          <w:szCs w:val="21"/>
        </w:rPr>
        <w:t xml:space="preserve">We sell to campuses at ninety-nine rupees per student per year, licensed campus-wide — because the university cannot know which students need it. Ninety-eight and a half per cent of them were never diagnosed. That is not a pricing trick; it is the only honest way to price it.</w:t>
      </w:r>
    </w:p>
    <w:p>
      <w:pPr>
        <w:pBdr>
          <w:left w:val="single" w:color="0088B0" w:sz="14" w:space="12"/>
        </w:pBdr>
        <w:spacing w:after="170" w:before="90"/>
        <w:ind w:left="431"/>
      </w:pPr>
      <w:r>
        <w:rPr>
          <w:rFonts w:ascii="Cambria" w:cs="Cambria" w:eastAsia="Cambria" w:hAnsi="Cambria"/>
          <w:color w:val="201E1D"/>
          <w:sz w:val="21"/>
          <w:szCs w:val="21"/>
        </w:rPr>
        <w:t xml:space="preserve">Year one costs eighteen lakh to build and run. Four campus licences cover it.</w:t>
      </w:r>
    </w:p>
    <w:p>
      <w:pPr>
        <w:pBdr>
          <w:left w:val="single" w:color="0088B0" w:sz="14" w:space="12"/>
        </w:pBdr>
        <w:spacing w:after="170" w:before="90"/>
        <w:ind w:left="431"/>
      </w:pPr>
      <w:r>
        <w:rPr>
          <w:rFonts w:ascii="Cambria" w:cs="Cambria" w:eastAsia="Cambria" w:hAnsi="Cambria"/>
          <w:color w:val="201E1D"/>
          <w:sz w:val="21"/>
          <w:szCs w:val="21"/>
        </w:rPr>
        <w:t xml:space="preserve">And this is not theoretical. Dr. Jain, the specialist who reviewed us, has asked us to build a version of Setu for his hospitals. That came to us — before we launched.</w:t>
      </w:r>
    </w:p>
    <w:p>
      <w:pPr>
        <w:spacing w:after="150"/>
        <w:ind w:left="431"/>
      </w:pPr>
      <w:r>
        <w:rPr>
          <w:rFonts w:ascii="Calibri" w:cs="Calibri" w:eastAsia="Calibri" w:hAnsi="Calibri"/>
          <w:i/>
          <w:iCs/>
          <w:color w:val="5E5956"/>
          <w:sz w:val="18"/>
          <w:szCs w:val="18"/>
        </w:rPr>
        <w:t xml:space="preserve">[The 6:00 one-minute warning lands inside this slide. Do not react to it.]</w:t>
      </w:r>
    </w:p>
    <w:p>
      <w:pPr>
        <w:spacing w:after="130" w:before="60"/>
      </w:pPr>
      <w:r>
        <w:rPr>
          <w:rFonts w:ascii="Calibri" w:cs="Calibri" w:eastAsia="Calibri" w:hAnsi="Calibri"/>
          <w:b/>
          <w:bCs/>
          <w:color w:val="D6006C"/>
          <w:spacing w:val="8"/>
          <w:sz w:val="18"/>
          <w:szCs w:val="18"/>
        </w:rPr>
        <w:t xml:space="preserve">→ ADVANCE TO SLIDE 6</w:t>
      </w:r>
    </w:p>
    <w:p>
      <w:pPr>
        <w:pStyle w:val="Heading2"/>
        <w:spacing w:after="120" w:before="300"/>
      </w:pPr>
      <w:r>
        <w:rPr>
          <w:rFonts w:ascii="Calibri" w:cs="Calibri" w:eastAsia="Calibri" w:hAnsi="Calibri"/>
          <w:b/>
          <w:bCs/>
          <w:color w:val="0088B0"/>
          <w:spacing w:val="14"/>
          <w:sz w:val="21"/>
          <w:szCs w:val="21"/>
        </w:rPr>
        <w:t xml:space="preserve">Slide 6  ·  Close  ·  6:20–6:55  ·  Speaker 1</w:t>
      </w:r>
    </w:p>
    <w:p>
      <w:pPr>
        <w:pBdr>
          <w:left w:val="single" w:color="0088B0" w:sz="14" w:space="12"/>
        </w:pBdr>
        <w:spacing w:after="170" w:before="90"/>
        <w:ind w:left="431"/>
      </w:pPr>
      <w:r>
        <w:rPr>
          <w:rFonts w:ascii="Cambria" w:cs="Cambria" w:eastAsia="Cambria" w:hAnsi="Cambria"/>
          <w:color w:val="201E1D"/>
          <w:sz w:val="21"/>
          <w:szCs w:val="21"/>
        </w:rPr>
        <w:t xml:space="preserve">Every one of those three and a half million students has been told, in one way or another, that they are the problem.</w:t>
      </w:r>
    </w:p>
    <w:p>
      <w:pPr>
        <w:pBdr>
          <w:left w:val="single" w:color="0088B0" w:sz="14" w:space="12"/>
        </w:pBdr>
        <w:spacing w:after="170" w:before="90"/>
        <w:ind w:left="431"/>
      </w:pPr>
      <w:r>
        <w:rPr>
          <w:rFonts w:ascii="Cambria" w:cs="Cambria" w:eastAsia="Cambria" w:hAnsi="Cambria"/>
          <w:color w:val="201E1D"/>
          <w:sz w:val="21"/>
          <w:szCs w:val="21"/>
        </w:rPr>
        <w:t xml:space="preserve">They are not. The interface was the disability. Not the person.</w:t>
      </w:r>
    </w:p>
    <w:p>
      <w:pPr>
        <w:pBdr>
          <w:left w:val="single" w:color="0088B0" w:sz="14" w:space="12"/>
        </w:pBdr>
        <w:spacing w:after="170" w:before="90"/>
        <w:ind w:left="431"/>
      </w:pPr>
      <w:r>
        <w:rPr>
          <w:rFonts w:ascii="Cambria" w:cs="Cambria" w:eastAsia="Cambria" w:hAnsi="Cambria"/>
          <w:color w:val="201E1D"/>
          <w:sz w:val="21"/>
          <w:szCs w:val="21"/>
        </w:rPr>
        <w:t xml:space="preserve">Three asks. One pilot campus, through a Capgemini client, this semester. One introduction to a university disability-support office. And back Setu in this finale — we will publish the numbers either way.</w:t>
      </w:r>
    </w:p>
    <w:p>
      <w:pPr>
        <w:pBdr>
          <w:left w:val="single" w:color="0088B0" w:sz="14" w:space="12"/>
        </w:pBdr>
        <w:spacing w:after="170" w:before="90"/>
        <w:ind w:left="431"/>
      </w:pPr>
      <w:r>
        <w:rPr>
          <w:rFonts w:ascii="Cambria" w:cs="Cambria" w:eastAsia="Cambria" w:hAnsi="Cambria"/>
          <w:color w:val="201E1D"/>
          <w:sz w:val="21"/>
          <w:szCs w:val="21"/>
        </w:rPr>
        <w:t xml:space="preserve">Thank you.</w:t>
      </w:r>
    </w:p>
    <w:p>
      <w:pPr>
        <w:spacing w:after="150"/>
        <w:ind w:left="431"/>
      </w:pPr>
      <w:r>
        <w:rPr>
          <w:rFonts w:ascii="Calibri" w:cs="Calibri" w:eastAsia="Calibri" w:hAnsi="Calibri"/>
          <w:i/>
          <w:iCs/>
          <w:color w:val="5E5956"/>
          <w:sz w:val="18"/>
          <w:szCs w:val="18"/>
        </w:rPr>
        <w:t xml:space="preserve">Then stop. Do not add a summary, do not thank the organisers again, do not fill the silence. The last sentence a jury hears is the one they carry into scoring.</w:t>
      </w:r>
    </w:p>
    <w:p>
      <w:r>
        <w:br w:type="page"/>
      </w:r>
    </w:p>
    <w:p>
      <w:pPr>
        <w:pStyle w:val="Heading1"/>
        <w:spacing w:after="160" w:before="420"/>
      </w:pPr>
      <w:r>
        <w:rPr>
          <w:rFonts w:ascii="Cambria" w:cs="Cambria" w:eastAsia="Cambria" w:hAnsi="Cambria"/>
          <w:b/>
          <w:bCs/>
          <w:color w:val="201E1D"/>
          <w:sz w:val="34"/>
          <w:szCs w:val="34"/>
        </w:rPr>
        <w:t xml:space="preserve">3  ·  Why the deck is built this way</w:t>
      </w:r>
    </w:p>
    <w:p>
      <w:pPr>
        <w:spacing w:after="130"/>
      </w:pPr>
      <w:r>
        <w:rPr>
          <w:rFonts w:ascii="Calibri" w:cs="Calibri" w:eastAsia="Calibri" w:hAnsi="Calibri"/>
          <w:color w:val="201E1D"/>
          <w:sz w:val="20"/>
          <w:szCs w:val="20"/>
        </w:rPr>
        <w:t xml:space="preserve">Every choice below is deliberate. None of them requires overstating anything — the material is strong enough that the honest version is also the persuasive one, which is the only kind of persuasion that survives eight minutes of Q&amp;A.</w:t>
      </w:r>
    </w:p>
    <w:p>
      <w:pPr>
        <w:pStyle w:val="Heading2"/>
        <w:spacing w:after="120" w:before="300"/>
      </w:pPr>
      <w:r>
        <w:rPr>
          <w:rFonts w:ascii="Calibri" w:cs="Calibri" w:eastAsia="Calibri" w:hAnsi="Calibri"/>
          <w:b/>
          <w:bCs/>
          <w:color w:val="0088B0"/>
          <w:spacing w:val="14"/>
          <w:sz w:val="21"/>
          <w:szCs w:val="21"/>
        </w:rPr>
        <w:t xml:space="preserve">The organising move</w:t>
      </w:r>
    </w:p>
    <w:p>
      <w:pPr>
        <w:spacing w:after="130"/>
      </w:pPr>
      <w:r>
        <w:rPr>
          <w:rFonts w:ascii="Calibri" w:cs="Calibri" w:eastAsia="Calibri" w:hAnsi="Calibri"/>
          <w:color w:val="201E1D"/>
          <w:sz w:val="20"/>
          <w:szCs w:val="20"/>
        </w:rPr>
        <w:t xml:space="preserve">This is a deck about cognitive overload, so the deck itself is not allowed to cause any. One idea per slide, numbers at 50pt, almost no prose, and a palette taken directly from the product's own design system. A jury sitting through eleven dense decks will feel the difference before they can articulate it — and if anyone asks, the honest answer is the best one: we built the deck the way we built the product.</w:t>
      </w:r>
    </w:p>
    <w:p>
      <w:pPr>
        <w:pStyle w:val="Heading2"/>
        <w:spacing w:after="120" w:before="300"/>
      </w:pPr>
      <w:r>
        <w:rPr>
          <w:rFonts w:ascii="Calibri" w:cs="Calibri" w:eastAsia="Calibri" w:hAnsi="Calibri"/>
          <w:b/>
          <w:bCs/>
          <w:color w:val="0088B0"/>
          <w:spacing w:val="14"/>
          <w:sz w:val="21"/>
          <w:szCs w:val="21"/>
        </w:rPr>
        <w:t xml:space="preserve">The nine specific devices</w:t>
      </w:r>
    </w:p>
    <w:p>
      <w:pPr>
        <w:pStyle w:val="ListParagraph"/>
        <w:numPr>
          <w:ilvl w:val="0"/>
          <w:numId w:val="2"/>
        </w:numPr>
        <w:spacing w:after="70"/>
      </w:pPr>
      <w:r>
        <w:rPr>
          <w:rFonts w:ascii="Calibri" w:cs="Calibri" w:eastAsia="Calibri" w:hAnsi="Calibri"/>
          <w:color w:val="201E1D"/>
          <w:sz w:val="20"/>
          <w:szCs w:val="20"/>
        </w:rPr>
        <w:t xml:space="preserve">Specificity beats scale. "54,080" is more persuasive than "very few". Precise numbers read as measured; round numbers read as invented. This is why the deck says 95.9%, 56.1, ₹99, 48,246 — never "about" anything.</w:t>
      </w:r>
    </w:p>
    <w:p>
      <w:pPr>
        <w:pStyle w:val="ListParagraph"/>
        <w:numPr>
          <w:ilvl w:val="0"/>
          <w:numId w:val="2"/>
        </w:numPr>
        <w:spacing w:after="70"/>
      </w:pPr>
      <w:r>
        <w:rPr>
          <w:rFonts w:ascii="Calibri" w:cs="Calibri" w:eastAsia="Calibri" w:hAnsi="Calibri"/>
          <w:color w:val="201E1D"/>
          <w:sz w:val="20"/>
          <w:szCs w:val="20"/>
        </w:rPr>
        <w:t xml:space="preserve">The invisible bar. On slide 2 the 54,080 bar is rendered to true scale, which makes it almost nothing. Nobody argues with an image they worked out for themselves.</w:t>
      </w:r>
    </w:p>
    <w:p>
      <w:pPr>
        <w:pStyle w:val="ListParagraph"/>
        <w:numPr>
          <w:ilvl w:val="0"/>
          <w:numId w:val="2"/>
        </w:numPr>
        <w:spacing w:after="70"/>
      </w:pPr>
      <w:r>
        <w:rPr>
          <w:rFonts w:ascii="Calibri" w:cs="Calibri" w:eastAsia="Calibri" w:hAnsi="Calibri"/>
          <w:color w:val="201E1D"/>
          <w:sz w:val="20"/>
          <w:szCs w:val="20"/>
        </w:rPr>
        <w:t xml:space="preserve">Loss framing on the status quo. WebAIM's 2026 report is the first reversal in seven years. "Getting worse" creates urgency that "is bad" does not.</w:t>
      </w:r>
    </w:p>
    <w:p>
      <w:pPr>
        <w:pStyle w:val="ListParagraph"/>
        <w:numPr>
          <w:ilvl w:val="0"/>
          <w:numId w:val="2"/>
        </w:numPr>
        <w:spacing w:after="70"/>
      </w:pPr>
      <w:r>
        <w:rPr>
          <w:rFonts w:ascii="Calibri" w:cs="Calibri" w:eastAsia="Calibri" w:hAnsi="Calibri"/>
          <w:color w:val="201E1D"/>
          <w:sz w:val="20"/>
          <w:szCs w:val="20"/>
        </w:rPr>
        <w:t xml:space="preserve">Costly signalling. Slide 3 says we demoted our own headline feature after a specialist contradicted us. Admitting you were wrong is expensive, which is exactly why it is believed — and juries reward teams that update on evidence far more than teams that were right first time.</w:t>
      </w:r>
    </w:p>
    <w:p>
      <w:pPr>
        <w:pStyle w:val="ListParagraph"/>
        <w:numPr>
          <w:ilvl w:val="0"/>
          <w:numId w:val="2"/>
        </w:numPr>
        <w:spacing w:after="70"/>
      </w:pPr>
      <w:r>
        <w:rPr>
          <w:rFonts w:ascii="Calibri" w:cs="Calibri" w:eastAsia="Calibri" w:hAnsi="Calibri"/>
          <w:color w:val="201E1D"/>
          <w:sz w:val="20"/>
          <w:szCs w:val="20"/>
        </w:rPr>
        <w:t xml:space="preserve">Authority transfer, used twice and never repeated. Dr. Jain appears on slide 3 as the clinical reason the product changed, and on slide 5 as unsolicited market demand. Two different jobs, one name.</w:t>
      </w:r>
    </w:p>
    <w:p>
      <w:pPr>
        <w:pStyle w:val="ListParagraph"/>
        <w:numPr>
          <w:ilvl w:val="0"/>
          <w:numId w:val="2"/>
        </w:numPr>
        <w:spacing w:after="70"/>
      </w:pPr>
      <w:r>
        <w:rPr>
          <w:rFonts w:ascii="Calibri" w:cs="Calibri" w:eastAsia="Calibri" w:hAnsi="Calibri"/>
          <w:color w:val="201E1D"/>
          <w:sz w:val="20"/>
          <w:szCs w:val="20"/>
        </w:rPr>
        <w:t xml:space="preserve">Peak–end. The strongest sensory moment (the live demo) sits in the middle; the strongest emotional moment sits at the very end. People remember the peak and the end, and almost nothing else.</w:t>
      </w:r>
    </w:p>
    <w:p>
      <w:pPr>
        <w:pStyle w:val="ListParagraph"/>
        <w:numPr>
          <w:ilvl w:val="0"/>
          <w:numId w:val="2"/>
        </w:numPr>
        <w:spacing w:after="70"/>
      </w:pPr>
      <w:r>
        <w:rPr>
          <w:rFonts w:ascii="Calibri" w:cs="Calibri" w:eastAsia="Calibri" w:hAnsi="Calibri"/>
          <w:color w:val="201E1D"/>
          <w:sz w:val="20"/>
          <w:szCs w:val="20"/>
        </w:rPr>
        <w:t xml:space="preserve">The trust beat. In the demo, the agent stops before submitting. Volunteering the limitation before a judge can probe it converts your biggest technical risk into your strongest credibility moment.</w:t>
      </w:r>
    </w:p>
    <w:p>
      <w:pPr>
        <w:pStyle w:val="ListParagraph"/>
        <w:numPr>
          <w:ilvl w:val="0"/>
          <w:numId w:val="2"/>
        </w:numPr>
        <w:spacing w:after="70"/>
      </w:pPr>
      <w:r>
        <w:rPr>
          <w:rFonts w:ascii="Calibri" w:cs="Calibri" w:eastAsia="Calibri" w:hAnsi="Calibri"/>
          <w:color w:val="201E1D"/>
          <w:sz w:val="20"/>
          <w:szCs w:val="20"/>
        </w:rPr>
        <w:t xml:space="preserve">Concrete unit economics. "₹25 per active user per month" ends the feasibility conversation in a way "low cost and scalable" never does. Break-even expressed as four campuses is a number a judge can hold in their head.</w:t>
      </w:r>
    </w:p>
    <w:p>
      <w:pPr>
        <w:pStyle w:val="ListParagraph"/>
        <w:numPr>
          <w:ilvl w:val="0"/>
          <w:numId w:val="2"/>
        </w:numPr>
        <w:spacing w:after="70"/>
      </w:pPr>
      <w:r>
        <w:rPr>
          <w:rFonts w:ascii="Calibri" w:cs="Calibri" w:eastAsia="Calibri" w:hAnsi="Calibri"/>
          <w:color w:val="201E1D"/>
          <w:sz w:val="20"/>
          <w:szCs w:val="20"/>
        </w:rPr>
        <w:t xml:space="preserve">Reframe at the close. "The interface was the disability. Not the person." reframes the whole category in nine words, and it is the last thing said before the ask.</w:t>
      </w:r>
    </w:p>
    <w:p>
      <w:pPr>
        <w:pStyle w:val="Heading2"/>
        <w:spacing w:after="120" w:before="300"/>
      </w:pPr>
      <w:r>
        <w:rPr>
          <w:rFonts w:ascii="Calibri" w:cs="Calibri" w:eastAsia="Calibri" w:hAnsi="Calibri"/>
          <w:b/>
          <w:bCs/>
          <w:color w:val="0088B0"/>
          <w:spacing w:val="14"/>
          <w:sz w:val="21"/>
          <w:szCs w:val="21"/>
        </w:rPr>
        <w:t xml:space="preserve">Three things to avoid on the day</w:t>
      </w:r>
    </w:p>
    <w:p>
      <w:pPr>
        <w:pStyle w:val="ListParagraph"/>
        <w:numPr>
          <w:ilvl w:val="0"/>
          <w:numId w:val="2"/>
        </w:numPr>
        <w:spacing w:after="70"/>
      </w:pPr>
      <w:r>
        <w:rPr>
          <w:rFonts w:ascii="Calibri" w:cs="Calibri" w:eastAsia="Calibri" w:hAnsi="Calibri"/>
          <w:color w:val="201E1D"/>
          <w:sz w:val="20"/>
          <w:szCs w:val="20"/>
        </w:rPr>
        <w:t xml:space="preserve">Do not read the slides. Every number on screen is there so you do not have to say it twice.</w:t>
      </w:r>
    </w:p>
    <w:p>
      <w:pPr>
        <w:pStyle w:val="ListParagraph"/>
        <w:numPr>
          <w:ilvl w:val="0"/>
          <w:numId w:val="2"/>
        </w:numPr>
        <w:spacing w:after="70"/>
      </w:pPr>
      <w:r>
        <w:rPr>
          <w:rFonts w:ascii="Calibri" w:cs="Calibri" w:eastAsia="Calibri" w:hAnsi="Calibri"/>
          <w:color w:val="201E1D"/>
          <w:sz w:val="20"/>
          <w:szCs w:val="20"/>
        </w:rPr>
        <w:t xml:space="preserve">Do not apologise for anything — not the free-tier latency, not the prototype status, not the team's experience. State constraints as design decisions, because that is what they are.</w:t>
      </w:r>
    </w:p>
    <w:p>
      <w:pPr>
        <w:pStyle w:val="ListParagraph"/>
        <w:numPr>
          <w:ilvl w:val="0"/>
          <w:numId w:val="2"/>
        </w:numPr>
        <w:spacing w:after="70"/>
      </w:pPr>
      <w:r>
        <w:rPr>
          <w:rFonts w:ascii="Calibri" w:cs="Calibri" w:eastAsia="Calibri" w:hAnsi="Calibri"/>
          <w:color w:val="201E1D"/>
          <w:sz w:val="20"/>
          <w:szCs w:val="20"/>
        </w:rPr>
        <w:t xml:space="preserve">Do not run over. If you are behind at 5:20, cut the fifth demo beat, not the business slide and not the ask.</w:t>
      </w:r>
    </w:p>
    <w:p>
      <w:r>
        <w:br w:type="page"/>
      </w:r>
    </w:p>
    <w:p>
      <w:pPr>
        <w:pStyle w:val="Heading1"/>
        <w:spacing w:after="160" w:before="420"/>
      </w:pPr>
      <w:r>
        <w:rPr>
          <w:rFonts w:ascii="Cambria" w:cs="Cambria" w:eastAsia="Cambria" w:hAnsi="Cambria"/>
          <w:b/>
          <w:bCs/>
          <w:color w:val="201E1D"/>
          <w:sz w:val="34"/>
          <w:szCs w:val="34"/>
        </w:rPr>
        <w:t xml:space="preserve">4  ·  Live-demo runbook</w:t>
      </w:r>
    </w:p>
    <w:p>
      <w:pPr>
        <w:spacing w:after="130"/>
      </w:pPr>
      <w:r>
        <w:rPr>
          <w:rFonts w:ascii="Calibri" w:cs="Calibri" w:eastAsia="Calibri" w:hAnsi="Calibri"/>
          <w:color w:val="201E1D"/>
          <w:sz w:val="20"/>
          <w:szCs w:val="20"/>
        </w:rPr>
        <w:t xml:space="preserve">You chose a live demo over a video. That is the higher-scoring choice and the higher-risk one. The risk is almost entirely removable with preparation, and almost entirely fatal without it.</w:t>
      </w:r>
    </w:p>
    <w:p>
      <w:pPr>
        <w:pStyle w:val="Heading2"/>
        <w:spacing w:after="120" w:before="300"/>
      </w:pPr>
      <w:r>
        <w:rPr>
          <w:rFonts w:ascii="Calibri" w:cs="Calibri" w:eastAsia="Calibri" w:hAnsi="Calibri"/>
          <w:b/>
          <w:bCs/>
          <w:color w:val="0088B0"/>
          <w:spacing w:val="14"/>
          <w:sz w:val="21"/>
          <w:szCs w:val="21"/>
        </w:rPr>
        <w:t xml:space="preserve">Pre-flight — the night before</w:t>
      </w:r>
    </w:p>
    <w:p>
      <w:pPr>
        <w:pStyle w:val="ListParagraph"/>
        <w:numPr>
          <w:ilvl w:val="0"/>
          <w:numId w:val="2"/>
        </w:numPr>
        <w:spacing w:after="70"/>
      </w:pPr>
      <w:r>
        <w:rPr>
          <w:rFonts w:ascii="Calibri" w:cs="Calibri" w:eastAsia="Calibri" w:hAnsi="Calibri"/>
          <w:color w:val="201E1D"/>
          <w:sz w:val="20"/>
          <w:szCs w:val="20"/>
        </w:rPr>
        <w:t xml:space="preserve">Record the full three-minute flow anyway. Open it in the last browser tab, muted, ready. You will probably never use it; that is the point.</w:t>
      </w:r>
    </w:p>
    <w:p>
      <w:pPr>
        <w:pStyle w:val="ListParagraph"/>
        <w:numPr>
          <w:ilvl w:val="0"/>
          <w:numId w:val="2"/>
        </w:numPr>
        <w:spacing w:after="70"/>
      </w:pPr>
      <w:r>
        <w:rPr>
          <w:rFonts w:ascii="Calibri" w:cs="Calibri" w:eastAsia="Calibri" w:hAnsi="Calibri"/>
          <w:color w:val="201E1D"/>
          <w:sz w:val="20"/>
          <w:szCs w:val="20"/>
        </w:rPr>
        <w:t xml:space="preserve">Warm the engine. The hosted backend sleeps on its free tier and takes up to a minute to wake. Hit setu-37hl.onrender.com/api/health twenty minutes before you present, and again in the queue.</w:t>
      </w:r>
    </w:p>
    <w:p>
      <w:pPr>
        <w:pStyle w:val="ListParagraph"/>
        <w:numPr>
          <w:ilvl w:val="0"/>
          <w:numId w:val="2"/>
        </w:numPr>
        <w:spacing w:after="70"/>
      </w:pPr>
      <w:r>
        <w:rPr>
          <w:rFonts w:ascii="Calibri" w:cs="Calibri" w:eastAsia="Calibri" w:hAnsi="Calibri"/>
          <w:color w:val="201E1D"/>
          <w:sz w:val="20"/>
          <w:szCs w:val="20"/>
        </w:rPr>
        <w:t xml:space="preserve">Confirm the popup status pill is green — green means an AI provider is live. Amber means no key; pink means the engine is unreachable.</w:t>
      </w:r>
    </w:p>
    <w:p>
      <w:pPr>
        <w:pStyle w:val="ListParagraph"/>
        <w:numPr>
          <w:ilvl w:val="0"/>
          <w:numId w:val="2"/>
        </w:numPr>
        <w:spacing w:after="70"/>
      </w:pPr>
      <w:r>
        <w:rPr>
          <w:rFonts w:ascii="Calibri" w:cs="Calibri" w:eastAsia="Calibri" w:hAnsi="Calibri"/>
          <w:color w:val="201E1D"/>
          <w:sz w:val="20"/>
          <w:szCs w:val="20"/>
        </w:rPr>
        <w:t xml:space="preserve">Pin exactly three tabs: the registration portal, the Sanctuary workspace, and the fallback recording. Close everything else. Close Slack, mail, and notifications entirely.</w:t>
      </w:r>
    </w:p>
    <w:p>
      <w:pPr>
        <w:pStyle w:val="ListParagraph"/>
        <w:numPr>
          <w:ilvl w:val="0"/>
          <w:numId w:val="2"/>
        </w:numPr>
        <w:spacing w:after="70"/>
      </w:pPr>
      <w:r>
        <w:rPr>
          <w:rFonts w:ascii="Calibri" w:cs="Calibri" w:eastAsia="Calibri" w:hAnsi="Calibri"/>
          <w:color w:val="201E1D"/>
          <w:sz w:val="20"/>
          <w:szCs w:val="20"/>
        </w:rPr>
        <w:t xml:space="preserve">Phone on the podium, charged, Expo build already open on the same task, screen mirroring tested on the venue's display.</w:t>
      </w:r>
    </w:p>
    <w:p>
      <w:pPr>
        <w:pStyle w:val="ListParagraph"/>
        <w:numPr>
          <w:ilvl w:val="0"/>
          <w:numId w:val="2"/>
        </w:numPr>
        <w:spacing w:after="70"/>
      </w:pPr>
      <w:r>
        <w:rPr>
          <w:rFonts w:ascii="Calibri" w:cs="Calibri" w:eastAsia="Calibri" w:hAnsi="Calibri"/>
          <w:color w:val="201E1D"/>
          <w:sz w:val="20"/>
          <w:szCs w:val="20"/>
        </w:rPr>
        <w:t xml:space="preserve">Set browser zoom to 125% and the display to 1920×1080. Jury members sitting eight metres back cannot read your default font size.</w:t>
      </w:r>
    </w:p>
    <w:p>
      <w:pPr>
        <w:pStyle w:val="ListParagraph"/>
        <w:numPr>
          <w:ilvl w:val="0"/>
          <w:numId w:val="2"/>
        </w:numPr>
        <w:spacing w:after="70"/>
      </w:pPr>
      <w:r>
        <w:rPr>
          <w:rFonts w:ascii="Calibri" w:cs="Calibri" w:eastAsia="Calibri" w:hAnsi="Calibri"/>
          <w:color w:val="201E1D"/>
          <w:sz w:val="20"/>
          <w:szCs w:val="20"/>
        </w:rPr>
        <w:t xml:space="preserve">Run backend smoke tests once (npm run smoke, 32 checks). If any fail, you know before the room does.</w:t>
      </w:r>
    </w:p>
    <w:p>
      <w:pPr>
        <w:pStyle w:val="Heading2"/>
        <w:spacing w:after="120" w:before="300"/>
      </w:pPr>
      <w:r>
        <w:rPr>
          <w:rFonts w:ascii="Calibri" w:cs="Calibri" w:eastAsia="Calibri" w:hAnsi="Calibri"/>
          <w:b/>
          <w:bCs/>
          <w:color w:val="0088B0"/>
          <w:spacing w:val="14"/>
          <w:sz w:val="21"/>
          <w:szCs w:val="21"/>
        </w:rPr>
        <w:t xml:space="preserve">Pre-flight — five minutes before</w:t>
      </w:r>
    </w:p>
    <w:p>
      <w:pPr>
        <w:pStyle w:val="ListParagraph"/>
        <w:numPr>
          <w:ilvl w:val="0"/>
          <w:numId w:val="2"/>
        </w:numPr>
        <w:spacing w:after="70"/>
      </w:pPr>
      <w:r>
        <w:rPr>
          <w:rFonts w:ascii="Calibri" w:cs="Calibri" w:eastAsia="Calibri" w:hAnsi="Calibri"/>
          <w:color w:val="201E1D"/>
          <w:sz w:val="20"/>
          <w:szCs w:val="20"/>
        </w:rPr>
        <w:t xml:space="preserve">Mobile hotspot on and tested as a fallback to venue Wi-Fi.</w:t>
      </w:r>
    </w:p>
    <w:p>
      <w:pPr>
        <w:pStyle w:val="ListParagraph"/>
        <w:numPr>
          <w:ilvl w:val="0"/>
          <w:numId w:val="2"/>
        </w:numPr>
        <w:spacing w:after="70"/>
      </w:pPr>
      <w:r>
        <w:rPr>
          <w:rFonts w:ascii="Calibri" w:cs="Calibri" w:eastAsia="Calibri" w:hAnsi="Calibri"/>
          <w:color w:val="201E1D"/>
          <w:sz w:val="20"/>
          <w:szCs w:val="20"/>
        </w:rPr>
        <w:t xml:space="preserve">Every SETU feature off (Alt+X) so beat 2 starts from a clean page.</w:t>
      </w:r>
    </w:p>
    <w:p>
      <w:pPr>
        <w:pStyle w:val="ListParagraph"/>
        <w:numPr>
          <w:ilvl w:val="0"/>
          <w:numId w:val="2"/>
        </w:numPr>
        <w:spacing w:after="70"/>
      </w:pPr>
      <w:r>
        <w:rPr>
          <w:rFonts w:ascii="Calibri" w:cs="Calibri" w:eastAsia="Calibri" w:hAnsi="Calibri"/>
          <w:color w:val="201E1D"/>
          <w:sz w:val="20"/>
          <w:szCs w:val="20"/>
        </w:rPr>
        <w:t xml:space="preserve">Laptop plugged in. Sleep and screensaver disabled. Do-not-disturb on.</w:t>
      </w:r>
    </w:p>
    <w:p>
      <w:pPr>
        <w:pStyle w:val="Heading2"/>
        <w:spacing w:after="120" w:before="300"/>
      </w:pPr>
      <w:r>
        <w:rPr>
          <w:rFonts w:ascii="Calibri" w:cs="Calibri" w:eastAsia="Calibri" w:hAnsi="Calibri"/>
          <w:b/>
          <w:bCs/>
          <w:color w:val="0088B0"/>
          <w:spacing w:val="14"/>
          <w:sz w:val="21"/>
          <w:szCs w:val="21"/>
        </w:rPr>
        <w:t xml:space="preserve">If something breaks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200"/>
      </w:tblGrid>
      <w:tr>
        <w:tc>
          <w:tcPr>
            <w:tcW w:type="dxa" w:w="21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What fails</w:t>
            </w:r>
          </w:p>
        </w:tc>
        <w:tc>
          <w:tcPr>
            <w:tcW w:type="dxa" w:w="34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What you say</w:t>
            </w:r>
          </w:p>
        </w:tc>
        <w:tc>
          <w:tcPr>
            <w:tcW w:type="dxa" w:w="32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What you do</w:t>
            </w:r>
          </w:p>
        </w:tc>
      </w:tr>
      <w:tr>
        <w:tc>
          <w:tcPr>
            <w:tcW w:type="dxa" w:w="2100"/>
            <w:tcMar>
              <w:top w:type="dxa" w:w="90"/>
              <w:left w:type="dxa" w:w="120"/>
              <w:bottom w:type="dxa" w:w="90"/>
              <w:right w:type="dxa" w:w="120"/>
            </w:tcMar>
          </w:tcPr>
          <w:p>
            <w:r>
              <w:rPr>
                <w:rFonts w:ascii="Calibri" w:cs="Calibri" w:eastAsia="Calibri" w:hAnsi="Calibri"/>
                <w:b w:val="false"/>
                <w:bCs w:val="false"/>
                <w:color w:val="201E1D"/>
                <w:sz w:val="18"/>
                <w:szCs w:val="18"/>
              </w:rPr>
              <w:t xml:space="preserve">Engine unreachable</w:t>
            </w:r>
          </w:p>
        </w:tc>
        <w:tc>
          <w:tcPr>
            <w:tcW w:type="dxa" w:w="3400"/>
            <w:tcMar>
              <w:top w:type="dxa" w:w="90"/>
              <w:left w:type="dxa" w:w="120"/>
              <w:bottom w:type="dxa" w:w="90"/>
              <w:right w:type="dxa" w:w="120"/>
            </w:tcMar>
          </w:tcPr>
          <w:p>
            <w:r>
              <w:rPr>
                <w:rFonts w:ascii="Calibri" w:cs="Calibri" w:eastAsia="Calibri" w:hAnsi="Calibri"/>
                <w:b w:val="false"/>
                <w:bCs w:val="false"/>
                <w:color w:val="201E1D"/>
                <w:sz w:val="18"/>
                <w:szCs w:val="18"/>
              </w:rPr>
              <w:t xml:space="preserve">"That is the free tier asleep — which is why the local tools do not depend on it."</w:t>
            </w:r>
          </w:p>
        </w:tc>
        <w:tc>
          <w:tcPr>
            <w:tcW w:type="dxa" w:w="3200"/>
            <w:tcMar>
              <w:top w:type="dxa" w:w="90"/>
              <w:left w:type="dxa" w:w="120"/>
              <w:bottom w:type="dxa" w:w="90"/>
              <w:right w:type="dxa" w:w="120"/>
            </w:tcMar>
          </w:tcPr>
          <w:p>
            <w:r>
              <w:rPr>
                <w:rFonts w:ascii="Calibri" w:cs="Calibri" w:eastAsia="Calibri" w:hAnsi="Calibri"/>
                <w:b w:val="false"/>
                <w:bCs w:val="false"/>
                <w:color w:val="201E1D"/>
                <w:sz w:val="18"/>
                <w:szCs w:val="18"/>
              </w:rPr>
              <w:t xml:space="preserve">Press Alt+F. Focus Mode is fully local and makes the same point.</w:t>
            </w:r>
          </w:p>
        </w:tc>
      </w:tr>
      <w:tr>
        <w:tc>
          <w:tcPr>
            <w:tcW w:type="dxa" w:w="2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AI chunking slow</w:t>
            </w:r>
          </w:p>
        </w:tc>
        <w:tc>
          <w:tcPr>
            <w:tcW w:type="dxa" w:w="3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"It has already drawn the steps off the page — the model is just improving them."</w:t>
            </w:r>
          </w:p>
        </w:tc>
        <w:tc>
          <w:tcPr>
            <w:tcW w:type="dxa" w:w="32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Keep talking over it. The local render is already on screen.</w:t>
            </w:r>
          </w:p>
        </w:tc>
      </w:tr>
      <w:tr>
        <w:tc>
          <w:tcPr>
            <w:tcW w:type="dxa" w:w="2100"/>
            <w:tcMar>
              <w:top w:type="dxa" w:w="90"/>
              <w:left w:type="dxa" w:w="120"/>
              <w:bottom w:type="dxa" w:w="90"/>
              <w:right w:type="dxa" w:w="120"/>
            </w:tcMar>
          </w:tcPr>
          <w:p>
            <w:r>
              <w:rPr>
                <w:rFonts w:ascii="Calibri" w:cs="Calibri" w:eastAsia="Calibri" w:hAnsi="Calibri"/>
                <w:b w:val="false"/>
                <w:bCs w:val="false"/>
                <w:color w:val="201E1D"/>
                <w:sz w:val="18"/>
                <w:szCs w:val="18"/>
              </w:rPr>
              <w:t xml:space="preserve">Sarvam voice fails</w:t>
            </w:r>
          </w:p>
        </w:tc>
        <w:tc>
          <w:tcPr>
            <w:tcW w:type="dxa" w:w="3400"/>
            <w:tcMar>
              <w:top w:type="dxa" w:w="90"/>
              <w:left w:type="dxa" w:w="120"/>
              <w:bottom w:type="dxa" w:w="90"/>
              <w:right w:type="dxa" w:w="120"/>
            </w:tcMar>
          </w:tcPr>
          <w:p>
            <w:r>
              <w:rPr>
                <w:rFonts w:ascii="Calibri" w:cs="Calibri" w:eastAsia="Calibri" w:hAnsi="Calibri"/>
                <w:b w:val="false"/>
                <w:bCs w:val="false"/>
                <w:color w:val="201E1D"/>
                <w:sz w:val="18"/>
                <w:szCs w:val="18"/>
              </w:rPr>
              <w:t xml:space="preserve">"And there is the fallback — the user never hears silence."</w:t>
            </w:r>
          </w:p>
        </w:tc>
        <w:tc>
          <w:tcPr>
            <w:tcW w:type="dxa" w:w="3200"/>
            <w:tcMar>
              <w:top w:type="dxa" w:w="90"/>
              <w:left w:type="dxa" w:w="120"/>
              <w:bottom w:type="dxa" w:w="90"/>
              <w:right w:type="dxa" w:w="120"/>
            </w:tcMar>
          </w:tcPr>
          <w:p>
            <w:r>
              <w:rPr>
                <w:rFonts w:ascii="Calibri" w:cs="Calibri" w:eastAsia="Calibri" w:hAnsi="Calibri"/>
                <w:b w:val="false"/>
                <w:bCs w:val="false"/>
                <w:color w:val="201E1D"/>
                <w:sz w:val="18"/>
                <w:szCs w:val="18"/>
              </w:rPr>
              <w:t xml:space="preserve">Nothing. The browser voice takes over automatically.</w:t>
            </w:r>
          </w:p>
        </w:tc>
      </w:tr>
      <w:tr>
        <w:tc>
          <w:tcPr>
            <w:tcW w:type="dxa" w:w="2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Agent misfires on the form</w:t>
            </w:r>
          </w:p>
        </w:tc>
        <w:tc>
          <w:tcPr>
            <w:tcW w:type="dxa" w:w="3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"It will not act on a control the page did not report. That is the safety rule."</w:t>
            </w:r>
          </w:p>
        </w:tc>
        <w:tc>
          <w:tcPr>
            <w:tcW w:type="dxa" w:w="32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Move to beat 4. Do not retry.</w:t>
            </w:r>
          </w:p>
        </w:tc>
      </w:tr>
      <w:tr>
        <w:tc>
          <w:tcPr>
            <w:tcW w:type="dxa" w:w="2100"/>
            <w:tcMar>
              <w:top w:type="dxa" w:w="90"/>
              <w:left w:type="dxa" w:w="120"/>
              <w:bottom w:type="dxa" w:w="90"/>
              <w:right w:type="dxa" w:w="120"/>
            </w:tcMar>
          </w:tcPr>
          <w:p>
            <w:r>
              <w:rPr>
                <w:rFonts w:ascii="Calibri" w:cs="Calibri" w:eastAsia="Calibri" w:hAnsi="Calibri"/>
                <w:b w:val="false"/>
                <w:bCs w:val="false"/>
                <w:color w:val="201E1D"/>
                <w:sz w:val="18"/>
                <w:szCs w:val="18"/>
              </w:rPr>
              <w:t xml:space="preserve">Phone will not mirror</w:t>
            </w:r>
          </w:p>
        </w:tc>
        <w:tc>
          <w:tcPr>
            <w:tcW w:type="dxa" w:w="3400"/>
            <w:tcMar>
              <w:top w:type="dxa" w:w="90"/>
              <w:left w:type="dxa" w:w="120"/>
              <w:bottom w:type="dxa" w:w="90"/>
              <w:right w:type="dxa" w:w="120"/>
            </w:tcMar>
          </w:tcPr>
          <w:p>
            <w:r>
              <w:rPr>
                <w:rFonts w:ascii="Calibri" w:cs="Calibri" w:eastAsia="Calibri" w:hAnsi="Calibri"/>
                <w:b w:val="false"/>
                <w:bCs w:val="false"/>
                <w:color w:val="201E1D"/>
                <w:sz w:val="18"/>
                <w:szCs w:val="18"/>
              </w:rPr>
              <w:t xml:space="preserve">"Take my word for the handoff — or catch me afterwards."</w:t>
            </w:r>
          </w:p>
        </w:tc>
        <w:tc>
          <w:tcPr>
            <w:tcW w:type="dxa" w:w="3200"/>
            <w:tcMar>
              <w:top w:type="dxa" w:w="90"/>
              <w:left w:type="dxa" w:w="120"/>
              <w:bottom w:type="dxa" w:w="90"/>
              <w:right w:type="dxa" w:w="120"/>
            </w:tcMar>
          </w:tcPr>
          <w:p>
            <w:r>
              <w:rPr>
                <w:rFonts w:ascii="Calibri" w:cs="Calibri" w:eastAsia="Calibri" w:hAnsi="Calibri"/>
                <w:b w:val="false"/>
                <w:bCs w:val="false"/>
                <w:color w:val="201E1D"/>
                <w:sz w:val="18"/>
                <w:szCs w:val="18"/>
              </w:rPr>
              <w:t xml:space="preserve">Skip beat 5. Go to slide 5 early.</w:t>
            </w:r>
          </w:p>
        </w:tc>
      </w:tr>
      <w:tr>
        <w:tc>
          <w:tcPr>
            <w:tcW w:type="dxa" w:w="2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Total network loss</w:t>
            </w:r>
          </w:p>
        </w:tc>
        <w:tc>
          <w:tcPr>
            <w:tcW w:type="dxa" w:w="34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"Everything you are about to see runs offline anyway."</w:t>
            </w:r>
          </w:p>
        </w:tc>
        <w:tc>
          <w:tcPr>
            <w:tcW w:type="dxa" w:w="32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Beats 1, 2 and 5 still work. Skip 3 and 4.</w:t>
            </w:r>
          </w:p>
        </w:tc>
      </w:tr>
    </w:tbl>
    <w:p>
      <w:pPr>
        <w:spacing w:after="200"/>
      </w:pPr>
    </w:p>
    <w:p>
      <w:pPr>
        <w:spacing w:after="150"/>
        <w:ind w:left="431"/>
      </w:pPr>
      <w:r>
        <w:rPr>
          <w:rFonts w:ascii="Calibri" w:cs="Calibri" w:eastAsia="Calibri" w:hAnsi="Calibri"/>
          <w:i/>
          <w:iCs/>
          <w:color w:val="5E5956"/>
          <w:sz w:val="18"/>
          <w:szCs w:val="18"/>
        </w:rPr>
        <w:t xml:space="preserve">Notice that four of those six failures are answered by an architectural decision you already made. That is not luck — it is the point of building local-first with a deterministic fallback, and it is worth saying so out loud if it happens.</w:t>
      </w:r>
    </w:p>
    <w:p>
      <w:r>
        <w:br w:type="page"/>
      </w:r>
    </w:p>
    <w:p>
      <w:pPr>
        <w:pStyle w:val="Heading1"/>
        <w:spacing w:after="160" w:before="420"/>
      </w:pPr>
      <w:r>
        <w:rPr>
          <w:rFonts w:ascii="Cambria" w:cs="Cambria" w:eastAsia="Cambria" w:hAnsi="Cambria"/>
          <w:b/>
          <w:bCs/>
          <w:color w:val="201E1D"/>
          <w:sz w:val="34"/>
          <w:szCs w:val="34"/>
        </w:rPr>
        <w:t xml:space="preserve">5  ·  Jury defence pack</w:t>
      </w:r>
    </w:p>
    <w:p>
      <w:pPr>
        <w:spacing w:after="130"/>
      </w:pPr>
      <w:r>
        <w:rPr>
          <w:rFonts w:ascii="Calibri" w:cs="Calibri" w:eastAsia="Calibri" w:hAnsi="Calibri"/>
          <w:color w:val="201E1D"/>
          <w:sz w:val="20"/>
          <w:szCs w:val="20"/>
        </w:rPr>
        <w:t xml:space="preserve">Eight minutes of Q&amp;A is longer than the presentation. It is where the finale is actually decided. Answer in three sentences, then stop — a short confident answer scores higher than a complete one.</w:t>
      </w:r>
    </w:p>
    <w:p>
      <w:pPr>
        <w:pStyle w:val="Heading2"/>
        <w:spacing w:after="120" w:before="300"/>
      </w:pPr>
      <w:r>
        <w:rPr>
          <w:rFonts w:ascii="Calibri" w:cs="Calibri" w:eastAsia="Calibri" w:hAnsi="Calibri"/>
          <w:b/>
          <w:bCs/>
          <w:color w:val="0088B0"/>
          <w:spacing w:val="14"/>
          <w:sz w:val="21"/>
          <w:szCs w:val="21"/>
        </w:rPr>
        <w:t xml:space="preserve">Business model</w:t>
      </w:r>
    </w:p>
    <w:p>
      <w:pPr>
        <w:spacing w:after="60" w:before="170"/>
      </w:pPr>
      <w:r>
        <w:rPr>
          <w:rFonts w:ascii="Calibri" w:cs="Calibri" w:eastAsia="Calibri" w:hAnsi="Calibri"/>
          <w:b/>
          <w:bCs/>
          <w:color w:val="201E1D"/>
          <w:sz w:val="20"/>
          <w:szCs w:val="20"/>
        </w:rPr>
        <w:t xml:space="preserve">Who actually pays?</w:t>
      </w:r>
    </w:p>
    <w:p>
      <w:pPr>
        <w:spacing w:after="60"/>
      </w:pPr>
      <w:r>
        <w:rPr>
          <w:rFonts w:ascii="Calibri" w:cs="Calibri" w:eastAsia="Calibri" w:hAnsi="Calibri"/>
          <w:color w:val="5E5956"/>
          <w:sz w:val="20"/>
          <w:szCs w:val="20"/>
        </w:rPr>
        <w:t xml:space="preserve">Universities and employers, not the students. A university buys campus-wide at ₹99 per student per year; an employer buys per seat at ₹499 out of an accessibility or DEI budget. Individuals get the local tools free forever, because those cost us nothing to serve.</w:t>
      </w:r>
    </w:p>
    <w:p>
      <w:pPr>
        <w:spacing w:after="60" w:before="170"/>
      </w:pPr>
      <w:r>
        <w:rPr>
          <w:rFonts w:ascii="Calibri" w:cs="Calibri" w:eastAsia="Calibri" w:hAnsi="Calibri"/>
          <w:b/>
          <w:bCs/>
          <w:color w:val="201E1D"/>
          <w:sz w:val="20"/>
          <w:szCs w:val="20"/>
        </w:rPr>
        <w:t xml:space="preserve">Why price campus-wide instead of per seat?</w:t>
      </w:r>
    </w:p>
    <w:p>
      <w:pPr>
        <w:spacing w:after="60"/>
      </w:pPr>
      <w:r>
        <w:rPr>
          <w:rFonts w:ascii="Calibri" w:cs="Calibri" w:eastAsia="Calibri" w:hAnsi="Calibri"/>
          <w:color w:val="5E5956"/>
          <w:sz w:val="20"/>
          <w:szCs w:val="20"/>
        </w:rPr>
        <w:t xml:space="preserve">Because the customer cannot identify the users. Indian higher education registers 0.1% of its students as disabled against an 8% prevalence — a per-seat licence would only cover the students who were already being supported, which is the group that needs us least. Campus-wide is the only model that reaches the other 98.5%.</w:t>
      </w:r>
    </w:p>
    <w:p>
      <w:pPr>
        <w:spacing w:after="60" w:before="170"/>
      </w:pPr>
      <w:r>
        <w:rPr>
          <w:rFonts w:ascii="Calibri" w:cs="Calibri" w:eastAsia="Calibri" w:hAnsi="Calibri"/>
          <w:b/>
          <w:bCs/>
          <w:color w:val="201E1D"/>
          <w:sz w:val="20"/>
          <w:szCs w:val="20"/>
        </w:rPr>
        <w:t xml:space="preserve">How did you arrive at ₹99?</w:t>
      </w:r>
    </w:p>
    <w:p>
      <w:pPr>
        <w:spacing w:after="60"/>
      </w:pPr>
      <w:r>
        <w:rPr>
          <w:rFonts w:ascii="Calibri" w:cs="Calibri" w:eastAsia="Calibri" w:hAnsi="Calibri"/>
          <w:color w:val="5E5956"/>
          <w:sz w:val="20"/>
          <w:szCs w:val="20"/>
        </w:rPr>
        <w:t xml:space="preserve">Bottom-up from cost. An active user costs ₹25 a month, activation in comparable campus tools runs around 10–12%, so a 5,000-student campus costs roughly ₹2.2 lakh a year to serve and prices at ₹4.95 lakh. That is a 56% gross margin at pilot scale, rising as fixed hosting amortises across campuses.</w:t>
      </w:r>
    </w:p>
    <w:p>
      <w:pPr>
        <w:spacing w:after="60" w:before="170"/>
      </w:pPr>
      <w:r>
        <w:rPr>
          <w:rFonts w:ascii="Calibri" w:cs="Calibri" w:eastAsia="Calibri" w:hAnsi="Calibri"/>
          <w:b/>
          <w:bCs/>
          <w:color w:val="201E1D"/>
          <w:sz w:val="20"/>
          <w:szCs w:val="20"/>
        </w:rPr>
        <w:t xml:space="preserve">What is your route to market? Selling into a university is slow.</w:t>
      </w:r>
    </w:p>
    <w:p>
      <w:pPr>
        <w:spacing w:after="60"/>
      </w:pPr>
      <w:r>
        <w:rPr>
          <w:rFonts w:ascii="Calibri" w:cs="Calibri" w:eastAsia="Calibri" w:hAnsi="Calibri"/>
          <w:color w:val="5E5956"/>
          <w:sz w:val="20"/>
          <w:szCs w:val="20"/>
        </w:rPr>
        <w:t xml:space="preserve">It is, which is why we start with the disability-support office rather than procurement. They have a mandate under the RPwD Act, a budget line, and a queue of students they cannot individually support. One office signing a semester pilot is a far shorter cycle than a central IT purchase, and the pilot is the reference that unlocks the second campus.</w:t>
      </w:r>
    </w:p>
    <w:p>
      <w:pPr>
        <w:spacing w:after="60" w:before="170"/>
      </w:pPr>
      <w:r>
        <w:rPr>
          <w:rFonts w:ascii="Calibri" w:cs="Calibri" w:eastAsia="Calibri" w:hAnsi="Calibri"/>
          <w:b/>
          <w:bCs/>
          <w:color w:val="201E1D"/>
          <w:sz w:val="20"/>
          <w:szCs w:val="20"/>
        </w:rPr>
        <w:t xml:space="preserve">What happens when Google or Microsoft ships this?</w:t>
      </w:r>
    </w:p>
    <w:p>
      <w:pPr>
        <w:spacing w:after="60"/>
      </w:pPr>
      <w:r>
        <w:rPr>
          <w:rFonts w:ascii="Calibri" w:cs="Calibri" w:eastAsia="Calibri" w:hAnsi="Calibri"/>
          <w:color w:val="5E5956"/>
          <w:sz w:val="20"/>
          <w:szCs w:val="20"/>
        </w:rPr>
        <w:t xml:space="preserve">They ship reading. Immersive Reader has existed for years and 95.9% of the web is still failing. What they have not built is the layer after reading — chunking the task, acting on the page with confirmation, and carrying context across devices. And they will not build it for eleven Indian languages with a dyscalculia mode, because that market is not big enough for them and is exactly big enough for us.</w:t>
      </w:r>
    </w:p>
    <w:p>
      <w:pPr>
        <w:spacing w:after="60" w:before="170"/>
      </w:pPr>
      <w:r>
        <w:rPr>
          <w:rFonts w:ascii="Calibri" w:cs="Calibri" w:eastAsia="Calibri" w:hAnsi="Calibri"/>
          <w:b/>
          <w:bCs/>
          <w:color w:val="201E1D"/>
          <w:sz w:val="20"/>
          <w:szCs w:val="20"/>
        </w:rPr>
        <w:t xml:space="preserve">Why would a university not just buy Texthelp or Speechify?</w:t>
      </w:r>
    </w:p>
    <w:p>
      <w:pPr>
        <w:spacing w:after="60"/>
      </w:pPr>
      <w:r>
        <w:rPr>
          <w:rFonts w:ascii="Calibri" w:cs="Calibri" w:eastAsia="Calibri" w:hAnsi="Calibri"/>
          <w:color w:val="5E5956"/>
          <w:sz w:val="20"/>
          <w:szCs w:val="20"/>
        </w:rPr>
        <w:t xml:space="preserve">Those are reading tools, and a university that has bought one still has students who cannot start the form. We are not competing on text-to-speech; we are the first tool that finishes the task. Several campuses will run both, and that is fine.</w:t>
      </w:r>
    </w:p>
    <w:p>
      <w:pPr>
        <w:spacing w:after="60" w:before="170"/>
      </w:pPr>
      <w:r>
        <w:rPr>
          <w:rFonts w:ascii="Calibri" w:cs="Calibri" w:eastAsia="Calibri" w:hAnsi="Calibri"/>
          <w:b/>
          <w:bCs/>
          <w:color w:val="201E1D"/>
          <w:sz w:val="20"/>
          <w:szCs w:val="20"/>
        </w:rPr>
        <w:t xml:space="preserve">Realistically, what is year one?</w:t>
      </w:r>
    </w:p>
    <w:p>
      <w:pPr>
        <w:spacing w:after="60"/>
      </w:pPr>
      <w:r>
        <w:rPr>
          <w:rFonts w:ascii="Calibri" w:cs="Calibri" w:eastAsia="Calibri" w:hAnsi="Calibri"/>
          <w:color w:val="5E5956"/>
          <w:sz w:val="20"/>
          <w:szCs w:val="20"/>
        </w:rPr>
        <w:t xml:space="preserve">Ten campuses and roughly ₹50 lakh, with break-even at four. We would rather present a number we can hit in a semester than a hockey stick we cannot.</w:t>
      </w:r>
    </w:p>
    <w:p>
      <w:pPr>
        <w:pStyle w:val="Heading2"/>
        <w:spacing w:after="120" w:before="300"/>
      </w:pPr>
      <w:r>
        <w:rPr>
          <w:rFonts w:ascii="Calibri" w:cs="Calibri" w:eastAsia="Calibri" w:hAnsi="Calibri"/>
          <w:b/>
          <w:bCs/>
          <w:color w:val="0088B0"/>
          <w:spacing w:val="14"/>
          <w:sz w:val="21"/>
          <w:szCs w:val="21"/>
        </w:rPr>
        <w:t xml:space="preserve">Cost and scale</w:t>
      </w:r>
    </w:p>
    <w:p>
      <w:pPr>
        <w:spacing w:after="60" w:before="170"/>
      </w:pPr>
      <w:r>
        <w:rPr>
          <w:rFonts w:ascii="Calibri" w:cs="Calibri" w:eastAsia="Calibri" w:hAnsi="Calibri"/>
          <w:b/>
          <w:bCs/>
          <w:color w:val="201E1D"/>
          <w:sz w:val="20"/>
          <w:szCs w:val="20"/>
        </w:rPr>
        <w:t xml:space="preserve">What does this cost at a million users?</w:t>
      </w:r>
    </w:p>
    <w:p>
      <w:pPr>
        <w:spacing w:after="60"/>
      </w:pPr>
      <w:r>
        <w:rPr>
          <w:rFonts w:ascii="Calibri" w:cs="Calibri" w:eastAsia="Calibri" w:hAnsi="Calibri"/>
          <w:color w:val="5E5956"/>
          <w:sz w:val="20"/>
          <w:szCs w:val="20"/>
        </w:rPr>
        <w:t xml:space="preserve">Most of a million users cost nothing, because the ten local tools never reach our servers. At 12% monthly-active on AI features, a million licensed users is roughly ₹3.6 crore a year in inference and voice — against ₹9.9 crore of revenue at campus pricing.</w:t>
      </w:r>
    </w:p>
    <w:p>
      <w:pPr>
        <w:spacing w:after="60" w:before="170"/>
      </w:pPr>
      <w:r>
        <w:rPr>
          <w:rFonts w:ascii="Calibri" w:cs="Calibri" w:eastAsia="Calibri" w:hAnsi="Calibri"/>
          <w:b/>
          <w:bCs/>
          <w:color w:val="201E1D"/>
          <w:sz w:val="20"/>
          <w:szCs w:val="20"/>
        </w:rPr>
        <w:t xml:space="preserve">Your voice line is your biggest cost. What if Sarvam raises prices?</w:t>
      </w:r>
    </w:p>
    <w:p>
      <w:pPr>
        <w:spacing w:after="60"/>
      </w:pPr>
      <w:r>
        <w:rPr>
          <w:rFonts w:ascii="Calibri" w:cs="Calibri" w:eastAsia="Calibri" w:hAnsi="Calibri"/>
          <w:color w:val="5E5956"/>
          <w:sz w:val="20"/>
          <w:szCs w:val="20"/>
        </w:rPr>
        <w:t xml:space="preserve">Three answers. Clips are cached on both ends, so a repeated label is synthesised once. The browser's own voice is a working fallback that costs nothing. And TTS is the most competitive market in AI right now — the price risk points down, not up.</w:t>
      </w:r>
    </w:p>
    <w:p>
      <w:pPr>
        <w:spacing w:after="60" w:before="170"/>
      </w:pPr>
      <w:r>
        <w:rPr>
          <w:rFonts w:ascii="Calibri" w:cs="Calibri" w:eastAsia="Calibri" w:hAnsi="Calibri"/>
          <w:b/>
          <w:bCs/>
          <w:color w:val="201E1D"/>
          <w:sz w:val="20"/>
          <w:szCs w:val="20"/>
        </w:rPr>
        <w:t xml:space="preserve">You are running on free model tiers. That is not a business.</w:t>
      </w:r>
    </w:p>
    <w:p>
      <w:pPr>
        <w:spacing w:after="60"/>
      </w:pPr>
      <w:r>
        <w:rPr>
          <w:rFonts w:ascii="Calibri" w:cs="Calibri" w:eastAsia="Calibri" w:hAnsi="Calibri"/>
          <w:color w:val="5E5956"/>
          <w:sz w:val="20"/>
          <w:szCs w:val="20"/>
        </w:rPr>
        <w:t xml:space="preserve">Agreed, and we do not present it as one — we present it as evidence that we have built something that degrades. The free tier is the top of a chain that ends in a deterministic offline engine, so we already know exactly what happens when the free tier disappears: the ₹25 figure on slide 5 is that scenario, fully priced.</w:t>
      </w:r>
    </w:p>
    <w:p>
      <w:pPr>
        <w:spacing w:after="60" w:before="170"/>
      </w:pPr>
      <w:r>
        <w:rPr>
          <w:rFonts w:ascii="Calibri" w:cs="Calibri" w:eastAsia="Calibri" w:hAnsi="Calibri"/>
          <w:b/>
          <w:bCs/>
          <w:color w:val="201E1D"/>
          <w:sz w:val="20"/>
          <w:szCs w:val="20"/>
        </w:rPr>
        <w:t xml:space="preserve">What is your infrastructure spend to date?</w:t>
      </w:r>
    </w:p>
    <w:p>
      <w:pPr>
        <w:spacing w:after="60"/>
      </w:pPr>
      <w:r>
        <w:rPr>
          <w:rFonts w:ascii="Calibri" w:cs="Calibri" w:eastAsia="Calibri" w:hAnsi="Calibri"/>
          <w:color w:val="5E5956"/>
          <w:sz w:val="20"/>
          <w:szCs w:val="20"/>
        </w:rPr>
        <w:t xml:space="preserve">Zero. Render, Vercel, MongoDB Atlas and OpenRouter free tiers, and a fallback engine for when they rate-limit. Five students built four production surfaces for the cost of their time.</w:t>
      </w:r>
    </w:p>
    <w:p>
      <w:pPr>
        <w:pStyle w:val="Heading2"/>
        <w:spacing w:after="120" w:before="300"/>
      </w:pPr>
      <w:r>
        <w:rPr>
          <w:rFonts w:ascii="Calibri" w:cs="Calibri" w:eastAsia="Calibri" w:hAnsi="Calibri"/>
          <w:b/>
          <w:bCs/>
          <w:color w:val="0088B0"/>
          <w:spacing w:val="14"/>
          <w:sz w:val="21"/>
          <w:szCs w:val="21"/>
        </w:rPr>
        <w:t xml:space="preserve">Technology</w:t>
      </w:r>
    </w:p>
    <w:p>
      <w:pPr>
        <w:spacing w:after="60" w:before="170"/>
      </w:pPr>
      <w:r>
        <w:rPr>
          <w:rFonts w:ascii="Calibri" w:cs="Calibri" w:eastAsia="Calibri" w:hAnsi="Calibri"/>
          <w:b/>
          <w:bCs/>
          <w:color w:val="201E1D"/>
          <w:sz w:val="20"/>
          <w:szCs w:val="20"/>
        </w:rPr>
        <w:t xml:space="preserve">What was your hardest technical problem?</w:t>
      </w:r>
    </w:p>
    <w:p>
      <w:pPr>
        <w:spacing w:after="60"/>
      </w:pPr>
      <w:r>
        <w:rPr>
          <w:rFonts w:ascii="Calibri" w:cs="Calibri" w:eastAsia="Calibri" w:hAnsi="Calibri"/>
          <w:color w:val="5E5956"/>
          <w:sz w:val="20"/>
          <w:szCs w:val="20"/>
        </w:rPr>
        <w:t xml:space="preserve">Making AI features usable on rate-limited free models. A tool that shows a spinner and then an error is a tool nobody opens twice — so every AI feature now renders something real off the page in under a second and upgrades in place when the model replies. That constraint made the product better than an unlimited budget would have.</w:t>
      </w:r>
    </w:p>
    <w:p>
      <w:pPr>
        <w:spacing w:after="60" w:before="170"/>
      </w:pPr>
      <w:r>
        <w:rPr>
          <w:rFonts w:ascii="Calibri" w:cs="Calibri" w:eastAsia="Calibri" w:hAnsi="Calibri"/>
          <w:b/>
          <w:bCs/>
          <w:color w:val="201E1D"/>
          <w:sz w:val="20"/>
          <w:szCs w:val="20"/>
        </w:rPr>
        <w:t xml:space="preserve">How does the agent avoid doing something harmful?</w:t>
      </w:r>
    </w:p>
    <w:p>
      <w:pPr>
        <w:spacing w:after="60"/>
      </w:pPr>
      <w:r>
        <w:rPr>
          <w:rFonts w:ascii="Calibri" w:cs="Calibri" w:eastAsia="Calibri" w:hAnsi="Calibri"/>
          <w:color w:val="5E5956"/>
          <w:sz w:val="20"/>
          <w:szCs w:val="20"/>
        </w:rPr>
        <w:t xml:space="preserve">Three hard rules, all asserted in the test suite: no step may target a control the page did not report, any submit step carries a confirmation requirement, and no personal data is ever invented to fill a field. The agent reads the accessibility surface of the page rather than guessing from pixels — the same approach Microsoft ships in Playwright MCP.</w:t>
      </w:r>
    </w:p>
    <w:p>
      <w:pPr>
        <w:spacing w:after="60" w:before="170"/>
      </w:pPr>
      <w:r>
        <w:rPr>
          <w:rFonts w:ascii="Calibri" w:cs="Calibri" w:eastAsia="Calibri" w:hAnsi="Calibri"/>
          <w:b/>
          <w:bCs/>
          <w:color w:val="201E1D"/>
          <w:sz w:val="20"/>
          <w:szCs w:val="20"/>
        </w:rPr>
        <w:t xml:space="preserve">Does this work on JavaScript-heavy sites?</w:t>
      </w:r>
    </w:p>
    <w:p>
      <w:pPr>
        <w:spacing w:after="60"/>
      </w:pPr>
      <w:r>
        <w:rPr>
          <w:rFonts w:ascii="Calibri" w:cs="Calibri" w:eastAsia="Calibri" w:hAnsi="Calibri"/>
          <w:color w:val="5E5956"/>
          <w:sz w:val="20"/>
          <w:szCs w:val="20"/>
        </w:rPr>
        <w:t xml:space="preserve">Yes — we read the rendered DOM as the browser has it, not the source, so dynamically loaded content behaves the same as static content. The extension runs on every http and https page with no per-site configuration.</w:t>
      </w:r>
    </w:p>
    <w:p>
      <w:pPr>
        <w:spacing w:after="60" w:before="170"/>
      </w:pPr>
      <w:r>
        <w:rPr>
          <w:rFonts w:ascii="Calibri" w:cs="Calibri" w:eastAsia="Calibri" w:hAnsi="Calibri"/>
          <w:b/>
          <w:bCs/>
          <w:color w:val="201E1D"/>
          <w:sz w:val="20"/>
          <w:szCs w:val="20"/>
        </w:rPr>
        <w:t xml:space="preserve">What if the page changes while the agent is working?</w:t>
      </w:r>
    </w:p>
    <w:p>
      <w:pPr>
        <w:spacing w:after="60"/>
      </w:pPr>
      <w:r>
        <w:rPr>
          <w:rFonts w:ascii="Calibri" w:cs="Calibri" w:eastAsia="Calibri" w:hAnsi="Calibri"/>
          <w:color w:val="5E5956"/>
          <w:sz w:val="20"/>
          <w:szCs w:val="20"/>
        </w:rPr>
        <w:t xml:space="preserve">The plan is validated against controls the page currently reports; a control that has disappeared fails the step with a specific error code the UI keys its guidance off, rather than clicking something else. We would rather stop and tell the user than act on a stale plan.</w:t>
      </w:r>
    </w:p>
    <w:p>
      <w:pPr>
        <w:spacing w:after="60" w:before="170"/>
      </w:pPr>
      <w:r>
        <w:rPr>
          <w:rFonts w:ascii="Calibri" w:cs="Calibri" w:eastAsia="Calibri" w:hAnsi="Calibri"/>
          <w:b/>
          <w:bCs/>
          <w:color w:val="201E1D"/>
          <w:sz w:val="20"/>
          <w:szCs w:val="20"/>
        </w:rPr>
        <w:t xml:space="preserve">How do you keep the AI from getting things wrong?</w:t>
      </w:r>
    </w:p>
    <w:p>
      <w:pPr>
        <w:spacing w:after="60"/>
      </w:pPr>
      <w:r>
        <w:rPr>
          <w:rFonts w:ascii="Calibri" w:cs="Calibri" w:eastAsia="Calibri" w:hAnsi="Calibri"/>
          <w:color w:val="5E5956"/>
          <w:sz w:val="20"/>
          <w:szCs w:val="20"/>
        </w:rPr>
        <w:t xml:space="preserve">We keep its job narrow and structural. It restructures content that is already on the page into a fixed JSON schema — it is not asked to generate new facts. Everything renders from a schema, so a malformed answer fails visibly instead of quietly producing something plausible and wrong.</w:t>
      </w:r>
    </w:p>
    <w:p>
      <w:pPr>
        <w:spacing w:after="60" w:before="170"/>
      </w:pPr>
      <w:r>
        <w:rPr>
          <w:rFonts w:ascii="Calibri" w:cs="Calibri" w:eastAsia="Calibri" w:hAnsi="Calibri"/>
          <w:b/>
          <w:bCs/>
          <w:color w:val="201E1D"/>
          <w:sz w:val="20"/>
          <w:szCs w:val="20"/>
        </w:rPr>
        <w:t xml:space="preserve">What is the latency?</w:t>
      </w:r>
    </w:p>
    <w:p>
      <w:pPr>
        <w:spacing w:after="60"/>
      </w:pPr>
      <w:r>
        <w:rPr>
          <w:rFonts w:ascii="Calibri" w:cs="Calibri" w:eastAsia="Calibri" w:hAnsi="Calibri"/>
          <w:color w:val="5E5956"/>
          <w:sz w:val="20"/>
          <w:szCs w:val="20"/>
        </w:rPr>
        <w:t xml:space="preserve">Local tools are instant. The three-step path and the visual map render from the page in under a second and upgrade when the model replies, typically two to four seconds. Read-aloud is pipelined by sentence, so the first sentence starts in about a second rather than after the whole passage synthesises.</w:t>
      </w:r>
    </w:p>
    <w:p>
      <w:pPr>
        <w:pStyle w:val="Heading2"/>
        <w:spacing w:after="120" w:before="300"/>
      </w:pPr>
      <w:r>
        <w:rPr>
          <w:rFonts w:ascii="Calibri" w:cs="Calibri" w:eastAsia="Calibri" w:hAnsi="Calibri"/>
          <w:b/>
          <w:bCs/>
          <w:color w:val="0088B0"/>
          <w:spacing w:val="14"/>
          <w:sz w:val="21"/>
          <w:szCs w:val="21"/>
        </w:rPr>
        <w:t xml:space="preserve">Clinical grounding and ethics</w:t>
      </w:r>
    </w:p>
    <w:p>
      <w:pPr>
        <w:spacing w:after="60" w:before="170"/>
      </w:pPr>
      <w:r>
        <w:rPr>
          <w:rFonts w:ascii="Calibri" w:cs="Calibri" w:eastAsia="Calibri" w:hAnsi="Calibri"/>
          <w:b/>
          <w:bCs/>
          <w:color w:val="201E1D"/>
          <w:sz w:val="20"/>
          <w:szCs w:val="20"/>
        </w:rPr>
        <w:t xml:space="preserve">What evidence do you have that this helps?</w:t>
      </w:r>
    </w:p>
    <w:p>
      <w:pPr>
        <w:spacing w:after="60"/>
      </w:pPr>
      <w:r>
        <w:rPr>
          <w:rFonts w:ascii="Calibri" w:cs="Calibri" w:eastAsia="Calibri" w:hAnsi="Calibri"/>
          <w:color w:val="5E5956"/>
          <w:sz w:val="20"/>
          <w:szCs w:val="20"/>
        </w:rPr>
        <w:t xml:space="preserve">Two kinds. Structured task breakdown and single-step presentation are established practice in executive-function coaching and special education — we did not invent the intervention, we automated it. And we ran the product past a clinician on 17 August, which changed the build substantially. What we do not yet have is outcome data, which is precisely what the campus pilot is for.</w:t>
      </w:r>
    </w:p>
    <w:p>
      <w:pPr>
        <w:spacing w:after="60" w:before="170"/>
      </w:pPr>
      <w:r>
        <w:rPr>
          <w:rFonts w:ascii="Calibri" w:cs="Calibri" w:eastAsia="Calibri" w:hAnsi="Calibri"/>
          <w:b/>
          <w:bCs/>
          <w:color w:val="201E1D"/>
          <w:sz w:val="20"/>
          <w:szCs w:val="20"/>
        </w:rPr>
        <w:t xml:space="preserve">What did the clinical review actually change?</w:t>
      </w:r>
    </w:p>
    <w:p>
      <w:pPr>
        <w:spacing w:after="60"/>
      </w:pPr>
      <w:r>
        <w:rPr>
          <w:rFonts w:ascii="Calibri" w:cs="Calibri" w:eastAsia="Calibri" w:hAnsi="Calibri"/>
          <w:color w:val="5E5956"/>
          <w:sz w:val="20"/>
          <w:szCs w:val="20"/>
        </w:rPr>
        <w:t xml:space="preserve">More than we expected. Dyslexia was split into three conditions in onboarding, with a new Numbers mode for dyscalculia that renders countable objects inside a story. Bionic reading was demoted to an honestly labelled comfort option. Mind map branches now speak on hover and on keyboard focus, and a picture mode strips the prose entirely. A reward system replaced text reports for ADHD. A parking lot was added for impaired working memory. And a reflective listener was added because roughly 40% of this population also experiences anxiety or depression.</w:t>
      </w:r>
    </w:p>
    <w:p>
      <w:pPr>
        <w:spacing w:after="60" w:before="170"/>
      </w:pPr>
      <w:r>
        <w:rPr>
          <w:rFonts w:ascii="Calibri" w:cs="Calibri" w:eastAsia="Calibri" w:hAnsi="Calibri"/>
          <w:b/>
          <w:bCs/>
          <w:color w:val="201E1D"/>
          <w:sz w:val="20"/>
          <w:szCs w:val="20"/>
        </w:rPr>
        <w:t xml:space="preserve">Are you diagnosing people?</w:t>
      </w:r>
    </w:p>
    <w:p>
      <w:pPr>
        <w:spacing w:after="60"/>
      </w:pPr>
      <w:r>
        <w:rPr>
          <w:rFonts w:ascii="Calibri" w:cs="Calibri" w:eastAsia="Calibri" w:hAnsi="Calibri"/>
          <w:color w:val="5E5956"/>
          <w:sz w:val="20"/>
          <w:szCs w:val="20"/>
        </w:rPr>
        <w:t xml:space="preserve">No, and we are careful about it. Onboarding asks what tends to get in your way, not what you have been diagnosed with, and the answer is a preference profile, not a medical record. Nothing in the product asserts a condition.</w:t>
      </w:r>
    </w:p>
    <w:p>
      <w:pPr>
        <w:spacing w:after="60" w:before="170"/>
      </w:pPr>
      <w:r>
        <w:rPr>
          <w:rFonts w:ascii="Calibri" w:cs="Calibri" w:eastAsia="Calibri" w:hAnsi="Calibri"/>
          <w:b/>
          <w:bCs/>
          <w:color w:val="201E1D"/>
          <w:sz w:val="20"/>
          <w:szCs w:val="20"/>
        </w:rPr>
        <w:t xml:space="preserve">What do you store, and where?</w:t>
      </w:r>
    </w:p>
    <w:p>
      <w:pPr>
        <w:spacing w:after="60"/>
      </w:pPr>
      <w:r>
        <w:rPr>
          <w:rFonts w:ascii="Calibri" w:cs="Calibri" w:eastAsia="Calibri" w:hAnsi="Calibri"/>
          <w:color w:val="5E5956"/>
          <w:sz w:val="20"/>
          <w:szCs w:val="20"/>
        </w:rPr>
        <w:t xml:space="preserve">Identity is an anonymous per-device token in an x-user-id header — no name, no email, no account required. Journal entries in the reflective listener are written to a local-only key and are never mirrored to the database. API keys live server-side only; the browser never sees them.</w:t>
      </w:r>
    </w:p>
    <w:p>
      <w:pPr>
        <w:spacing w:after="60" w:before="170"/>
      </w:pPr>
      <w:r>
        <w:rPr>
          <w:rFonts w:ascii="Calibri" w:cs="Calibri" w:eastAsia="Calibri" w:hAnsi="Calibri"/>
          <w:b/>
          <w:bCs/>
          <w:color w:val="201E1D"/>
          <w:sz w:val="20"/>
          <w:szCs w:val="20"/>
        </w:rPr>
        <w:t xml:space="preserve">What happens if someone in crisis uses the listener?</w:t>
      </w:r>
    </w:p>
    <w:p>
      <w:pPr>
        <w:spacing w:after="60"/>
      </w:pPr>
      <w:r>
        <w:rPr>
          <w:rFonts w:ascii="Calibri" w:cs="Calibri" w:eastAsia="Calibri" w:hAnsi="Calibri"/>
          <w:color w:val="5E5956"/>
          <w:sz w:val="20"/>
          <w:szCs w:val="20"/>
        </w:rPr>
        <w:t xml:space="preserve">Crisis language is detected server-side before any model call, and the reply comes from a fixed, reviewed script carrying Tele-MANAS 14416, KIRAN, AASRA and an international directory. It is never sampled from a model, never depends on the AI being reachable, and never scores points. It is also deliberately not translated — a subtle translation error is unacceptable in that specific message, so it stays in English and leads with phone numbers, which need no translation.</w:t>
      </w:r>
    </w:p>
    <w:p>
      <w:pPr>
        <w:spacing w:after="60" w:before="170"/>
      </w:pPr>
      <w:r>
        <w:rPr>
          <w:rFonts w:ascii="Calibri" w:cs="Calibri" w:eastAsia="Calibri" w:hAnsi="Calibri"/>
          <w:b/>
          <w:bCs/>
          <w:color w:val="201E1D"/>
          <w:sz w:val="20"/>
          <w:szCs w:val="20"/>
        </w:rPr>
        <w:t xml:space="preserve">What standards do you align with?</w:t>
      </w:r>
    </w:p>
    <w:p>
      <w:pPr>
        <w:spacing w:after="60"/>
      </w:pPr>
      <w:r>
        <w:rPr>
          <w:rFonts w:ascii="Calibri" w:cs="Calibri" w:eastAsia="Calibri" w:hAnsi="Calibri"/>
          <w:color w:val="5E5956"/>
          <w:sz w:val="20"/>
          <w:szCs w:val="20"/>
        </w:rPr>
        <w:t xml:space="preserve">WCAG 2.1 AA for structure and contrast, and Universal Design for Learning for presenting the same content in the form a given person processes best. The mobile client was checked against AA contrast, font scaling, screen-reader labels and 48-pixel touch targets.</w:t>
      </w:r>
    </w:p>
    <w:p>
      <w:pPr>
        <w:pStyle w:val="Heading2"/>
        <w:spacing w:after="120" w:before="300"/>
      </w:pPr>
      <w:r>
        <w:rPr>
          <w:rFonts w:ascii="Calibri" w:cs="Calibri" w:eastAsia="Calibri" w:hAnsi="Calibri"/>
          <w:b/>
          <w:bCs/>
          <w:color w:val="0088B0"/>
          <w:spacing w:val="14"/>
          <w:sz w:val="21"/>
          <w:szCs w:val="21"/>
        </w:rPr>
        <w:t xml:space="preserve">Risk and honesty</w:t>
      </w:r>
    </w:p>
    <w:p>
      <w:pPr>
        <w:spacing w:after="60" w:before="170"/>
      </w:pPr>
      <w:r>
        <w:rPr>
          <w:rFonts w:ascii="Calibri" w:cs="Calibri" w:eastAsia="Calibri" w:hAnsi="Calibri"/>
          <w:b/>
          <w:bCs/>
          <w:color w:val="201E1D"/>
          <w:sz w:val="20"/>
          <w:szCs w:val="20"/>
        </w:rPr>
        <w:t xml:space="preserve">What is not built yet?</w:t>
      </w:r>
    </w:p>
    <w:p>
      <w:pPr>
        <w:spacing w:after="60"/>
      </w:pPr>
      <w:r>
        <w:rPr>
          <w:rFonts w:ascii="Calibri" w:cs="Calibri" w:eastAsia="Calibri" w:hAnsi="Calibri"/>
          <w:color w:val="5E5956"/>
          <w:sz w:val="20"/>
          <w:szCs w:val="20"/>
        </w:rPr>
        <w:t xml:space="preserve">Three things. There is no institutional dashboard, which a university will want by month two of a pilot. UI chrome is still English-only — we change what SETU writes and says in eleven languages, not its own menus. And we have no outcome data, only a working product.</w:t>
      </w:r>
    </w:p>
    <w:p>
      <w:pPr>
        <w:spacing w:after="60" w:before="170"/>
      </w:pPr>
      <w:r>
        <w:rPr>
          <w:rFonts w:ascii="Calibri" w:cs="Calibri" w:eastAsia="Calibri" w:hAnsi="Calibri"/>
          <w:b/>
          <w:bCs/>
          <w:color w:val="201E1D"/>
          <w:sz w:val="20"/>
          <w:szCs w:val="20"/>
        </w:rPr>
        <w:t xml:space="preserve">Is 'SETU' clear as a trademark?</w:t>
      </w:r>
    </w:p>
    <w:p>
      <w:pPr>
        <w:spacing w:after="60"/>
      </w:pPr>
      <w:r>
        <w:rPr>
          <w:rFonts w:ascii="Calibri" w:cs="Calibri" w:eastAsia="Calibri" w:hAnsi="Calibri"/>
          <w:color w:val="5E5956"/>
          <w:sz w:val="20"/>
          <w:szCs w:val="20"/>
        </w:rPr>
        <w:t xml:space="preserve">Not entirely, and we know it. There are existing SETU registrations in India in Class 9 and Class 42. We would run a clearance search before any commercial launch and we are not attached to the name — the product is the bridge, not the word.</w:t>
      </w:r>
    </w:p>
    <w:p>
      <w:pPr>
        <w:spacing w:after="60" w:before="170"/>
      </w:pPr>
      <w:r>
        <w:rPr>
          <w:rFonts w:ascii="Calibri" w:cs="Calibri" w:eastAsia="Calibri" w:hAnsi="Calibri"/>
          <w:b/>
          <w:bCs/>
          <w:color w:val="201E1D"/>
          <w:sz w:val="20"/>
          <w:szCs w:val="20"/>
        </w:rPr>
        <w:t xml:space="preserve">What would you do with one more week?</w:t>
      </w:r>
    </w:p>
    <w:p>
      <w:pPr>
        <w:spacing w:after="60"/>
      </w:pPr>
      <w:r>
        <w:rPr>
          <w:rFonts w:ascii="Calibri" w:cs="Calibri" w:eastAsia="Calibri" w:hAnsi="Calibri"/>
          <w:color w:val="5E5956"/>
          <w:sz w:val="20"/>
          <w:szCs w:val="20"/>
        </w:rPr>
        <w:t xml:space="preserve">The institution dashboard, because it is the thing standing between a pilot and a renewal, and a proper outcome-measurement harness so the pilot produces numbers we can publish rather than anecdotes.</w:t>
      </w:r>
    </w:p>
    <w:p>
      <w:pPr>
        <w:spacing w:after="60" w:before="170"/>
      </w:pPr>
      <w:r>
        <w:rPr>
          <w:rFonts w:ascii="Calibri" w:cs="Calibri" w:eastAsia="Calibri" w:hAnsi="Calibri"/>
          <w:b/>
          <w:bCs/>
          <w:color w:val="201E1D"/>
          <w:sz w:val="20"/>
          <w:szCs w:val="20"/>
        </w:rPr>
        <w:t xml:space="preserve">You all graduate this year. What happens to this?</w:t>
      </w:r>
    </w:p>
    <w:p>
      <w:pPr>
        <w:spacing w:after="60"/>
      </w:pPr>
      <w:r>
        <w:rPr>
          <w:rFonts w:ascii="Calibri" w:cs="Calibri" w:eastAsia="Calibri" w:hAnsi="Calibri"/>
          <w:color w:val="5E5956"/>
          <w:sz w:val="20"/>
          <w:szCs w:val="20"/>
        </w:rPr>
        <w:t xml:space="preserve">It is a fair question and the honest answer is that a pilot changes it. Right now this is five final-year students with a running product and no obligation to anyone. One campus with a signed semester pilot and a clinician asking for a hospital build is a different decision — which is why the ask is a pilot, not a prize.</w:t>
      </w:r>
    </w:p>
    <w:p>
      <w:r>
        <w:br w:type="page"/>
      </w:r>
    </w:p>
    <w:p>
      <w:pPr>
        <w:pStyle w:val="Heading1"/>
        <w:spacing w:after="160" w:before="420"/>
      </w:pPr>
      <w:r>
        <w:rPr>
          <w:rFonts w:ascii="Cambria" w:cs="Cambria" w:eastAsia="Cambria" w:hAnsi="Cambria"/>
          <w:b/>
          <w:bCs/>
          <w:color w:val="201E1D"/>
          <w:sz w:val="34"/>
          <w:szCs w:val="34"/>
        </w:rPr>
        <w:t xml:space="preserve">6  ·  Every number, and where it came from</w:t>
      </w:r>
    </w:p>
    <w:p>
      <w:pPr>
        <w:spacing w:after="130"/>
      </w:pPr>
      <w:r>
        <w:rPr>
          <w:rFonts w:ascii="Calibri" w:cs="Calibri" w:eastAsia="Calibri" w:hAnsi="Calibri"/>
          <w:color w:val="201E1D"/>
          <w:sz w:val="20"/>
          <w:szCs w:val="20"/>
        </w:rPr>
        <w:t xml:space="preserve">If a judge challenges a figure, this is where you find it. Nothing on a slide is unsourced or estimated without saying so.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600"/>
        <w:gridCol w:w="5100"/>
      </w:tblGrid>
      <w:tr>
        <w:tc>
          <w:tcPr>
            <w:tcW w:type="dxa" w:w="46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Claim on the slide</w:t>
            </w:r>
          </w:p>
        </w:tc>
        <w:tc>
          <w:tcPr>
            <w:tcW w:type="dxa" w:w="5100"/>
            <w:shd w:fill="201E1D" w:color="auto" w:val="clear"/>
            <w:tcMar>
              <w:top w:type="dxa" w:w="90"/>
              <w:left w:type="dxa" w:w="120"/>
              <w:bottom w:type="dxa" w:w="90"/>
              <w:right w:type="dxa" w:w="120"/>
            </w:tcMar>
          </w:tcPr>
          <w:p>
            <w:r>
              <w:rPr>
                <w:rFonts w:ascii="Calibri" w:cs="Calibri" w:eastAsia="Calibri" w:hAnsi="Calibri"/>
                <w:b/>
                <w:bCs/>
                <w:color w:val="FFFFFF"/>
                <w:sz w:val="18"/>
                <w:szCs w:val="18"/>
              </w:rPr>
              <w:t xml:space="preserve">Source</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8% prevalence of specific learning disorder</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Scaria, Bhaskaran &amp; George, Indian J Psychol Med 2023 — meta-analysis, 6 studies, 8,133 children (95% CI 4–11%)</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45.0 million students · 1,289 universities · 48,246 colleges</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AISHE 2023–24, Ministry of Education</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54,080 students with benchmark disabilities (0.1%)</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AISHE 2023–24</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3.6 million (8% of 45.0 M)</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Derived — state it as derived if asked</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95.9% of top 1M home pages fail WCAG; up from 94.8%</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WebAIM Million, 2026</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56.1 errors per page, up 10.1%</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WebAIM Million, 2026</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53 endpoints</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backend/routes/apiRoutes.js — countable</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9 cognitive modes</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start, simplify, learn, meet, practice, write, guide, numbers, listen</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11 Indian languages</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backend/config/languages.js</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14 content scripts, Manifest V3, v3.2.0</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chrome-extension/manifest.json</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32-point smoke test</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backend/scripts/smoke-test.js</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≈50,000 lines · 160 source files</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Measured across backend, extension, frontend and mobile</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₹8 AI reasoning</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Gemini 2.5 Flash at $0.30/M input, $2.50/M output; ~30 operations at 3,000 in / 800 out</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₹15 natural voice</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Sarvam Bulbul v2 at ₹15 per 10,000 characters; ~10,000 characters/month</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₹499 employer tier / EAA</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European Accessibility Act, in force 28 June 2025</w:t>
            </w:r>
          </w:p>
        </w:tc>
      </w:tr>
      <w:tr>
        <w:tc>
          <w:tcPr>
            <w:tcW w:type="dxa" w:w="46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Assistive technology market $21.4 B → $48.83 B, 8.6% CAGR</w:t>
            </w:r>
          </w:p>
        </w:tc>
        <w:tc>
          <w:tcPr>
            <w:tcW w:type="dxa" w:w="5100"/>
            <w:shd w:fill="F3F2F2" w:color="auto" w:val="clear"/>
            <w:tcMar>
              <w:top w:type="dxa" w:w="90"/>
              <w:left w:type="dxa" w:w="120"/>
              <w:bottom w:type="dxa" w:w="90"/>
              <w:right w:type="dxa" w:w="120"/>
            </w:tcMar>
          </w:tcPr>
          <w:p>
            <w:r>
              <w:rPr>
                <w:rFonts w:ascii="Calibri" w:cs="Calibri" w:eastAsia="Calibri" w:hAnsi="Calibri"/>
                <w:b w:val="false"/>
                <w:bCs w:val="false"/>
                <w:color w:val="201E1D"/>
                <w:sz w:val="18"/>
                <w:szCs w:val="18"/>
              </w:rPr>
              <w:t xml:space="preserve">Vantage Market Research, 2025–2035</w:t>
            </w:r>
          </w:p>
        </w:tc>
      </w:tr>
      <w:tr>
        <w:tc>
          <w:tcPr>
            <w:tcW w:type="dxa" w:w="4600"/>
            <w:tcMar>
              <w:top w:type="dxa" w:w="90"/>
              <w:left w:type="dxa" w:w="120"/>
              <w:bottom w:type="dxa" w:w="90"/>
              <w:right w:type="dxa" w:w="120"/>
            </w:tcMar>
          </w:tcPr>
          <w:p>
            <w:r>
              <w:rPr>
                <w:rFonts w:ascii="Calibri" w:cs="Calibri" w:eastAsia="Calibri" w:hAnsi="Calibri"/>
                <w:b w:val="false"/>
                <w:bCs w:val="false"/>
                <w:color w:val="201E1D"/>
                <w:sz w:val="18"/>
                <w:szCs w:val="18"/>
              </w:rPr>
              <w:t xml:space="preserve">Break-even at four campuses</w:t>
            </w:r>
          </w:p>
        </w:tc>
        <w:tc>
          <w:tcPr>
            <w:tcW w:type="dxa" w:w="5100"/>
            <w:tcMar>
              <w:top w:type="dxa" w:w="90"/>
              <w:left w:type="dxa" w:w="120"/>
              <w:bottom w:type="dxa" w:w="90"/>
              <w:right w:type="dxa" w:w="120"/>
            </w:tcMar>
          </w:tcPr>
          <w:p>
            <w:r>
              <w:rPr>
                <w:rFonts w:ascii="Calibri" w:cs="Calibri" w:eastAsia="Calibri" w:hAnsi="Calibri"/>
                <w:b w:val="false"/>
                <w:bCs w:val="false"/>
                <w:color w:val="201E1D"/>
                <w:sz w:val="18"/>
                <w:szCs w:val="18"/>
              </w:rPr>
              <w:t xml:space="preserve">₹18 lakh year-one cost ÷ ₹4.95 lakh per 5,000-student campus = 3.6</w:t>
            </w:r>
          </w:p>
        </w:tc>
      </w:tr>
    </w:tbl>
    <w:p>
      <w:pPr>
        <w:spacing w:after="200"/>
      </w:pPr>
    </w:p>
    <w:p>
      <w:pPr>
        <w:pStyle w:val="Heading2"/>
        <w:spacing w:after="120" w:before="300"/>
      </w:pPr>
      <w:r>
        <w:rPr>
          <w:rFonts w:ascii="Calibri" w:cs="Calibri" w:eastAsia="Calibri" w:hAnsi="Calibri"/>
          <w:b/>
          <w:bCs/>
          <w:color w:val="0088B0"/>
          <w:spacing w:val="14"/>
          <w:sz w:val="21"/>
          <w:szCs w:val="21"/>
        </w:rPr>
        <w:t xml:space="preserve">Two things to say plainly if pressed</w:t>
      </w:r>
    </w:p>
    <w:p>
      <w:pPr>
        <w:pStyle w:val="ListParagraph"/>
        <w:numPr>
          <w:ilvl w:val="0"/>
          <w:numId w:val="2"/>
        </w:numPr>
        <w:spacing w:after="70"/>
      </w:pPr>
      <w:r>
        <w:rPr>
          <w:rFonts w:ascii="Calibri" w:cs="Calibri" w:eastAsia="Calibri" w:hAnsi="Calibri"/>
          <w:color w:val="201E1D"/>
          <w:sz w:val="20"/>
          <w:szCs w:val="20"/>
        </w:rPr>
        <w:t xml:space="preserve">The 3.6 million figure is a derivation — an 8% child-prevalence rate applied to an adult higher-education population. Say so before a judge says it for you; volunteering the weakness is what makes the rest of your numbers credible.</w:t>
      </w:r>
    </w:p>
    <w:p>
      <w:pPr>
        <w:pStyle w:val="ListParagraph"/>
        <w:numPr>
          <w:ilvl w:val="0"/>
          <w:numId w:val="2"/>
        </w:numPr>
        <w:spacing w:after="70"/>
      </w:pPr>
      <w:r>
        <w:rPr>
          <w:rFonts w:ascii="Calibri" w:cs="Calibri" w:eastAsia="Calibri" w:hAnsi="Calibri"/>
          <w:color w:val="201E1D"/>
          <w:sz w:val="20"/>
          <w:szCs w:val="20"/>
        </w:rPr>
        <w:t xml:space="preserve">Activation rate is our least certain assumption. We have modelled 12% monthly-active and the pilot exists to test exactly that. If it comes in at 20%, campus pricing moves to ₹149 — the model still works, and we would rather find that out on one campus than five hundred.</w:t>
      </w:r>
    </w:p>
    <w:p>
      <w:pPr>
        <w:pBdr>
          <w:top w:val="single" w:color="C9C6C4" w:sz="8" w:space="8"/>
        </w:pBdr>
        <w:spacing w:before="320"/>
      </w:pPr>
      <w:r>
        <w:rPr>
          <w:rFonts w:ascii="Calibri" w:cs="Calibri" w:eastAsia="Calibri" w:hAnsi="Calibri"/>
          <w:color w:val="5E5956"/>
          <w:sz w:val="17"/>
          <w:szCs w:val="17"/>
        </w:rPr>
        <w:t xml:space="preserve">SETU  ·  Sanskrit for bridge  ·  Capgemini Tech4Positive Futures 2026</w:t>
      </w:r>
    </w:p>
    <w:sectPr>
      <w:pgSz w:w="11906" w:h="16838" w:orient="portrait"/>
      <w:pgMar w:top="1100" w:right="1180" w:bottom="10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9"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1E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2026-08-23T06:15:15.739Z</dcterms:created>
  <dcterms:modified xsi:type="dcterms:W3CDTF">2026-08-23T06:15:15.739Z</dcterms:modified>
</cp:coreProperties>
</file>

<file path=docProps/custom.xml><?xml version="1.0" encoding="utf-8"?>
<Properties xmlns="http://schemas.openxmlformats.org/officeDocument/2006/custom-properties" xmlns:vt="http://schemas.openxmlformats.org/officeDocument/2006/docPropsVTypes"/>
</file>