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VAPT Fundamentals &amp; Reporting</w:t>
      </w:r>
    </w:p>
    <w:p>
      <w:pPr>
        <w:spacing w:after="150"/>
      </w:pPr>
      <w:r>
        <w:rPr>
          <w:i/>
          <w:iCs/>
          <w:color w:val="666666"/>
          <w:sz w:val="22"/>
          <w:szCs w:val="22"/>
        </w:rPr>
        <w:t xml:space="preserve">Theory: What Vulnerability Assessment and Penetration Testing (VAPT) is, how the two halves differ, and what a professional VAPT report actually looks like. Practical: Scope a VAPT for a food-delivery app, build a reusable report template, and write a real finding entry.</w:t>
      </w:r>
    </w:p>
    <w:p>
      <w:pPr>
        <w:pStyle w:val="Heading2"/>
        <w:spacing w:after="150" w:before="300"/>
      </w:pPr>
      <w:r>
        <w:t xml:space="preserve">Task 1: What is VAPT, and VA vs PT</w:t>
      </w:r>
    </w:p>
    <w:p>
      <w:pPr>
        <w:spacing w:after="150"/>
      </w:pPr>
      <w:r>
        <w:t xml:space="preserve">VAPT (Vulnerability Assessment and Penetration Testing) is a two-part security evaluation: it identifies weaknesses in a system (the “VA” half) and then actively attempts to exploit at least some of them to prove real-world impact (the “PT” half), producing a report that tells an organization both what's wrong and how bad it actually is in practice.</w:t>
      </w:r>
    </w:p>
    <w:p>
      <w:pPr>
        <w:spacing w:after="150"/>
      </w:pPr>
      <w:r>
        <w:t xml:space="preserve">Two key differences between Vulnerability Assessment and Penetration Testing:</w:t>
      </w:r>
    </w:p>
    <w:p>
      <w:pPr>
        <w:spacing w:after="80"/>
      </w:pPr>
      <w:r>
        <w:t xml:space="preserve">1. Depth of action: VA is largely automated and non-intrusive — it scans and lists potential weaknesses without trying to actually break in, while PT goes further by manually attempting to exploit those weaknesses to confirm they're genuinely exploitable, not just theoretically present.</w:t>
      </w:r>
    </w:p>
    <w:p>
      <w:pPr>
        <w:spacing w:after="80"/>
      </w:pPr>
      <w:r>
        <w:t xml:space="preserve">2. Output and purpose: VA produces a broad list of possible issues (often including false positives) prioritized mainly by scanner-assigned severity, while PT produces a narrower set of confirmed, exploited findings with a clear narrative of exactly how an attacker could chain them together to cause real damage.</w:t>
      </w:r>
    </w:p>
    <w:p>
      <w:pPr>
        <w:pStyle w:val="Heading2"/>
        <w:spacing w:after="150" w:before="300"/>
      </w:pPr>
      <w:r>
        <w:t xml:space="preserve">Task 2: VAPT scenario — a Zomato-style food delivery app</w:t>
      </w:r>
    </w:p>
    <w:p>
      <w:pPr>
        <w:spacing w:after="150"/>
      </w:pPr>
      <w:r>
        <w:t xml:space="preserve">Three common vulnerabilities to check for in an app like this:</w:t>
      </w:r>
    </w:p>
    <w:p>
      <w:pPr>
        <w:spacing w:after="80"/>
      </w:pPr>
      <w:r>
        <w:t xml:space="preserve">1. Insecure Direct Object Reference (IDOR) on order/profile endpoints — checking whether changing an order ID or user ID in an API request (e.g., /order/1002 to /order/1003) returns another user's order details or payment information without proper authorization checks.</w:t>
      </w:r>
    </w:p>
    <w:p>
      <w:pPr>
        <w:spacing w:after="80"/>
      </w:pPr>
      <w:r>
        <w:t xml:space="preserve">2. Broken rate limiting on login/OTP endpoints — checking whether the login or OTP-verification endpoint can be hit repeatedly without being throttled or locked out, which would allow credential-stuffing or OTP brute-forcing.</w:t>
      </w:r>
    </w:p>
    <w:p>
      <w:pPr>
        <w:spacing w:after="80"/>
      </w:pPr>
      <w:r>
        <w:t xml:space="preserve">3. Sensitive data exposure in API responses — checking whether API responses (e.g., for restaurant search or order history) include more data than the app's UI actually displays, such as a delivery partner's phone number or internal pricing/margin data, visible to anyone who inspects the raw network traffic.</w:t>
      </w:r>
    </w:p>
    <w:p>
      <w:pPr>
        <w:pStyle w:val="Heading2"/>
        <w:spacing w:after="150" w:before="300"/>
      </w:pPr>
      <w:r>
        <w:t xml:space="preserve">Task 3: Sample VAPT report template — fictional e-wallet app “PayEase”</w:t>
      </w:r>
    </w:p>
    <w:p>
      <w:pPr>
        <w:spacing w:after="150"/>
      </w:pPr>
      <w:r>
        <w:t xml:space="preserve">A reusable template structure — copy this into your own Word/Google Doc and fill in each section per assessment:</w:t>
      </w:r>
    </w:p>
    <w:p>
      <w:pPr>
        <w:spacing w:after="120" w:before="240"/>
      </w:pPr>
      <w:r>
        <w:rPr>
          <w:b/>
          <w:bCs/>
          <w:sz w:val="24"/>
          <w:szCs w:val="24"/>
        </w:rPr>
        <w:t xml:space="preserve">1. Executive Summary</w:t>
      </w:r>
    </w:p>
    <w:p>
      <w:pPr>
        <w:spacing w:after="150"/>
      </w:pPr>
      <w:r>
        <w:t xml:space="preserve">[2–3 sentences, written for a non-technical audience: what was tested, the overall security posture found, and the headline risk level.]</w:t>
      </w:r>
    </w:p>
    <w:p>
      <w:pPr>
        <w:spacing w:after="150"/>
      </w:pPr>
      <w:r>
        <w:rPr>
          <w:i/>
          <w:iCs/>
          <w:color w:val="666666"/>
          <w:sz w:val="20"/>
          <w:szCs w:val="20"/>
        </w:rPr>
        <w:t xml:space="preserve">Example: “A VAPT engagement was conducted against the PayEase e-wallet application between [start date] and [end date]. Testing identified [N] vulnerabilities, including [N] rated Critical/High, primarily relating to authentication and data handling. Immediate remediation is recommended before the next production release.”</w:t>
      </w:r>
    </w:p>
    <w:p>
      <w:pPr>
        <w:spacing w:after="120" w:before="240"/>
      </w:pPr>
      <w:r>
        <w:rPr>
          <w:b/>
          <w:bCs/>
          <w:sz w:val="24"/>
          <w:szCs w:val="24"/>
        </w:rPr>
        <w:t xml:space="preserve">2. Methodology</w:t>
      </w:r>
    </w:p>
    <w:p>
      <w:pPr>
        <w:pStyle w:val="ListParagraph"/>
        <w:numPr>
          <w:ilvl w:val="0"/>
          <w:numId w:val="1"/>
        </w:numPr>
        <w:spacing w:after="80"/>
      </w:pPr>
      <w:r>
        <w:t xml:space="preserve">Scope: [list the specific app, API endpoints, or environment tested — e.g., “PayEase Android app v2.3 and its backing REST API”]</w:t>
      </w:r>
    </w:p>
    <w:p>
      <w:pPr>
        <w:pStyle w:val="ListParagraph"/>
        <w:numPr>
          <w:ilvl w:val="0"/>
          <w:numId w:val="1"/>
        </w:numPr>
        <w:spacing w:after="80"/>
      </w:pPr>
      <w:r>
        <w:t xml:space="preserve">Approach: [e.g., “Black-box testing combined with automated scanning (OWASP ZAP) and manual verification of high-risk findings”]</w:t>
      </w:r>
    </w:p>
    <w:p>
      <w:pPr>
        <w:pStyle w:val="ListParagraph"/>
        <w:numPr>
          <w:ilvl w:val="0"/>
          <w:numId w:val="1"/>
        </w:numPr>
        <w:spacing w:after="80"/>
      </w:pPr>
      <w:r>
        <w:t xml:space="preserve">Standards referenced: [e.g., OWASP Mobile Application Security Testing Guide (MASTG), OWASP Top 10]</w:t>
      </w:r>
    </w:p>
    <w:p>
      <w:pPr>
        <w:pStyle w:val="ListParagraph"/>
        <w:numPr>
          <w:ilvl w:val="0"/>
          <w:numId w:val="1"/>
        </w:numPr>
        <w:spacing w:after="80"/>
      </w:pPr>
      <w:r>
        <w:t xml:space="preserve">Testing window: [dates testing was conducted]</w:t>
      </w:r>
    </w:p>
    <w:p>
      <w:pPr>
        <w:spacing w:after="120" w:before="240"/>
      </w:pPr>
      <w:r>
        <w:rPr>
          <w:b/>
          <w:bCs/>
          <w:sz w:val="24"/>
          <w:szCs w:val="24"/>
        </w:rPr>
        <w:t xml:space="preserve">3. Vulnerabilities Found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000"/>
        <w:gridCol w:w="1800"/>
      </w:tblGrid>
      <w:tr>
        <w:tc>
          <w:tcPr>
            <w:tcW w:type="dxa" w:w="1400"/>
            <w:shd w:fill="EAE3F0" w:val="clear"/>
            <w:tcMar>
              <w:top w:type="dxa" w:w="80"/>
              <w:left w:type="dxa" w:w="100"/>
              <w:bottom w:type="dxa" w:w="80"/>
              <w:right w:type="dxa" w:w="100"/>
            </w:tcMar>
          </w:tcPr>
          <w:p>
            <w:r>
              <w:rPr>
                <w:b/>
                <w:bCs/>
                <w:sz w:val="20"/>
                <w:szCs w:val="20"/>
              </w:rPr>
              <w:t xml:space="preserve">ID</w:t>
            </w:r>
          </w:p>
        </w:tc>
        <w:tc>
          <w:tcPr>
            <w:tcW w:type="dxa" w:w="2000"/>
            <w:shd w:fill="EAE3F0" w:val="clear"/>
            <w:tcMar>
              <w:top w:type="dxa" w:w="80"/>
              <w:left w:type="dxa" w:w="100"/>
              <w:bottom w:type="dxa" w:w="80"/>
              <w:right w:type="dxa" w:w="100"/>
            </w:tcMar>
          </w:tcPr>
          <w:p>
            <w:r>
              <w:rPr>
                <w:b/>
                <w:bCs/>
                <w:sz w:val="20"/>
                <w:szCs w:val="20"/>
              </w:rPr>
              <w:t xml:space="preserve">Title</w:t>
            </w:r>
          </w:p>
        </w:tc>
        <w:tc>
          <w:tcPr>
            <w:tcW w:type="dxa" w:w="4000"/>
            <w:shd w:fill="EAE3F0" w:val="clear"/>
            <w:tcMar>
              <w:top w:type="dxa" w:w="80"/>
              <w:left w:type="dxa" w:w="100"/>
              <w:bottom w:type="dxa" w:w="80"/>
              <w:right w:type="dxa" w:w="100"/>
            </w:tcMar>
          </w:tcPr>
          <w:p>
            <w:r>
              <w:rPr>
                <w:b/>
                <w:bCs/>
                <w:sz w:val="20"/>
                <w:szCs w:val="20"/>
              </w:rPr>
              <w:t xml:space="preserve">Description</w:t>
            </w:r>
          </w:p>
        </w:tc>
        <w:tc>
          <w:tcPr>
            <w:tcW w:type="dxa" w:w="1800"/>
            <w:shd w:fill="EAE3F0" w:val="clear"/>
            <w:tcMar>
              <w:top w:type="dxa" w:w="80"/>
              <w:left w:type="dxa" w:w="100"/>
              <w:bottom w:type="dxa" w:w="80"/>
              <w:right w:type="dxa" w:w="100"/>
            </w:tcMar>
          </w:tcPr>
          <w:p>
            <w:r>
              <w:rPr>
                <w:b/>
                <w:bCs/>
                <w:sz w:val="20"/>
                <w:szCs w:val="20"/>
              </w:rPr>
              <w:t xml:space="preserve">Affected component</w:t>
            </w:r>
          </w:p>
        </w:tc>
      </w:tr>
      <w:tr>
        <w:tc>
          <w:tcPr>
            <w:tcW w:type="dxa" w:w="1400"/>
            <w:tcMar>
              <w:top w:type="dxa" w:w="80"/>
              <w:left w:type="dxa" w:w="100"/>
              <w:bottom w:type="dxa" w:w="80"/>
              <w:right w:type="dxa" w:w="100"/>
            </w:tcMar>
          </w:tcPr>
          <w:p>
            <w:r>
              <w:rPr>
                <w:b w:val="false"/>
                <w:bCs w:val="false"/>
                <w:sz w:val="20"/>
                <w:szCs w:val="20"/>
              </w:rPr>
              <w:t xml:space="preserve">VULN-01</w:t>
            </w:r>
          </w:p>
        </w:tc>
        <w:tc>
          <w:tcPr>
            <w:tcW w:type="dxa" w:w="2000"/>
            <w:tcMar>
              <w:top w:type="dxa" w:w="80"/>
              <w:left w:type="dxa" w:w="100"/>
              <w:bottom w:type="dxa" w:w="80"/>
              <w:right w:type="dxa" w:w="100"/>
            </w:tcMar>
          </w:tcPr>
          <w:p>
            <w:r>
              <w:rPr>
                <w:b w:val="false"/>
                <w:bCs w:val="false"/>
                <w:sz w:val="20"/>
                <w:szCs w:val="20"/>
              </w:rPr>
              <w:t xml:space="preserve">[short title]</w:t>
            </w:r>
          </w:p>
        </w:tc>
        <w:tc>
          <w:tcPr>
            <w:tcW w:type="dxa" w:w="4000"/>
            <w:tcMar>
              <w:top w:type="dxa" w:w="80"/>
              <w:left w:type="dxa" w:w="100"/>
              <w:bottom w:type="dxa" w:w="80"/>
              <w:right w:type="dxa" w:w="100"/>
            </w:tcMar>
          </w:tcPr>
          <w:p>
            <w:r>
              <w:rPr>
                <w:b w:val="false"/>
                <w:bCs w:val="false"/>
                <w:sz w:val="20"/>
                <w:szCs w:val="20"/>
              </w:rPr>
              <w:t xml:space="preserve">[what the issue is, in 1–2 sentences]</w:t>
            </w:r>
          </w:p>
        </w:tc>
        <w:tc>
          <w:tcPr>
            <w:tcW w:type="dxa" w:w="1800"/>
            <w:tcMar>
              <w:top w:type="dxa" w:w="80"/>
              <w:left w:type="dxa" w:w="100"/>
              <w:bottom w:type="dxa" w:w="80"/>
              <w:right w:type="dxa" w:w="100"/>
            </w:tcMar>
          </w:tcPr>
          <w:p>
            <w:r>
              <w:rPr>
                <w:b w:val="false"/>
                <w:bCs w:val="false"/>
                <w:sz w:val="20"/>
                <w:szCs w:val="20"/>
              </w:rPr>
              <w:t xml:space="preserve">[endpoint/screen/feature]</w:t>
            </w:r>
          </w:p>
        </w:tc>
      </w:tr>
      <w:tr>
        <w:tc>
          <w:tcPr>
            <w:tcW w:type="dxa" w:w="1400"/>
            <w:tcMar>
              <w:top w:type="dxa" w:w="80"/>
              <w:left w:type="dxa" w:w="100"/>
              <w:bottom w:type="dxa" w:w="80"/>
              <w:right w:type="dxa" w:w="100"/>
            </w:tcMar>
          </w:tcPr>
          <w:p>
            <w:r>
              <w:rPr>
                <w:b w:val="false"/>
                <w:bCs w:val="false"/>
                <w:sz w:val="20"/>
                <w:szCs w:val="20"/>
              </w:rPr>
              <w:t xml:space="preserve">VULN-02</w:t>
            </w:r>
          </w:p>
        </w:tc>
        <w:tc>
          <w:tcPr>
            <w:tcW w:type="dxa" w:w="2000"/>
            <w:tcMar>
              <w:top w:type="dxa" w:w="80"/>
              <w:left w:type="dxa" w:w="100"/>
              <w:bottom w:type="dxa" w:w="80"/>
              <w:right w:type="dxa" w:w="100"/>
            </w:tcMar>
          </w:tcPr>
          <w:p>
            <w:r>
              <w:rPr>
                <w:b w:val="false"/>
                <w:bCs w:val="false"/>
                <w:sz w:val="20"/>
                <w:szCs w:val="20"/>
              </w:rPr>
              <w:t xml:space="preserve">[short title]</w:t>
            </w:r>
          </w:p>
        </w:tc>
        <w:tc>
          <w:tcPr>
            <w:tcW w:type="dxa" w:w="4000"/>
            <w:tcMar>
              <w:top w:type="dxa" w:w="80"/>
              <w:left w:type="dxa" w:w="100"/>
              <w:bottom w:type="dxa" w:w="80"/>
              <w:right w:type="dxa" w:w="100"/>
            </w:tcMar>
          </w:tcPr>
          <w:p>
            <w:r>
              <w:rPr>
                <w:b w:val="false"/>
                <w:bCs w:val="false"/>
                <w:sz w:val="20"/>
                <w:szCs w:val="20"/>
              </w:rPr>
              <w:t xml:space="preserve">[what the issue is, in 1–2 sentences]</w:t>
            </w:r>
          </w:p>
        </w:tc>
        <w:tc>
          <w:tcPr>
            <w:tcW w:type="dxa" w:w="1800"/>
            <w:tcMar>
              <w:top w:type="dxa" w:w="80"/>
              <w:left w:type="dxa" w:w="100"/>
              <w:bottom w:type="dxa" w:w="80"/>
              <w:right w:type="dxa" w:w="100"/>
            </w:tcMar>
          </w:tcPr>
          <w:p>
            <w:r>
              <w:rPr>
                <w:b w:val="false"/>
                <w:bCs w:val="false"/>
                <w:sz w:val="20"/>
                <w:szCs w:val="20"/>
              </w:rPr>
              <w:t xml:space="preserve">[endpoint/screen/feature]</w:t>
            </w:r>
          </w:p>
        </w:tc>
      </w:tr>
    </w:tbl>
    <w:p>
      <w:pPr>
        <w:spacing w:after="120" w:before="240"/>
      </w:pPr>
      <w:r>
        <w:rPr>
          <w:b/>
          <w:bCs/>
          <w:sz w:val="24"/>
          <w:szCs w:val="24"/>
        </w:rPr>
        <w:t xml:space="preserve">4. Risk Ratings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500"/>
        <w:gridCol w:w="1500"/>
        <w:gridCol w:w="3300"/>
      </w:tblGrid>
      <w:tr>
        <w:tc>
          <w:tcPr>
            <w:tcW w:type="dxa" w:w="1200"/>
            <w:shd w:fill="EAE3F0" w:val="clear"/>
            <w:tcMar>
              <w:top w:type="dxa" w:w="80"/>
              <w:left w:type="dxa" w:w="100"/>
              <w:bottom w:type="dxa" w:w="80"/>
              <w:right w:type="dxa" w:w="100"/>
            </w:tcMar>
          </w:tcPr>
          <w:p>
            <w:r>
              <w:rPr>
                <w:b/>
                <w:bCs/>
                <w:sz w:val="20"/>
                <w:szCs w:val="20"/>
              </w:rPr>
              <w:t xml:space="preserve">ID</w:t>
            </w:r>
          </w:p>
        </w:tc>
        <w:tc>
          <w:tcPr>
            <w:tcW w:type="dxa" w:w="1700"/>
            <w:shd w:fill="EAE3F0" w:val="clear"/>
            <w:tcMar>
              <w:top w:type="dxa" w:w="80"/>
              <w:left w:type="dxa" w:w="100"/>
              <w:bottom w:type="dxa" w:w="80"/>
              <w:right w:type="dxa" w:w="100"/>
            </w:tcMar>
          </w:tcPr>
          <w:p>
            <w:r>
              <w:rPr>
                <w:b/>
                <w:bCs/>
                <w:sz w:val="20"/>
                <w:szCs w:val="20"/>
              </w:rPr>
              <w:t xml:space="preserve">Risk level</w:t>
            </w:r>
          </w:p>
        </w:tc>
        <w:tc>
          <w:tcPr>
            <w:tcW w:type="dxa" w:w="1500"/>
            <w:shd w:fill="EAE3F0" w:val="clear"/>
            <w:tcMar>
              <w:top w:type="dxa" w:w="80"/>
              <w:left w:type="dxa" w:w="100"/>
              <w:bottom w:type="dxa" w:w="80"/>
              <w:right w:type="dxa" w:w="100"/>
            </w:tcMar>
          </w:tcPr>
          <w:p>
            <w:r>
              <w:rPr>
                <w:b/>
                <w:bCs/>
                <w:sz w:val="20"/>
                <w:szCs w:val="20"/>
              </w:rPr>
              <w:t xml:space="preserve">Likelihood</w:t>
            </w:r>
          </w:p>
        </w:tc>
        <w:tc>
          <w:tcPr>
            <w:tcW w:type="dxa" w:w="1500"/>
            <w:shd w:fill="EAE3F0" w:val="clear"/>
            <w:tcMar>
              <w:top w:type="dxa" w:w="80"/>
              <w:left w:type="dxa" w:w="100"/>
              <w:bottom w:type="dxa" w:w="80"/>
              <w:right w:type="dxa" w:w="100"/>
            </w:tcMar>
          </w:tcPr>
          <w:p>
            <w:r>
              <w:rPr>
                <w:b/>
                <w:bCs/>
                <w:sz w:val="20"/>
                <w:szCs w:val="20"/>
              </w:rPr>
              <w:t xml:space="preserve">Impact</w:t>
            </w:r>
          </w:p>
        </w:tc>
        <w:tc>
          <w:tcPr>
            <w:tcW w:type="dxa" w:w="3300"/>
            <w:shd w:fill="EAE3F0" w:val="clear"/>
            <w:tcMar>
              <w:top w:type="dxa" w:w="80"/>
              <w:left w:type="dxa" w:w="100"/>
              <w:bottom w:type="dxa" w:w="80"/>
              <w:right w:type="dxa" w:w="100"/>
            </w:tcMar>
          </w:tcPr>
          <w:p>
            <w:r>
              <w:rPr>
                <w:b/>
                <w:bCs/>
                <w:sz w:val="20"/>
                <w:szCs w:val="20"/>
              </w:rPr>
              <w:t xml:space="preserve">Justification</w:t>
            </w:r>
          </w:p>
        </w:tc>
      </w:tr>
      <w:tr>
        <w:tc>
          <w:tcPr>
            <w:tcW w:type="dxa" w:w="1200"/>
            <w:tcMar>
              <w:top w:type="dxa" w:w="80"/>
              <w:left w:type="dxa" w:w="100"/>
              <w:bottom w:type="dxa" w:w="80"/>
              <w:right w:type="dxa" w:w="100"/>
            </w:tcMar>
          </w:tcPr>
          <w:p>
            <w:r>
              <w:rPr>
                <w:b w:val="false"/>
                <w:bCs w:val="false"/>
                <w:sz w:val="20"/>
                <w:szCs w:val="20"/>
              </w:rPr>
              <w:t xml:space="preserve">VULN-01</w:t>
            </w:r>
          </w:p>
        </w:tc>
        <w:tc>
          <w:tcPr>
            <w:tcW w:type="dxa" w:w="1700"/>
            <w:tcMar>
              <w:top w:type="dxa" w:w="80"/>
              <w:left w:type="dxa" w:w="100"/>
              <w:bottom w:type="dxa" w:w="80"/>
              <w:right w:type="dxa" w:w="100"/>
            </w:tcMar>
          </w:tcPr>
          <w:p>
            <w:r>
              <w:rPr>
                <w:b w:val="false"/>
                <w:bCs w:val="false"/>
                <w:sz w:val="20"/>
                <w:szCs w:val="20"/>
              </w:rPr>
              <w:t xml:space="preserve">[Critical/High/Medium/Low]</w:t>
            </w:r>
          </w:p>
        </w:tc>
        <w:tc>
          <w:tcPr>
            <w:tcW w:type="dxa" w:w="1500"/>
            <w:tcMar>
              <w:top w:type="dxa" w:w="80"/>
              <w:left w:type="dxa" w:w="100"/>
              <w:bottom w:type="dxa" w:w="80"/>
              <w:right w:type="dxa" w:w="100"/>
            </w:tcMar>
          </w:tcPr>
          <w:p>
            <w:r>
              <w:rPr>
                <w:b w:val="false"/>
                <w:bCs w:val="false"/>
                <w:sz w:val="20"/>
                <w:szCs w:val="20"/>
              </w:rPr>
              <w:t xml:space="preserve">[High/Medium/Low]</w:t>
            </w:r>
          </w:p>
        </w:tc>
        <w:tc>
          <w:tcPr>
            <w:tcW w:type="dxa" w:w="1500"/>
            <w:tcMar>
              <w:top w:type="dxa" w:w="80"/>
              <w:left w:type="dxa" w:w="100"/>
              <w:bottom w:type="dxa" w:w="80"/>
              <w:right w:type="dxa" w:w="100"/>
            </w:tcMar>
          </w:tcPr>
          <w:p>
            <w:r>
              <w:rPr>
                <w:b w:val="false"/>
                <w:bCs w:val="false"/>
                <w:sz w:val="20"/>
                <w:szCs w:val="20"/>
              </w:rPr>
              <w:t xml:space="preserve">[High/Medium/Low]</w:t>
            </w:r>
          </w:p>
        </w:tc>
        <w:tc>
          <w:tcPr>
            <w:tcW w:type="dxa" w:w="3300"/>
            <w:tcMar>
              <w:top w:type="dxa" w:w="80"/>
              <w:left w:type="dxa" w:w="100"/>
              <w:bottom w:type="dxa" w:w="80"/>
              <w:right w:type="dxa" w:w="100"/>
            </w:tcMar>
          </w:tcPr>
          <w:p>
            <w:r>
              <w:rPr>
                <w:b w:val="false"/>
                <w:bCs w:val="false"/>
                <w:sz w:val="20"/>
                <w:szCs w:val="20"/>
              </w:rPr>
              <w:t xml:space="preserve">[why this rating was assigned]</w:t>
            </w:r>
          </w:p>
        </w:tc>
      </w:tr>
      <w:tr>
        <w:tc>
          <w:tcPr>
            <w:tcW w:type="dxa" w:w="1200"/>
            <w:tcMar>
              <w:top w:type="dxa" w:w="80"/>
              <w:left w:type="dxa" w:w="100"/>
              <w:bottom w:type="dxa" w:w="80"/>
              <w:right w:type="dxa" w:w="100"/>
            </w:tcMar>
          </w:tcPr>
          <w:p>
            <w:r>
              <w:rPr>
                <w:b w:val="false"/>
                <w:bCs w:val="false"/>
                <w:sz w:val="20"/>
                <w:szCs w:val="20"/>
              </w:rPr>
              <w:t xml:space="preserve">VULN-02</w:t>
            </w:r>
          </w:p>
        </w:tc>
        <w:tc>
          <w:tcPr>
            <w:tcW w:type="dxa" w:w="1700"/>
            <w:tcMar>
              <w:top w:type="dxa" w:w="80"/>
              <w:left w:type="dxa" w:w="100"/>
              <w:bottom w:type="dxa" w:w="80"/>
              <w:right w:type="dxa" w:w="100"/>
            </w:tcMar>
          </w:tcPr>
          <w:p>
            <w:r>
              <w:rPr>
                <w:b w:val="false"/>
                <w:bCs w:val="false"/>
                <w:sz w:val="20"/>
                <w:szCs w:val="20"/>
              </w:rPr>
              <w:t xml:space="preserve">[Critical/High/Medium/Low]</w:t>
            </w:r>
          </w:p>
        </w:tc>
        <w:tc>
          <w:tcPr>
            <w:tcW w:type="dxa" w:w="1500"/>
            <w:tcMar>
              <w:top w:type="dxa" w:w="80"/>
              <w:left w:type="dxa" w:w="100"/>
              <w:bottom w:type="dxa" w:w="80"/>
              <w:right w:type="dxa" w:w="100"/>
            </w:tcMar>
          </w:tcPr>
          <w:p>
            <w:r>
              <w:rPr>
                <w:b w:val="false"/>
                <w:bCs w:val="false"/>
                <w:sz w:val="20"/>
                <w:szCs w:val="20"/>
              </w:rPr>
              <w:t xml:space="preserve">[High/Medium/Low]</w:t>
            </w:r>
          </w:p>
        </w:tc>
        <w:tc>
          <w:tcPr>
            <w:tcW w:type="dxa" w:w="1500"/>
            <w:tcMar>
              <w:top w:type="dxa" w:w="80"/>
              <w:left w:type="dxa" w:w="100"/>
              <w:bottom w:type="dxa" w:w="80"/>
              <w:right w:type="dxa" w:w="100"/>
            </w:tcMar>
          </w:tcPr>
          <w:p>
            <w:r>
              <w:rPr>
                <w:b w:val="false"/>
                <w:bCs w:val="false"/>
                <w:sz w:val="20"/>
                <w:szCs w:val="20"/>
              </w:rPr>
              <w:t xml:space="preserve">[High/Medium/Low]</w:t>
            </w:r>
          </w:p>
        </w:tc>
        <w:tc>
          <w:tcPr>
            <w:tcW w:type="dxa" w:w="3300"/>
            <w:tcMar>
              <w:top w:type="dxa" w:w="80"/>
              <w:left w:type="dxa" w:w="100"/>
              <w:bottom w:type="dxa" w:w="80"/>
              <w:right w:type="dxa" w:w="100"/>
            </w:tcMar>
          </w:tcPr>
          <w:p>
            <w:r>
              <w:rPr>
                <w:b w:val="false"/>
                <w:bCs w:val="false"/>
                <w:sz w:val="20"/>
                <w:szCs w:val="20"/>
              </w:rPr>
              <w:t xml:space="preserve">[why this rating was assigned]</w:t>
            </w:r>
          </w:p>
        </w:tc>
      </w:tr>
    </w:tbl>
    <w:p>
      <w:pPr>
        <w:spacing w:after="120" w:before="240"/>
      </w:pPr>
      <w:r>
        <w:rPr>
          <w:b/>
          <w:bCs/>
          <w:sz w:val="24"/>
          <w:szCs w:val="24"/>
        </w:rPr>
        <w:t xml:space="preserve">5. Recommendations</w:t>
      </w:r>
    </w:p>
    <w:p>
      <w:pPr>
        <w:pStyle w:val="ListParagraph"/>
        <w:numPr>
          <w:ilvl w:val="0"/>
          <w:numId w:val="1"/>
        </w:numPr>
        <w:spacing w:after="80"/>
      </w:pPr>
      <w:r>
        <w:t xml:space="preserve">[VULN-01]: [specific, actionable fix — not just “fix the vulnerability”]</w:t>
      </w:r>
    </w:p>
    <w:p>
      <w:pPr>
        <w:pStyle w:val="ListParagraph"/>
        <w:numPr>
          <w:ilvl w:val="0"/>
          <w:numId w:val="1"/>
        </w:numPr>
        <w:spacing w:after="80"/>
      </w:pPr>
      <w:r>
        <w:t xml:space="preserve">[VULN-02]: [specific, actionable fix]</w:t>
      </w:r>
    </w:p>
    <w:p>
      <w:pPr>
        <w:pStyle w:val="ListParagraph"/>
        <w:numPr>
          <w:ilvl w:val="0"/>
          <w:numId w:val="1"/>
        </w:numPr>
        <w:spacing w:after="80"/>
      </w:pPr>
      <w:r>
        <w:t xml:space="preserve">General: [any broader process recommendation, e.g., “integrate automated security scanning into the CI/CD pipeline”]</w:t>
      </w:r>
    </w:p>
    <w:p>
      <w:pPr>
        <w:pStyle w:val="Heading2"/>
        <w:spacing w:after="150" w:before="300"/>
      </w:pPr>
      <w:r>
        <w:t xml:space="preserve">Task 4: VAPT report entry — plaintext password storage</w:t>
      </w:r>
    </w:p>
    <w:p>
      <w:pPr>
        <w:spacing w:after="150"/>
      </w:pPr>
      <w:r>
        <w:t xml:space="preserve">Sample report entry, written in professional VAPT-report language:</w:t>
      </w:r>
    </w:p>
    <w:p>
      <w:pPr>
        <w:pBdr>
          <w:top w:val="single" w:color="6B46C1" w:sz="10"/>
          <w:bottom w:val="single" w:color="6B46C1" w:sz="10"/>
          <w:left w:val="single" w:color="6B46C1" w:sz="10"/>
          <w:right w:val="single" w:color="6B46C1" w:sz="10"/>
        </w:pBdr>
        <w:shd w:fill="F4F4F4" w:val="clear"/>
        <w:spacing w:after="150"/>
        <w:ind w:left="150" w:right="150"/>
      </w:pPr>
      <w:r>
        <w:rPr>
          <w:b/>
          <w:bCs/>
          <w:sz w:val="22"/>
          <w:szCs w:val="22"/>
        </w:rPr>
        <w:t xml:space="preserve">Finding: Passwords Stored in Plaintext</w:t>
      </w:r>
      <w:r>
        <w:br/>
        <w:br/>
        <w:t xml:space="preserve"/>
      </w:r>
      <w:r>
        <w:rPr>
          <w:b/>
          <w:bCs/>
          <w:sz w:val="20"/>
          <w:szCs w:val="20"/>
        </w:rPr>
        <w:t xml:space="preserve">Description: </w:t>
      </w:r>
      <w:r>
        <w:rPr>
          <w:sz w:val="20"/>
          <w:szCs w:val="20"/>
        </w:rPr>
        <w:t xml:space="preserve">During testing of the movie ticket booking application's backend database, it was identified that user account passwords are stored in plaintext rather than being hashed. Any party with read access to the database — whether through a direct breach, an insider, or a misconfigured backup — would be able to view every user's actual password without needing to crack or brute-force anything.</w:t>
      </w:r>
      <w:r>
        <w:br/>
        <w:br/>
        <w:t xml:space="preserve"/>
      </w:r>
      <w:r>
        <w:rPr>
          <w:b/>
          <w:bCs/>
          <w:sz w:val="20"/>
          <w:szCs w:val="20"/>
        </w:rPr>
        <w:t xml:space="preserve">Risk Level: </w:t>
      </w:r>
      <w:r>
        <w:rPr>
          <w:sz w:val="20"/>
          <w:szCs w:val="20"/>
        </w:rPr>
        <w:t xml:space="preserve">Critical. This finding exposes user credentials in full the moment any unauthorized access to the database occurs, and because many users reuse passwords across multiple services, the impact extends well beyond this single application to any other account sharing the same password.</w:t>
      </w:r>
      <w:r>
        <w:br/>
        <w:br/>
        <w:t xml:space="preserve"/>
      </w:r>
      <w:r>
        <w:rPr>
          <w:b/>
          <w:bCs/>
          <w:sz w:val="20"/>
          <w:szCs w:val="20"/>
        </w:rPr>
        <w:t xml:space="preserve">Recommendation: </w:t>
      </w:r>
      <w:r>
        <w:rPr>
          <w:sz w:val="20"/>
          <w:szCs w:val="20"/>
        </w:rPr>
        <w:t xml:space="preserve">Passwords should never be stored in a reversible or plaintext form. Implement a strong, purpose-built password hashing algorithm such as bcrypt, scrypt, or Argon2 (not a general-purpose hash like MD5 or SHA-1, which are too fast and vulnerable to brute-force/rainbow-table attacks). Each password should be hashed with a unique, randomly generated salt before storage, and all existing plaintext passwords should be invalidated, forcing a mandatory password reset for every user as part of remediation.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2026-10-01T08:38:07.848Z</dcterms:created>
  <dcterms:modified xsi:type="dcterms:W3CDTF">2026-10-01T08:38:07.849Z</dcterms:modified>
</cp:coreProperties>
</file>

<file path=docProps/custom.xml><?xml version="1.0" encoding="utf-8"?>
<Properties xmlns="http://schemas.openxmlformats.org/officeDocument/2006/custom-properties" xmlns:vt="http://schemas.openxmlformats.org/officeDocument/2006/docPropsVTypes"/>
</file>