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Examining</w:t>
      </w:r>
      <w:r>
        <w:t xml:space="preserve"> </w:t>
      </w:r>
      <w:r>
        <w:t xml:space="preserve">the</w:t>
      </w:r>
      <w:r>
        <w:t xml:space="preserve"> </w:t>
      </w:r>
      <w:r>
        <w:t xml:space="preserve">mental</w:t>
      </w:r>
      <w:r>
        <w:t xml:space="preserve"> </w:t>
      </w:r>
      <w:r>
        <w:t xml:space="preserve">health</w:t>
      </w:r>
      <w:r>
        <w:t xml:space="preserve"> </w:t>
      </w:r>
      <w:r>
        <w:t xml:space="preserve">impacts</w:t>
      </w:r>
      <w:r>
        <w:t xml:space="preserve"> </w:t>
      </w:r>
      <w:r>
        <w:t xml:space="preserve">of</w:t>
      </w:r>
      <w:r>
        <w:t xml:space="preserve"> </w:t>
      </w:r>
      <w:r>
        <w:t xml:space="preserve">Universal</w:t>
      </w:r>
      <w:r>
        <w:t xml:space="preserve"> </w:t>
      </w:r>
      <w:r>
        <w:t xml:space="preserve">Credit,</w:t>
      </w:r>
      <w:r>
        <w:t xml:space="preserve"> </w:t>
      </w:r>
      <w:r>
        <w:t xml:space="preserve">treating</w:t>
      </w:r>
      <w:r>
        <w:t xml:space="preserve"> </w:t>
      </w:r>
      <w:r>
        <w:t xml:space="preserve">phased</w:t>
      </w:r>
      <w:r>
        <w:t xml:space="preserve"> </w:t>
      </w:r>
      <w:r>
        <w:t xml:space="preserve">rollout</w:t>
      </w:r>
      <w:r>
        <w:t xml:space="preserve"> </w:t>
      </w:r>
      <w:r>
        <w:t xml:space="preserve">as</w:t>
      </w:r>
      <w:r>
        <w:t xml:space="preserve"> </w:t>
      </w:r>
      <w:r>
        <w:t xml:space="preserve">a</w:t>
      </w:r>
      <w:r>
        <w:t xml:space="preserve"> </w:t>
      </w:r>
      <w:r>
        <w:t xml:space="preserve">natural</w:t>
      </w:r>
      <w:r>
        <w:t xml:space="preserve"> </w:t>
      </w:r>
      <w:r>
        <w:t xml:space="preserve">experiment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Baxter,</w:t>
      </w:r>
      <w:r>
        <w:t xml:space="preserve"> </w:t>
      </w:r>
      <w:r>
        <w:t xml:space="preserve">Sophie</w:t>
      </w:r>
      <w:r>
        <w:t xml:space="preserve"> </w:t>
      </w:r>
      <w:r>
        <w:t xml:space="preserve">Wickham,</w:t>
      </w:r>
      <w:r>
        <w:t xml:space="preserve"> </w:t>
      </w:r>
      <w:r>
        <w:t xml:space="preserve">Mandy</w:t>
      </w:r>
      <w:r>
        <w:t xml:space="preserve"> </w:t>
      </w:r>
      <w:r>
        <w:t xml:space="preserve">Cheetham,</w:t>
      </w:r>
      <w:r>
        <w:t xml:space="preserve"> </w:t>
      </w:r>
      <w:r>
        <w:t xml:space="preserve">Emma</w:t>
      </w:r>
      <w:r>
        <w:t xml:space="preserve"> </w:t>
      </w:r>
      <w:r>
        <w:t xml:space="preserve">Coombes,</w:t>
      </w:r>
      <w:r>
        <w:t xml:space="preserve"> </w:t>
      </w:r>
      <w:r>
        <w:t xml:space="preserve">Clare</w:t>
      </w:r>
      <w:r>
        <w:t xml:space="preserve"> </w:t>
      </w:r>
      <w:r>
        <w:t xml:space="preserve">Bambra,</w:t>
      </w:r>
      <w:r>
        <w:t xml:space="preserve"> </w:t>
      </w:r>
      <w:r>
        <w:t xml:space="preserve">David</w:t>
      </w:r>
      <w:r>
        <w:t xml:space="preserve"> </w:t>
      </w:r>
      <w:r>
        <w:t xml:space="preserve">Taylor-Robinson,</w:t>
      </w:r>
      <w:r>
        <w:t xml:space="preserve"> </w:t>
      </w:r>
      <w:r>
        <w:t xml:space="preserve">Luke</w:t>
      </w:r>
      <w:r>
        <w:t xml:space="preserve"> </w:t>
      </w:r>
      <w:r>
        <w:t xml:space="preserve">Munford,</w:t>
      </w:r>
      <w:r>
        <w:t xml:space="preserve"> </w:t>
      </w:r>
      <w:r>
        <w:t xml:space="preserve">Huasheng</w:t>
      </w:r>
      <w:r>
        <w:t xml:space="preserve"> </w:t>
      </w:r>
      <w:r>
        <w:t xml:space="preserve">Xiang,</w:t>
      </w:r>
      <w:r>
        <w:t xml:space="preserve"> </w:t>
      </w:r>
      <w:r>
        <w:t xml:space="preserve">Mattheo</w:t>
      </w:r>
      <w:r>
        <w:t xml:space="preserve"> </w:t>
      </w:r>
      <w:r>
        <w:t xml:space="preserve">Richiardi,</w:t>
      </w:r>
      <w:r>
        <w:t xml:space="preserve"> </w:t>
      </w:r>
      <w:r>
        <w:t xml:space="preserve">Heather</w:t>
      </w:r>
      <w:r>
        <w:t xml:space="preserve"> </w:t>
      </w:r>
      <w:r>
        <w:t xml:space="preserve">Brown,</w:t>
      </w:r>
      <w:r>
        <w:t xml:space="preserve"> </w:t>
      </w:r>
      <w:r>
        <w:t xml:space="preserve">Matthew</w:t>
      </w:r>
      <w:r>
        <w:t xml:space="preserve"> </w:t>
      </w:r>
      <w:r>
        <w:t xml:space="preserve">Sutton,</w:t>
      </w:r>
      <w:r>
        <w:t xml:space="preserve"> </w:t>
      </w:r>
      <w:r>
        <w:t xml:space="preserve">Benjamin</w:t>
      </w:r>
      <w:r>
        <w:t xml:space="preserve"> </w:t>
      </w:r>
      <w:r>
        <w:t xml:space="preserve">Barr,</w:t>
      </w:r>
      <w:r>
        <w:t xml:space="preserve"> </w:t>
      </w:r>
      <w:r>
        <w:t xml:space="preserve">Vittal</w:t>
      </w:r>
      <w:r>
        <w:t xml:space="preserve"> </w:t>
      </w:r>
      <w:r>
        <w:t xml:space="preserve">Katikireddi,</w:t>
      </w:r>
      <w:r>
        <w:t xml:space="preserve"> </w:t>
      </w:r>
      <w:r>
        <w:t xml:space="preserve">Peter</w:t>
      </w:r>
      <w:r>
        <w:t xml:space="preserve"> </w:t>
      </w:r>
      <w:r>
        <w:t xml:space="preserve">Craig</w:t>
      </w:r>
    </w:p>
    <w:p>
      <w:pPr>
        <w:pStyle w:val="Date"/>
      </w:pPr>
      <w:r>
        <w:t xml:space="preserve">2023-09-07</w:t>
      </w:r>
    </w:p>
    <w:bookmarkStart w:id="25" w:name="abstract"/>
    <w:p>
      <w:pPr>
        <w:pStyle w:val="Heading1"/>
      </w:pPr>
      <w:r>
        <w:t xml:space="preserve">Abstract</w:t>
      </w:r>
    </w:p>
    <w:bookmarkStart w:id="20" w:name="background"/>
    <w:p>
      <w:pPr>
        <w:pStyle w:val="Heading4"/>
      </w:pPr>
      <w:r>
        <w:t xml:space="preserve">Background</w:t>
      </w:r>
    </w:p>
    <w:p>
      <w:pPr>
        <w:pStyle w:val="FirstParagraph"/>
      </w:pPr>
      <w:r>
        <w:t xml:space="preserve">Universal Credit was rolled out across the UK as a benefit system to</w:t>
      </w:r>
      <w:r>
        <w:t xml:space="preserve"> </w:t>
      </w:r>
      <w:r>
        <w:t xml:space="preserve">replace six existing benefits. It aimed to consolidate and simplify</w:t>
      </w:r>
      <w:r>
        <w:t xml:space="preserve"> </w:t>
      </w:r>
      <w:r>
        <w:t xml:space="preserve">benefit claim systems and encourage more claimants into work. Key</w:t>
      </w:r>
      <w:r>
        <w:t xml:space="preserve"> </w:t>
      </w:r>
      <w:r>
        <w:t xml:space="preserve">changes from legacy benefit systems may be harmful to the mental health</w:t>
      </w:r>
      <w:r>
        <w:t xml:space="preserve"> </w:t>
      </w:r>
      <w:r>
        <w:t xml:space="preserve">of claimants, or conversely, the push towards work may have beneficial</w:t>
      </w:r>
      <w:r>
        <w:t xml:space="preserve"> </w:t>
      </w:r>
      <w:r>
        <w:t xml:space="preserve">effects. We aimed to test the causal effects of Universal Credit</w:t>
      </w:r>
      <w:r>
        <w:t xml:space="preserve"> </w:t>
      </w:r>
      <w:r>
        <w:t xml:space="preserve">compared to legacy benefit systems, treating the phased rollout as a</w:t>
      </w:r>
      <w:r>
        <w:t xml:space="preserve"> </w:t>
      </w:r>
      <w:r>
        <w:t xml:space="preserve">natural experiment.</w:t>
      </w:r>
    </w:p>
    <w:bookmarkEnd w:id="20"/>
    <w:bookmarkStart w:id="21" w:name="methods"/>
    <w:p>
      <w:pPr>
        <w:pStyle w:val="Heading4"/>
      </w:pPr>
      <w:r>
        <w:t xml:space="preserve">Methods</w:t>
      </w:r>
    </w:p>
    <w:p>
      <w:pPr>
        <w:pStyle w:val="FirstParagraph"/>
      </w:pPr>
      <w:r>
        <w:t xml:space="preserve">We used difference-in-differences methods to test for changes in mental</w:t>
      </w:r>
      <w:r>
        <w:t xml:space="preserve"> </w:t>
      </w:r>
      <w:r>
        <w:t xml:space="preserve">health and well-being using the measures of life satisfaction,</w:t>
      </w:r>
      <w:r>
        <w:t xml:space="preserve"> </w:t>
      </w:r>
      <w:r>
        <w:t xml:space="preserve">happiness, anxiety and whether respondents felt their lives were</w:t>
      </w:r>
      <w:r>
        <w:t xml:space="preserve"> </w:t>
      </w:r>
      <w:r>
        <w:t xml:space="preserve">worthwhile reported in the Annual Population Survey. We compared</w:t>
      </w:r>
      <w:r>
        <w:t xml:space="preserve"> </w:t>
      </w:r>
      <w:r>
        <w:t xml:space="preserve">as-yet-untreated areas with UC-rollout areas by month across the natural</w:t>
      </w:r>
      <w:r>
        <w:t xml:space="preserve"> </w:t>
      </w:r>
      <w:r>
        <w:t xml:space="preserve">migration phase. We conducted subgroup analyses to test for differential</w:t>
      </w:r>
      <w:r>
        <w:t xml:space="preserve"> </w:t>
      </w:r>
      <w:r>
        <w:t xml:space="preserve">harms by claimant types and other vulnerabilities.</w:t>
      </w:r>
    </w:p>
    <w:bookmarkEnd w:id="21"/>
    <w:bookmarkStart w:id="22" w:name="findings"/>
    <w:p>
      <w:pPr>
        <w:pStyle w:val="Heading4"/>
      </w:pPr>
      <w:r>
        <w:t xml:space="preserve">Findings</w:t>
      </w:r>
    </w:p>
    <w:bookmarkEnd w:id="22"/>
    <w:bookmarkStart w:id="23" w:name="interpretation"/>
    <w:p>
      <w:pPr>
        <w:pStyle w:val="Heading4"/>
      </w:pPr>
      <w:r>
        <w:t xml:space="preserve">Interpretation</w:t>
      </w:r>
    </w:p>
    <w:bookmarkEnd w:id="23"/>
    <w:bookmarkStart w:id="24" w:name="funding"/>
    <w:p>
      <w:pPr>
        <w:pStyle w:val="Heading4"/>
      </w:pPr>
      <w:r>
        <w:t xml:space="preserve">Funding</w:t>
      </w:r>
    </w:p>
    <w:p>
      <w:pPr>
        <w:pStyle w:val="FirstParagraph"/>
      </w:pPr>
      <w:r>
        <w:t xml:space="preserve">This research is supported by the UK National Institute of Health</w:t>
      </w:r>
      <w:r>
        <w:t xml:space="preserve"> </w:t>
      </w:r>
      <w:r>
        <w:t xml:space="preserve">Research Public Health Research Programme, grant number NIHR131709.</w:t>
      </w:r>
    </w:p>
    <w:p>
      <w:r>
        <w:br w:type="page"/>
      </w:r>
    </w:p>
    <w:bookmarkEnd w:id="24"/>
    <w:bookmarkEnd w:id="25"/>
    <w:bookmarkStart w:id="26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Universal Credit (UC) was introduced as a new, replacement benefit</w:t>
      </w:r>
      <w:r>
        <w:t xml:space="preserve"> </w:t>
      </w:r>
      <w:r>
        <w:t xml:space="preserve">system, combining multiple prior benefits into a single application and</w:t>
      </w:r>
      <w:r>
        <w:t xml:space="preserve"> </w:t>
      </w:r>
      <w:r>
        <w:t xml:space="preserve">award scheme. Rollout began in 2013 and aimed to gradually migrate all</w:t>
      </w:r>
      <w:r>
        <w:t xml:space="preserve"> </w:t>
      </w:r>
      <w:r>
        <w:t xml:space="preserve">claimants of a</w:t>
      </w:r>
      <w:r>
        <w:t xml:space="preserve"> </w:t>
      </w:r>
      <w:r>
        <w:t xml:space="preserve">‘</w:t>
      </w:r>
      <w:r>
        <w:t xml:space="preserve">legacy benefit</w:t>
      </w:r>
      <w:r>
        <w:t xml:space="preserve">’</w:t>
      </w:r>
      <w:r>
        <w:t xml:space="preserve"> </w:t>
      </w:r>
      <w:r>
        <w:t xml:space="preserve">– Job Seekers Allowance, Working Tax</w:t>
      </w:r>
      <w:r>
        <w:t xml:space="preserve"> </w:t>
      </w:r>
      <w:r>
        <w:t xml:space="preserve">Credit, Child Tax Credit, Housing Benefit, Income Support Allowance, or</w:t>
      </w:r>
      <w:r>
        <w:t xml:space="preserve"> </w:t>
      </w:r>
      <w:r>
        <w:t xml:space="preserve">Income-based Employment Support Allowance – to the new claims system</w:t>
      </w:r>
      <w:r>
        <w:t xml:space="preserve"> </w:t>
      </w:r>
      <w:r>
        <w:t xml:space="preserve">(National Audit Office, 2018; Department for Work &amp; Pensions, 2022a)</w:t>
      </w:r>
      <w:r>
        <w:t xml:space="preserve">. The UC</w:t>
      </w:r>
      <w:r>
        <w:t xml:space="preserve"> </w:t>
      </w:r>
      <w:r>
        <w:t xml:space="preserve">system, in comparison with the legacy systems, is designed as a fully</w:t>
      </w:r>
      <w:r>
        <w:t xml:space="preserve"> </w:t>
      </w:r>
      <w:r>
        <w:t xml:space="preserve">online application and claim-handling system. It aims to encourage more</w:t>
      </w:r>
      <w:r>
        <w:t xml:space="preserve"> </w:t>
      </w:r>
      <w:r>
        <w:t xml:space="preserve">claimants into work by setting eligibility criteria, introducing a</w:t>
      </w:r>
      <w:r>
        <w:t xml:space="preserve"> </w:t>
      </w:r>
      <w:r>
        <w:t xml:space="preserve">single</w:t>
      </w:r>
      <w:r>
        <w:t xml:space="preserve"> </w:t>
      </w:r>
      <w:r>
        <w:t xml:space="preserve">‘</w:t>
      </w:r>
      <w:r>
        <w:t xml:space="preserve">taper</w:t>
      </w:r>
      <w:r>
        <w:t xml:space="preserve">’</w:t>
      </w:r>
      <w:r>
        <w:t xml:space="preserve"> </w:t>
      </w:r>
      <w:r>
        <w:t xml:space="preserve">on awards as income increases, and making payments in</w:t>
      </w:r>
      <w:r>
        <w:t xml:space="preserve"> </w:t>
      </w:r>
      <w:r>
        <w:t xml:space="preserve">lieu of each claim month, mimicking salary payments</w:t>
      </w:r>
      <w:r>
        <w:t xml:space="preserve"> </w:t>
      </w:r>
      <w:r>
        <w:t xml:space="preserve">(Wickham</w:t>
      </w:r>
      <w:r>
        <w:t xml:space="preserve"> </w:t>
      </w:r>
      <w:r>
        <w:rPr>
          <w:iCs/>
          <w:i/>
        </w:rPr>
        <w:t xml:space="preserve">et al.</w:t>
      </w:r>
      <w:r>
        <w:t xml:space="preserve">, 2020; Department for Work &amp; Pensions, 2022a, 2022b)</w:t>
      </w:r>
      <w:r>
        <w:t xml:space="preserve">.</w:t>
      </w:r>
    </w:p>
    <w:p>
      <w:pPr>
        <w:pStyle w:val="BodyText"/>
      </w:pPr>
      <w:r>
        <w:t xml:space="preserve">The change to Universal Credit may have negatively affected the health</w:t>
      </w:r>
      <w:r>
        <w:t xml:space="preserve"> </w:t>
      </w:r>
      <w:r>
        <w:t xml:space="preserve">and wellbeing of some benefit recipients</w:t>
      </w:r>
      <w:r>
        <w:t xml:space="preserve"> </w:t>
      </w:r>
      <w:r>
        <w:t xml:space="preserve">(Wickham</w:t>
      </w:r>
      <w:r>
        <w:t xml:space="preserve"> </w:t>
      </w:r>
      <w:r>
        <w:rPr>
          <w:iCs/>
          <w:i/>
        </w:rPr>
        <w:t xml:space="preserve">et al.</w:t>
      </w:r>
      <w:r>
        <w:t xml:space="preserve">, 2020; Brewer, Dang and Tominey, 2022)</w:t>
      </w:r>
      <w:r>
        <w:t xml:space="preserve">.</w:t>
      </w:r>
      <w:r>
        <w:t xml:space="preserve"> </w:t>
      </w:r>
      <w:r>
        <w:t xml:space="preserve">Waits for first payments – with the minimum 5-week assessment period</w:t>
      </w:r>
      <w:r>
        <w:t xml:space="preserve"> </w:t>
      </w:r>
      <w:r>
        <w:t xml:space="preserve">plus administrative delays resulting in up to a 12-week wait</w:t>
      </w:r>
      <w:r>
        <w:t xml:space="preserve"> </w:t>
      </w:r>
      <w:r>
        <w:t xml:space="preserve">(National Audit Office, 2018; Cheetham</w:t>
      </w:r>
      <w:r>
        <w:t xml:space="preserve"> </w:t>
      </w:r>
      <w:r>
        <w:rPr>
          <w:iCs/>
          <w:i/>
        </w:rPr>
        <w:t xml:space="preserve">et al.</w:t>
      </w:r>
      <w:r>
        <w:t xml:space="preserve">, 2019)</w:t>
      </w:r>
      <w:r>
        <w:t xml:space="preserve"> </w:t>
      </w:r>
      <w:r>
        <w:t xml:space="preserve">– may be a potential cause of</w:t>
      </w:r>
      <w:r>
        <w:t xml:space="preserve"> </w:t>
      </w:r>
      <w:r>
        <w:t xml:space="preserve">distress in low-income households. Incurred debt and ongoing struggles</w:t>
      </w:r>
      <w:r>
        <w:t xml:space="preserve"> </w:t>
      </w:r>
      <w:r>
        <w:t xml:space="preserve">to keep up with payments may prolong this effect beyond the initial</w:t>
      </w:r>
      <w:r>
        <w:t xml:space="preserve"> </w:t>
      </w:r>
      <w:r>
        <w:t xml:space="preserve">months</w:t>
      </w:r>
      <w:r>
        <w:t xml:space="preserve"> </w:t>
      </w:r>
      <w:r>
        <w:t xml:space="preserve">(Department for Work &amp; Pensions, 2018a)</w:t>
      </w:r>
      <w:r>
        <w:t xml:space="preserve">. Increased work-search</w:t>
      </w:r>
      <w:r>
        <w:t xml:space="preserve"> </w:t>
      </w:r>
      <w:r>
        <w:t xml:space="preserve">requirements might similarly impact mental health across the term of</w:t>
      </w:r>
      <w:r>
        <w:t xml:space="preserve"> </w:t>
      </w:r>
      <w:r>
        <w:t xml:space="preserve">benefit receipt, potentially requiring action beyond claimants’</w:t>
      </w:r>
      <w:r>
        <w:t xml:space="preserve"> </w:t>
      </w:r>
      <w:r>
        <w:t xml:space="preserve">capabilities or being perceived as</w:t>
      </w:r>
      <w:r>
        <w:t xml:space="preserve"> </w:t>
      </w:r>
      <w:r>
        <w:t xml:space="preserve">‘</w:t>
      </w:r>
      <w:r>
        <w:t xml:space="preserve">hostile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uncaring</w:t>
      </w:r>
      <w:r>
        <w:t xml:space="preserve">’</w:t>
      </w:r>
      <w:r>
        <w:t xml:space="preserve"> </w:t>
      </w:r>
      <w:r>
        <w:t xml:space="preserve">in demanding</w:t>
      </w:r>
      <w:r>
        <w:t xml:space="preserve"> </w:t>
      </w:r>
      <w:r>
        <w:t xml:space="preserve">justification for inaction</w:t>
      </w:r>
      <w:r>
        <w:t xml:space="preserve"> </w:t>
      </w:r>
      <w:r>
        <w:t xml:space="preserve">(Cheetham</w:t>
      </w:r>
      <w:r>
        <w:t xml:space="preserve"> </w:t>
      </w:r>
      <w:r>
        <w:rPr>
          <w:iCs/>
          <w:i/>
        </w:rPr>
        <w:t xml:space="preserve">et al.</w:t>
      </w:r>
      <w:r>
        <w:t xml:space="preserve">, 2019; Department for Work &amp; Pensions, 2023)</w:t>
      </w:r>
      <w:r>
        <w:t xml:space="preserve">. The switch to fully-online claims</w:t>
      </w:r>
      <w:r>
        <w:t xml:space="preserve"> </w:t>
      </w:r>
      <w:r>
        <w:t xml:space="preserve">system, perceived as</w:t>
      </w:r>
      <w:r>
        <w:t xml:space="preserve"> </w:t>
      </w:r>
      <w:r>
        <w:t xml:space="preserve">“</w:t>
      </w:r>
      <w:r>
        <w:t xml:space="preserve">complicated, disorientating, impersonal, hostile</w:t>
      </w:r>
      <w:r>
        <w:t xml:space="preserve"> </w:t>
      </w:r>
      <w:r>
        <w:t xml:space="preserve">and demeaning</w:t>
      </w:r>
      <w:r>
        <w:t xml:space="preserve">”</w:t>
      </w:r>
      <w:r>
        <w:t xml:space="preserve"> </w:t>
      </w:r>
      <w:r>
        <w:t xml:space="preserve">(Cheetham</w:t>
      </w:r>
      <w:r>
        <w:t xml:space="preserve"> </w:t>
      </w:r>
      <w:r>
        <w:rPr>
          <w:iCs/>
          <w:i/>
        </w:rPr>
        <w:t xml:space="preserve">et al.</w:t>
      </w:r>
      <w:r>
        <w:t xml:space="preserve">, 2019)</w:t>
      </w:r>
      <w:r>
        <w:t xml:space="preserve">, may additionally have contributed to</w:t>
      </w:r>
      <w:r>
        <w:t xml:space="preserve"> </w:t>
      </w:r>
      <w:r>
        <w:t xml:space="preserve">worsening mental health. Conversely, the aim to increased employment of</w:t>
      </w:r>
      <w:r>
        <w:t xml:space="preserve"> </w:t>
      </w:r>
      <w:r>
        <w:t xml:space="preserve">benefit claimants may lead to improved mental health outcomes, both</w:t>
      </w:r>
      <w:r>
        <w:t xml:space="preserve"> </w:t>
      </w:r>
      <w:r>
        <w:t xml:space="preserve">through support in applying for jobs and in less punitive reductions in</w:t>
      </w:r>
      <w:r>
        <w:t xml:space="preserve"> </w:t>
      </w:r>
      <w:r>
        <w:t xml:space="preserve">benefits with increases in earned income</w:t>
      </w:r>
      <w:r>
        <w:t xml:space="preserve"> </w:t>
      </w:r>
      <w:r>
        <w:t xml:space="preserve">(Department for Work &amp; Pensions, 2022a)</w:t>
      </w:r>
      <w:r>
        <w:t xml:space="preserve">.</w:t>
      </w:r>
    </w:p>
    <w:p>
      <w:pPr>
        <w:pStyle w:val="BodyText"/>
      </w:pPr>
      <w:r>
        <w:t xml:space="preserve">Treating the phased rollout as a stepped-wedge natural experiment, the</w:t>
      </w:r>
      <w:r>
        <w:t xml:space="preserve"> </w:t>
      </w:r>
      <w:r>
        <w:t xml:space="preserve">causal effects of UC on mental health may be estimable using</w:t>
      </w:r>
      <w:r>
        <w:t xml:space="preserve"> </w:t>
      </w:r>
      <w:r>
        <w:t xml:space="preserve">as-yet-unexposed areas as controls. Natural experimental methods divide</w:t>
      </w:r>
      <w:r>
        <w:t xml:space="preserve"> </w:t>
      </w:r>
      <w:r>
        <w:t xml:space="preserve">populations into exposed and unexposed comparison groups using events</w:t>
      </w:r>
      <w:r>
        <w:t xml:space="preserve"> </w:t>
      </w:r>
      <w:r>
        <w:t xml:space="preserve">outside of the control of the researcher</w:t>
      </w:r>
      <w:r>
        <w:t xml:space="preserve"> </w:t>
      </w:r>
      <w:r>
        <w:t xml:space="preserve">(Craig</w:t>
      </w:r>
      <w:r>
        <w:t xml:space="preserve"> </w:t>
      </w:r>
      <w:r>
        <w:rPr>
          <w:iCs/>
          <w:i/>
        </w:rPr>
        <w:t xml:space="preserve">et al.</w:t>
      </w:r>
      <w:r>
        <w:t xml:space="preserve">, 2017)</w:t>
      </w:r>
      <w:r>
        <w:t xml:space="preserve">. Using the planned</w:t>
      </w:r>
      <w:r>
        <w:t xml:space="preserve"> </w:t>
      </w:r>
      <w:r>
        <w:t xml:space="preserve">UC</w:t>
      </w:r>
      <w:r>
        <w:t xml:space="preserve"> </w:t>
      </w:r>
      <w:r>
        <w:t xml:space="preserve">‘</w:t>
      </w:r>
      <w:r>
        <w:t xml:space="preserve">natural migration</w:t>
      </w:r>
      <w:r>
        <w:t xml:space="preserve">’</w:t>
      </w:r>
      <w:r>
        <w:t xml:space="preserve"> </w:t>
      </w:r>
      <w:r>
        <w:t xml:space="preserve">rollout timetable, potential benefit claimants</w:t>
      </w:r>
      <w:r>
        <w:t xml:space="preserve"> </w:t>
      </w:r>
      <w:r>
        <w:t xml:space="preserve">can be classified as</w:t>
      </w:r>
      <w:r>
        <w:t xml:space="preserve"> </w:t>
      </w:r>
      <w:r>
        <w:t xml:space="preserve">‘</w:t>
      </w:r>
      <w:r>
        <w:t xml:space="preserve">exposed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unexposed</w:t>
      </w:r>
      <w:r>
        <w:t xml:space="preserve">’</w:t>
      </w:r>
      <w:r>
        <w:t xml:space="preserve"> </w:t>
      </w:r>
      <w:r>
        <w:t xml:space="preserve">by determining whether UC</w:t>
      </w:r>
      <w:r>
        <w:t xml:space="preserve"> </w:t>
      </w:r>
      <w:r>
        <w:t xml:space="preserve">had, at date of data collection, been implemented in the local authority</w:t>
      </w:r>
      <w:r>
        <w:t xml:space="preserve"> </w:t>
      </w:r>
      <w:r>
        <w:t xml:space="preserve">area or not. Quantifying these effects would give a clearer picture of</w:t>
      </w:r>
      <w:r>
        <w:t xml:space="preserve"> </w:t>
      </w:r>
      <w:r>
        <w:t xml:space="preserve">how much observed differences in mental health are attributable to the</w:t>
      </w:r>
      <w:r>
        <w:t xml:space="preserve"> </w:t>
      </w:r>
      <w:r>
        <w:t xml:space="preserve">switch to a new benefit system and give an estimate of whether UC causes</w:t>
      </w:r>
      <w:r>
        <w:t xml:space="preserve"> </w:t>
      </w:r>
      <w:r>
        <w:t xml:space="preserve">overall benefits or harms to claimants. Subgroup analyses of claimant</w:t>
      </w:r>
      <w:r>
        <w:t xml:space="preserve"> </w:t>
      </w:r>
      <w:r>
        <w:t xml:space="preserve">types and other vulnerabilities can also identify at-risk groups and</w:t>
      </w:r>
      <w:r>
        <w:t xml:space="preserve"> </w:t>
      </w:r>
      <w:r>
        <w:t xml:space="preserve">areas for preventative action. These findings could inform future</w:t>
      </w:r>
      <w:r>
        <w:t xml:space="preserve"> </w:t>
      </w:r>
      <w:r>
        <w:t xml:space="preserve">changes to benefit systems to improve mental health outcomes.</w:t>
      </w:r>
    </w:p>
    <w:p>
      <w:pPr>
        <w:pStyle w:val="BodyText"/>
      </w:pPr>
      <w:r>
        <w:t xml:space="preserve">This study is part of Work Package 1 of an NIHR-funded study on</w:t>
      </w:r>
      <w:r>
        <w:t xml:space="preserve"> </w:t>
      </w:r>
      <w:r>
        <w:t xml:space="preserve">evaluating the mental health impacts of Universal Credit grant number</w:t>
      </w:r>
      <w:r>
        <w:t xml:space="preserve"> </w:t>
      </w:r>
      <w:r>
        <w:t xml:space="preserve">NIHR131709;</w:t>
      </w:r>
      <w:r>
        <w:t xml:space="preserve"> </w:t>
      </w:r>
      <w:r>
        <w:t xml:space="preserve">Craig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(2022)</w:t>
      </w:r>
      <w:r>
        <w:t xml:space="preserve">].</w:t>
      </w:r>
    </w:p>
    <w:bookmarkEnd w:id="26"/>
    <w:bookmarkStart w:id="38" w:name="methods-1"/>
    <w:p>
      <w:pPr>
        <w:pStyle w:val="Heading1"/>
      </w:pPr>
      <w:r>
        <w:t xml:space="preserve">Methods</w:t>
      </w:r>
    </w:p>
    <w:bookmarkStart w:id="28" w:name="aim-and-research-questions"/>
    <w:p>
      <w:pPr>
        <w:pStyle w:val="Heading2"/>
      </w:pPr>
      <w:r>
        <w:t xml:space="preserve">Aim and research questions</w:t>
      </w:r>
    </w:p>
    <w:p>
      <w:pPr>
        <w:pStyle w:val="FirstParagraph"/>
      </w:pPr>
      <w:r>
        <w:t xml:space="preserve">We aimed to estimate the Average Treatment Effects across Local</w:t>
      </w:r>
      <w:r>
        <w:t xml:space="preserve"> </w:t>
      </w:r>
      <w:r>
        <w:t xml:space="preserve">Authority areas of Universal Credit on the mental health of people</w:t>
      </w:r>
      <w:r>
        <w:t xml:space="preserve"> </w:t>
      </w:r>
      <w:r>
        <w:t xml:space="preserve">eligible to claim benefits. Additionally, we aimed to test differences</w:t>
      </w:r>
      <w:r>
        <w:t xml:space="preserve"> </w:t>
      </w:r>
      <w:r>
        <w:t xml:space="preserve">in effect sizes across markers of vulnerability.</w:t>
      </w:r>
    </w:p>
    <w:bookmarkStart w:id="27" w:name="research-questions"/>
    <w:p>
      <w:pPr>
        <w:pStyle w:val="Heading3"/>
      </w:pPr>
      <w:r>
        <w:t xml:space="preserve">Research questions</w:t>
      </w:r>
    </w:p>
    <w:p>
      <w:pPr>
        <w:numPr>
          <w:ilvl w:val="0"/>
          <w:numId w:val="1001"/>
        </w:numPr>
        <w:pStyle w:val="Compact"/>
      </w:pPr>
      <w:r>
        <w:t xml:space="preserve">What is the impact of UC rollout on the mental health and wellbeing</w:t>
      </w:r>
      <w:r>
        <w:t xml:space="preserve"> </w:t>
      </w:r>
      <w:r>
        <w:t xml:space="preserve">of working age adults?</w:t>
      </w:r>
    </w:p>
    <w:p>
      <w:pPr>
        <w:numPr>
          <w:ilvl w:val="0"/>
          <w:numId w:val="1001"/>
        </w:numPr>
        <w:pStyle w:val="Compact"/>
      </w:pPr>
      <w:r>
        <w:t xml:space="preserve">Do effects vary across sex, age of claimant, pre-UC employment</w:t>
      </w:r>
      <w:r>
        <w:t xml:space="preserve"> </w:t>
      </w:r>
      <w:r>
        <w:t xml:space="preserve">status, household structure, disability and health status, and</w:t>
      </w:r>
      <w:r>
        <w:t xml:space="preserve"> </w:t>
      </w:r>
      <w:r>
        <w:t xml:space="preserve">country?</w:t>
      </w:r>
    </w:p>
    <w:p>
      <w:pPr>
        <w:numPr>
          <w:ilvl w:val="0"/>
          <w:numId w:val="1001"/>
        </w:numPr>
        <w:pStyle w:val="Compact"/>
      </w:pPr>
      <w:r>
        <w:t xml:space="preserve">How does this effect vary in the time periods immediately before and</w:t>
      </w:r>
      <w:r>
        <w:t xml:space="preserve"> </w:t>
      </w:r>
      <w:r>
        <w:t xml:space="preserve">immediately following a switch to Universal Credit? Are there</w:t>
      </w:r>
      <w:r>
        <w:t xml:space="preserve"> </w:t>
      </w:r>
      <w:r>
        <w:t xml:space="preserve">anticipatory effects in the immediate pre-rollout period? Do</w:t>
      </w:r>
      <w:r>
        <w:t xml:space="preserve"> </w:t>
      </w:r>
      <w:r>
        <w:t xml:space="preserve">post-exposure effects change as time from rollout increases?</w:t>
      </w:r>
    </w:p>
    <w:bookmarkEnd w:id="27"/>
    <w:bookmarkEnd w:id="28"/>
    <w:bookmarkStart w:id="30" w:name="protocol"/>
    <w:p>
      <w:pPr>
        <w:pStyle w:val="Heading2"/>
      </w:pPr>
      <w:r>
        <w:t xml:space="preserve">Protocol</w:t>
      </w:r>
    </w:p>
    <w:p>
      <w:pPr>
        <w:pStyle w:val="FirstParagraph"/>
      </w:pPr>
      <w:r>
        <w:t xml:space="preserve">The analysis plan, along with code used in analysis, is archived at</w:t>
      </w:r>
      <w:r>
        <w:t xml:space="preserve"> </w:t>
      </w:r>
      <w:hyperlink r:id="rId29">
        <w:r>
          <w:rPr>
            <w:rStyle w:val="Hyperlink"/>
          </w:rPr>
          <w:t xml:space="preserve">osf.io/knajb</w:t>
        </w:r>
      </w:hyperlink>
      <w:r>
        <w:t xml:space="preserve"> </w:t>
      </w:r>
      <w:r>
        <w:t xml:space="preserve">(Baxter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.</w:t>
      </w:r>
    </w:p>
    <w:bookmarkEnd w:id="30"/>
    <w:bookmarkStart w:id="31" w:name="data"/>
    <w:p>
      <w:pPr>
        <w:pStyle w:val="Heading2"/>
      </w:pPr>
      <w:r>
        <w:t xml:space="preserve">Data</w:t>
      </w:r>
    </w:p>
    <w:p>
      <w:pPr>
        <w:pStyle w:val="FirstParagraph"/>
      </w:pPr>
      <w:r>
        <w:t xml:space="preserve">We used data from the Annual Population Survey (APS) secure-access</w:t>
      </w:r>
      <w:r>
        <w:t xml:space="preserve"> </w:t>
      </w:r>
      <w:r>
        <w:t xml:space="preserve">version collected between 2013-2019</w:t>
      </w:r>
      <w:r>
        <w:t xml:space="preserve"> </w:t>
      </w:r>
      <w:r>
        <w:t xml:space="preserve">(Office for National Statistics - Social Survey Division, 2022)</w:t>
      </w:r>
      <w:r>
        <w:t xml:space="preserve">. These data are</w:t>
      </w:r>
      <w:r>
        <w:t xml:space="preserve"> </w:t>
      </w:r>
      <w:r>
        <w:t xml:space="preserve">released as annual cross-sectional datasets, produced from the Labour</w:t>
      </w:r>
      <w:r>
        <w:t xml:space="preserve"> </w:t>
      </w:r>
      <w:r>
        <w:t xml:space="preserve">Force Survey data collection</w:t>
      </w:r>
      <w:r>
        <w:t xml:space="preserve"> </w:t>
      </w:r>
      <w:r>
        <w:t xml:space="preserve">(Office for National Statistics, 2012)</w:t>
      </w:r>
      <w:r>
        <w:t xml:space="preserve">. APS</w:t>
      </w:r>
      <w:r>
        <w:t xml:space="preserve"> </w:t>
      </w:r>
      <w:r>
        <w:t xml:space="preserve">responses record demographics, household and employment conditions,</w:t>
      </w:r>
      <w:r>
        <w:t xml:space="preserve"> </w:t>
      </w:r>
      <w:r>
        <w:t xml:space="preserve">benefit receipt and the</w:t>
      </w:r>
      <w:r>
        <w:t xml:space="preserve"> </w:t>
      </w:r>
      <w:r>
        <w:t xml:space="preserve">‘</w:t>
      </w:r>
      <w:r>
        <w:t xml:space="preserve">ONS4</w:t>
      </w:r>
      <w:r>
        <w:t xml:space="preserve">’</w:t>
      </w:r>
      <w:r>
        <w:t xml:space="preserve"> </w:t>
      </w:r>
      <w:r>
        <w:t xml:space="preserve">well-being outcomes [</w:t>
      </w:r>
      <w:r>
        <w:t xml:space="preserve">‘</w:t>
      </w:r>
      <w:r>
        <w:t xml:space="preserve">Life Satisfaction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Worthwhile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Happiness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Anxiety</w:t>
      </w:r>
      <w:r>
        <w:t xml:space="preserve">’</w:t>
      </w:r>
      <w:r>
        <w:t xml:space="preserve">;</w:t>
      </w:r>
      <w:r>
        <w:t xml:space="preserve"> </w:t>
      </w:r>
      <w:r>
        <w:t xml:space="preserve">Office for National Statistics (2018)</w:t>
      </w:r>
      <w:r>
        <w:t xml:space="preserve">]. Data are collected using area-based</w:t>
      </w:r>
      <w:r>
        <w:t xml:space="preserve"> </w:t>
      </w:r>
      <w:r>
        <w:t xml:space="preserve">quotas and record each observation’s area of residence; this allows</w:t>
      </w:r>
      <w:r>
        <w:t xml:space="preserve"> </w:t>
      </w:r>
      <w:r>
        <w:t xml:space="preserve">grouping of observations by Local Authority District, which match the</w:t>
      </w:r>
      <w:r>
        <w:t xml:space="preserve"> </w:t>
      </w:r>
      <w:r>
        <w:t xml:space="preserve">area-wise Universal Credit rollouts announced for the 2015–2018 period</w:t>
      </w:r>
      <w:r>
        <w:t xml:space="preserve"> </w:t>
      </w:r>
      <w:r>
        <w:t xml:space="preserve">(Department for Work &amp; Pensions, 2018b)</w:t>
      </w:r>
      <w:r>
        <w:t xml:space="preserve">.</w:t>
      </w:r>
    </w:p>
    <w:bookmarkEnd w:id="31"/>
    <w:bookmarkStart w:id="32" w:name="study-design"/>
    <w:p>
      <w:pPr>
        <w:pStyle w:val="Heading2"/>
      </w:pPr>
      <w:r>
        <w:t xml:space="preserve">Study design</w:t>
      </w:r>
    </w:p>
    <w:p>
      <w:pPr>
        <w:pStyle w:val="FirstParagraph"/>
      </w:pPr>
      <w:r>
        <w:t xml:space="preserve">We used natural experimental methods to estimate the effects of the</w:t>
      </w:r>
      <w:r>
        <w:t xml:space="preserve"> </w:t>
      </w:r>
      <w:r>
        <w:t xml:space="preserve">rollout of Universal Credit on mental health across all claimants and</w:t>
      </w:r>
      <w:r>
        <w:t xml:space="preserve"> </w:t>
      </w:r>
      <w:r>
        <w:t xml:space="preserve">potential claimants. We treated the differences in treatment timing as a</w:t>
      </w:r>
      <w:r>
        <w:t xml:space="preserve"> </w:t>
      </w:r>
      <w:r>
        <w:t xml:space="preserve">‘</w:t>
      </w:r>
      <w:r>
        <w:t xml:space="preserve">target trial</w:t>
      </w:r>
      <w:r>
        <w:t xml:space="preserve">’</w:t>
      </w:r>
      <w:r>
        <w:t xml:space="preserve">, evaluating how closely the phased rollout emulates a</w:t>
      </w:r>
      <w:r>
        <w:t xml:space="preserve"> </w:t>
      </w:r>
      <w:r>
        <w:t xml:space="preserve">stepped wedge randomised controlled trial to assess the potential for</w:t>
      </w:r>
      <w:r>
        <w:t xml:space="preserve"> </w:t>
      </w:r>
      <w:r>
        <w:t xml:space="preserve">bias in these comparisons (Hernán and Robins, 2016; Craig et al., 2019;</w:t>
      </w:r>
      <w:r>
        <w:t xml:space="preserve"> </w:t>
      </w:r>
      <w:r>
        <w:t xml:space="preserve">Matthews et al., 2022). We determined the eligible population using two</w:t>
      </w:r>
      <w:r>
        <w:t xml:space="preserve"> </w:t>
      </w:r>
      <w:r>
        <w:t xml:space="preserve">methods – observation of any benefit receipt at any time point, and a</w:t>
      </w:r>
      <w:r>
        <w:t xml:space="preserve"> </w:t>
      </w:r>
      <w:r>
        <w:t xml:space="preserve">logistic regression prediction of UC uptake under a simulated</w:t>
      </w:r>
      <w:r>
        <w:t xml:space="preserve"> </w:t>
      </w:r>
      <w:r>
        <w:t xml:space="preserve">full-UC-rollout scenario using UKMOD (Centre for Microsimulation and</w:t>
      </w:r>
      <w:r>
        <w:t xml:space="preserve"> </w:t>
      </w:r>
      <w:r>
        <w:t xml:space="preserve">Policy Analysis, 2022). We conducted a staggered</w:t>
      </w:r>
      <w:r>
        <w:t xml:space="preserve"> </w:t>
      </w:r>
      <w:r>
        <w:t xml:space="preserve">difference-in-differences analysis, treating the UC</w:t>
      </w:r>
      <w:r>
        <w:t xml:space="preserve"> </w:t>
      </w:r>
      <w:r>
        <w:t xml:space="preserve">‘</w:t>
      </w:r>
      <w:r>
        <w:t xml:space="preserve">natural migration</w:t>
      </w:r>
      <w:r>
        <w:t xml:space="preserve">’</w:t>
      </w:r>
      <w:r>
        <w:t xml:space="preserve"> </w:t>
      </w:r>
      <w:r>
        <w:t xml:space="preserve">phased rollout period as a marker defining exposed and unexposed</w:t>
      </w:r>
      <w:r>
        <w:t xml:space="preserve"> </w:t>
      </w:r>
      <w:r>
        <w:t xml:space="preserve">comparators (Callaway and Sant’Anna, 2021; Goodman-Bacon, 2021; Sun and</w:t>
      </w:r>
      <w:r>
        <w:t xml:space="preserve"> </w:t>
      </w:r>
      <w:r>
        <w:t xml:space="preserve">Abraham, 2021). We compared changes in mental health in local authority</w:t>
      </w:r>
      <w:r>
        <w:t xml:space="preserve"> </w:t>
      </w:r>
      <w:r>
        <w:t xml:space="preserve">areas in which Universal Credit had been introduced with changes in</w:t>
      </w:r>
      <w:r>
        <w:t xml:space="preserve"> </w:t>
      </w:r>
      <w:r>
        <w:t xml:space="preserve">mental health in local authority areas in which Universal Credit had not</w:t>
      </w:r>
      <w:r>
        <w:t xml:space="preserve"> </w:t>
      </w:r>
      <w:r>
        <w:t xml:space="preserve">yet been introduced. We explored differences in effects across subgroup</w:t>
      </w:r>
      <w:r>
        <w:t xml:space="preserve"> </w:t>
      </w:r>
      <w:r>
        <w:t xml:space="preserve">characteristics marking potential differences in vulnerability to</w:t>
      </w:r>
      <w:r>
        <w:t xml:space="preserve"> </w:t>
      </w:r>
      <w:r>
        <w:t xml:space="preserve">benefit changes and differences in reasons for claiming universal</w:t>
      </w:r>
      <w:r>
        <w:t xml:space="preserve"> </w:t>
      </w:r>
      <w:r>
        <w:t xml:space="preserve">credit.</w:t>
      </w:r>
    </w:p>
    <w:bookmarkEnd w:id="32"/>
    <w:bookmarkStart w:id="33" w:name="determining-the-affected-population"/>
    <w:p>
      <w:pPr>
        <w:pStyle w:val="Heading2"/>
      </w:pPr>
      <w:r>
        <w:t xml:space="preserve">Determining the affected population</w:t>
      </w:r>
    </w:p>
    <w:p>
      <w:pPr>
        <w:pStyle w:val="FirstParagraph"/>
      </w:pPr>
      <w:r>
        <w:t xml:space="preserve">To determine comparable populations of potential UC claimants across the</w:t>
      </w:r>
      <w:r>
        <w:t xml:space="preserve"> </w:t>
      </w:r>
      <w:r>
        <w:t xml:space="preserve">observed years for inclusion, we used two definitions of population of</w:t>
      </w:r>
      <w:r>
        <w:t xml:space="preserve"> </w:t>
      </w:r>
      <w:r>
        <w:t xml:space="preserve">interest, one using empirical methods of determining exposure and one</w:t>
      </w:r>
      <w:r>
        <w:t xml:space="preserve"> </w:t>
      </w:r>
      <w:r>
        <w:t xml:space="preserve">using prediction methods.</w:t>
      </w:r>
    </w:p>
    <w:p>
      <w:pPr>
        <w:pStyle w:val="BodyText"/>
      </w:pPr>
      <w:r>
        <w:t xml:space="preserve">Under the empirical definition, the population of interest included all</w:t>
      </w:r>
      <w:r>
        <w:t xml:space="preserve"> </w:t>
      </w:r>
      <w:r>
        <w:t xml:space="preserve">respondents who report claiming either a legacy benefit (Job Seeker’s</w:t>
      </w:r>
      <w:r>
        <w:t xml:space="preserve"> </w:t>
      </w:r>
      <w:r>
        <w:t xml:space="preserve">Allowance, Tax Credits, Housing Benefit, Income support, Income-based</w:t>
      </w:r>
      <w:r>
        <w:t xml:space="preserve"> </w:t>
      </w:r>
      <w:r>
        <w:t xml:space="preserve">Employment and Support Allowance) or Universal Credit at any time point.</w:t>
      </w:r>
      <w:r>
        <w:t xml:space="preserve"> </w:t>
      </w:r>
      <w:r>
        <w:t xml:space="preserve">A limitation of this method is that a potential claimant under one</w:t>
      </w:r>
      <w:r>
        <w:t xml:space="preserve"> </w:t>
      </w:r>
      <w:r>
        <w:t xml:space="preserve">system may be ineligible (or have been disincentivised from applying)</w:t>
      </w:r>
      <w:r>
        <w:t xml:space="preserve"> </w:t>
      </w:r>
      <w:r>
        <w:t xml:space="preserve">under the other. Under the intended outputs of UC in encouraging</w:t>
      </w:r>
      <w:r>
        <w:t xml:space="preserve"> </w:t>
      </w:r>
      <w:r>
        <w:t xml:space="preserve">claimants into work, a person whose circumstances have been thus</w:t>
      </w:r>
      <w:r>
        <w:t xml:space="preserve"> </w:t>
      </w:r>
      <w:r>
        <w:t xml:space="preserve">affected by the UC rollout might not be an observed claimant in the</w:t>
      </w:r>
      <w:r>
        <w:t xml:space="preserve"> </w:t>
      </w:r>
      <w:r>
        <w:t xml:space="preserve">exposed period. Matching cross-sectional populations by observed benefit</w:t>
      </w:r>
      <w:r>
        <w:t xml:space="preserve"> </w:t>
      </w:r>
      <w:r>
        <w:t xml:space="preserve">receipt may not create exchangeable populations. Additionally, benefit</w:t>
      </w:r>
      <w:r>
        <w:t xml:space="preserve"> </w:t>
      </w:r>
      <w:r>
        <w:t xml:space="preserve">receipt may be differentially underreported under one or both systems.</w:t>
      </w:r>
      <w:r>
        <w:t xml:space="preserve"> </w:t>
      </w:r>
      <w:r>
        <w:t xml:space="preserve">The alternative approach of using observed characteristics as</w:t>
      </w:r>
      <w:r>
        <w:t xml:space="preserve"> </w:t>
      </w:r>
      <w:r>
        <w:t xml:space="preserve">straightforward markers of eligibility (for example, including all</w:t>
      </w:r>
      <w:r>
        <w:t xml:space="preserve"> </w:t>
      </w:r>
      <w:r>
        <w:t xml:space="preserve">unemployed respondents) is hampered by missing data on housing costs,</w:t>
      </w:r>
      <w:r>
        <w:t xml:space="preserve"> </w:t>
      </w:r>
      <w:r>
        <w:t xml:space="preserve">savings and partner’s income which determine eligibility and payment</w:t>
      </w:r>
      <w:r>
        <w:t xml:space="preserve"> </w:t>
      </w:r>
      <w:r>
        <w:t xml:space="preserve">amount.</w:t>
      </w:r>
    </w:p>
    <w:p>
      <w:pPr>
        <w:pStyle w:val="BodyText"/>
      </w:pPr>
      <w:r>
        <w:t xml:space="preserve">To overcome these potential biases, we used a machine-learning model</w:t>
      </w:r>
      <w:r>
        <w:t xml:space="preserve"> </w:t>
      </w:r>
      <w:r>
        <w:t xml:space="preserve">trained on simulated data to predict the probability of a person</w:t>
      </w:r>
      <w:r>
        <w:t xml:space="preserve"> </w:t>
      </w:r>
      <w:r>
        <w:t xml:space="preserve">receiving UC under a full-UC-rollout scenario. We used the UKMOD static</w:t>
      </w:r>
      <w:r>
        <w:t xml:space="preserve"> </w:t>
      </w:r>
      <w:r>
        <w:t xml:space="preserve">tax-benefit microsimulation model to simulate benefit receipt for a</w:t>
      </w:r>
      <w:r>
        <w:t xml:space="preserve"> </w:t>
      </w:r>
      <w:r>
        <w:t xml:space="preserve">donor population (from the Family Resources Survey) under a</w:t>
      </w:r>
      <w:r>
        <w:t xml:space="preserve"> </w:t>
      </w:r>
      <w:r>
        <w:t xml:space="preserve">full-UC-rollout scenario from 2014 to 2019. We trained a model to</w:t>
      </w:r>
      <w:r>
        <w:t xml:space="preserve"> </w:t>
      </w:r>
      <w:r>
        <w:t xml:space="preserve">predict probability of receipt of Universal Credit from a set of</w:t>
      </w:r>
      <w:r>
        <w:t xml:space="preserve"> </w:t>
      </w:r>
      <w:r>
        <w:t xml:space="preserve">individual and household characteristics which were recorded in both the</w:t>
      </w:r>
      <w:r>
        <w:t xml:space="preserve"> </w:t>
      </w:r>
      <w:r>
        <w:t xml:space="preserve">Family Resources Survey dataset and the APS dataset. We used this model</w:t>
      </w:r>
      <w:r>
        <w:t xml:space="preserve"> </w:t>
      </w:r>
      <w:r>
        <w:t xml:space="preserve">to calculate a probability score for each observation in the APS dataset</w:t>
      </w:r>
      <w:r>
        <w:t xml:space="preserve"> </w:t>
      </w:r>
      <w:r>
        <w:t xml:space="preserve">for receiving UC in the hypothetical scenario of exclusive and full UC</w:t>
      </w:r>
      <w:r>
        <w:t xml:space="preserve"> </w:t>
      </w:r>
      <w:r>
        <w:t xml:space="preserve">availability across all years. We assigned this probability as a weight</w:t>
      </w:r>
      <w:r>
        <w:t xml:space="preserve"> </w:t>
      </w:r>
      <w:r>
        <w:t xml:space="preserve">to each respondent to have a comparably weighted population across all</w:t>
      </w:r>
      <w:r>
        <w:t xml:space="preserve"> </w:t>
      </w:r>
      <w:r>
        <w:t xml:space="preserve">years, giving greatest weight to those who were most likely to be</w:t>
      </w:r>
      <w:r>
        <w:t xml:space="preserve"> </w:t>
      </w:r>
      <w:r>
        <w:t xml:space="preserve">affected by the changes in benefit systems.</w:t>
      </w:r>
    </w:p>
    <w:bookmarkEnd w:id="33"/>
    <w:bookmarkStart w:id="34" w:name="exposure"/>
    <w:p>
      <w:pPr>
        <w:pStyle w:val="Heading2"/>
      </w:pPr>
      <w:r>
        <w:t xml:space="preserve">Exposure</w:t>
      </w:r>
    </w:p>
    <w:p>
      <w:pPr>
        <w:pStyle w:val="FirstParagraph"/>
      </w:pPr>
      <w:r>
        <w:t xml:space="preserve">The replacement of legacy benefits with UC broadly took place in three</w:t>
      </w:r>
      <w:r>
        <w:t xml:space="preserve"> </w:t>
      </w:r>
      <w:r>
        <w:t xml:space="preserve">phases</w:t>
      </w:r>
      <w:r>
        <w:t xml:space="preserve"> </w:t>
      </w:r>
      <w:r>
        <w:t xml:space="preserve">(Department for Work &amp; Pensions, 2018b, 2022a; National Audit Office, 2018)</w:t>
      </w:r>
      <w:r>
        <w:t xml:space="preserve">:</w:t>
      </w:r>
    </w:p>
    <w:p>
      <w:pPr>
        <w:numPr>
          <w:ilvl w:val="0"/>
          <w:numId w:val="1002"/>
        </w:numPr>
        <w:pStyle w:val="Compact"/>
      </w:pPr>
      <w:r>
        <w:t xml:space="preserve">The restricted rollout of the</w:t>
      </w:r>
      <w:r>
        <w:t xml:space="preserve"> </w:t>
      </w:r>
      <w:r>
        <w:t xml:space="preserve">‘</w:t>
      </w:r>
      <w:r>
        <w:t xml:space="preserve">live service</w:t>
      </w:r>
      <w:r>
        <w:t xml:space="preserve">’</w:t>
      </w:r>
      <w:r>
        <w:t xml:space="preserve"> </w:t>
      </w:r>
      <w:r>
        <w:t xml:space="preserve">from 2013 to a limited</w:t>
      </w:r>
      <w:r>
        <w:t xml:space="preserve"> </w:t>
      </w:r>
      <w:r>
        <w:t xml:space="preserve">subgroup, mainly single, childless claimants.</w:t>
      </w:r>
    </w:p>
    <w:p>
      <w:pPr>
        <w:numPr>
          <w:ilvl w:val="0"/>
          <w:numId w:val="1002"/>
        </w:numPr>
        <w:pStyle w:val="Compact"/>
      </w:pPr>
      <w:r>
        <w:t xml:space="preserve">The full-service</w:t>
      </w:r>
      <w:r>
        <w:t xml:space="preserve"> </w:t>
      </w:r>
      <w:r>
        <w:t xml:space="preserve">‘</w:t>
      </w:r>
      <w:r>
        <w:t xml:space="preserve">natural migration</w:t>
      </w:r>
      <w:r>
        <w:t xml:space="preserve">’</w:t>
      </w:r>
      <w:r>
        <w:t xml:space="preserve"> </w:t>
      </w:r>
      <w:r>
        <w:t xml:space="preserve">period from 2016 onwards –</w:t>
      </w:r>
      <w:r>
        <w:t xml:space="preserve"> </w:t>
      </w:r>
      <w:r>
        <w:t xml:space="preserve">open to all claimant types but only applied to new claimants,</w:t>
      </w:r>
      <w:r>
        <w:t xml:space="preserve"> </w:t>
      </w:r>
      <w:r>
        <w:t xml:space="preserve">existing claimants with changing circumstances necessitating a</w:t>
      </w:r>
      <w:r>
        <w:t xml:space="preserve"> </w:t>
      </w:r>
      <w:r>
        <w:t xml:space="preserve">change in claim, and voluntary benefit switchers.</w:t>
      </w:r>
    </w:p>
    <w:p>
      <w:pPr>
        <w:numPr>
          <w:ilvl w:val="0"/>
          <w:numId w:val="1002"/>
        </w:numPr>
        <w:pStyle w:val="Compact"/>
      </w:pPr>
      <w:r>
        <w:t xml:space="preserve">The concluding</w:t>
      </w:r>
      <w:r>
        <w:t xml:space="preserve"> </w:t>
      </w:r>
      <w:r>
        <w:t xml:space="preserve">‘</w:t>
      </w:r>
      <w:r>
        <w:t xml:space="preserve">managed migration</w:t>
      </w:r>
      <w:r>
        <w:t xml:space="preserve">’</w:t>
      </w:r>
      <w:r>
        <w:t xml:space="preserve"> </w:t>
      </w:r>
      <w:r>
        <w:t xml:space="preserve">phase, which was piloted in</w:t>
      </w:r>
      <w:r>
        <w:t xml:space="preserve"> </w:t>
      </w:r>
      <w:r>
        <w:t xml:space="preserve">2019-2020 but paused for the pandemic and restarted in 2022,</w:t>
      </w:r>
      <w:r>
        <w:t xml:space="preserve"> </w:t>
      </w:r>
      <w:r>
        <w:t xml:space="preserve">implementing a forced migration of all claimants to UC by 2024.</w:t>
      </w:r>
    </w:p>
    <w:p>
      <w:pPr>
        <w:pStyle w:val="FirstParagraph"/>
      </w:pPr>
      <w:r>
        <w:t xml:space="preserve">Observing the whole eligible population, we proposed using the natural</w:t>
      </w:r>
      <w:r>
        <w:t xml:space="preserve"> </w:t>
      </w:r>
      <w:r>
        <w:t xml:space="preserve">migration dates as markers of exposure to Universal Credit if the</w:t>
      </w:r>
      <w:r>
        <w:t xml:space="preserve"> </w:t>
      </w:r>
      <w:r>
        <w:t xml:space="preserve">respondent lived in an area already exposed at the time of data</w:t>
      </w:r>
      <w:r>
        <w:t xml:space="preserve"> </w:t>
      </w:r>
      <w:r>
        <w:t xml:space="preserve">collection. The dates by Job Centre Plus reported in the</w:t>
      </w:r>
      <w:r>
        <w:t xml:space="preserve"> </w:t>
      </w:r>
      <w:r>
        <w:t xml:space="preserve">‘</w:t>
      </w:r>
      <w:r>
        <w:t xml:space="preserve">Universal</w:t>
      </w:r>
      <w:r>
        <w:t xml:space="preserve"> </w:t>
      </w:r>
      <w:r>
        <w:t xml:space="preserve">Credit transition rollout schedule March 2018 to December 2018</w:t>
      </w:r>
      <w:r>
        <w:t xml:space="preserve">’</w:t>
      </w:r>
      <w:r>
        <w:t xml:space="preserve"> </w:t>
      </w:r>
      <w:r>
        <w:t xml:space="preserve">(Department for Work &amp; Pensions, 2018b) were used to determine a first</w:t>
      </w:r>
      <w:r>
        <w:t xml:space="preserve"> </w:t>
      </w:r>
      <w:r>
        <w:t xml:space="preserve">exposed date for each Local Authority. These were matched to APS</w:t>
      </w:r>
      <w:r>
        <w:t xml:space="preserve"> </w:t>
      </w:r>
      <w:r>
        <w:t xml:space="preserve">observations by Local authority district. Each observation was assigned</w:t>
      </w:r>
      <w:r>
        <w:t xml:space="preserve"> </w:t>
      </w:r>
      <w:r>
        <w:t xml:space="preserve">a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for exposure if the reference date for that interview matched or</w:t>
      </w:r>
      <w:r>
        <w:t xml:space="preserve"> </w:t>
      </w:r>
      <w:r>
        <w:t xml:space="preserve">followed the month of rollout and a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 </w:t>
      </w:r>
      <w:r>
        <w:t xml:space="preserve">otherwise. Months from rollout</w:t>
      </w:r>
      <w:r>
        <w:t xml:space="preserve"> </w:t>
      </w:r>
      <w:r>
        <w:t xml:space="preserve">were additionally assigned to each, individual, counting upwards from</w:t>
      </w:r>
      <w:r>
        <w:t xml:space="preserve"> </w:t>
      </w:r>
      <w:r>
        <w:t xml:space="preserve">negative months to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 </w:t>
      </w:r>
      <w:r>
        <w:t xml:space="preserve">in the month of planned natural migration in that</w:t>
      </w:r>
      <w:r>
        <w:t xml:space="preserve"> </w:t>
      </w:r>
      <w:r>
        <w:t xml:space="preserve">district and a positive count of months following.</w:t>
      </w:r>
    </w:p>
    <w:bookmarkEnd w:id="34"/>
    <w:bookmarkStart w:id="35" w:name="outcomes"/>
    <w:p>
      <w:pPr>
        <w:pStyle w:val="Heading2"/>
      </w:pPr>
      <w:r>
        <w:t xml:space="preserve">Outcomes</w:t>
      </w:r>
    </w:p>
    <w:p>
      <w:pPr>
        <w:pStyle w:val="FirstParagraph"/>
      </w:pPr>
      <w:r>
        <w:t xml:space="preserve">The four wellbeing outcomes (Table 1) were recorded for each</w:t>
      </w:r>
      <w:r>
        <w:t xml:space="preserve"> </w:t>
      </w:r>
      <w:r>
        <w:t xml:space="preserve">observation.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420"/>
        <w:gridCol w:w="2750"/>
        <w:gridCol w:w="27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Question in survey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answers (on a scale of 0–10)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 Satisfaction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Overall, how satisfied are you with your life nowadays?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–</w:t>
            </w:r>
            <w:r>
              <w:t xml:space="preserve"> </w:t>
            </w:r>
            <w:r>
              <w:t xml:space="preserve">‘</w:t>
            </w:r>
            <w:r>
              <w:t xml:space="preserve">not at all satisfied</w:t>
            </w:r>
            <w:r>
              <w:t xml:space="preserve">’</w:t>
            </w:r>
            <w:r>
              <w:t xml:space="preserve"> </w:t>
            </w:r>
            <w:r>
              <w:t xml:space="preserve">to 10 –</w:t>
            </w:r>
            <w:r>
              <w:t xml:space="preserve"> </w:t>
            </w:r>
            <w:r>
              <w:t xml:space="preserve">‘</w:t>
            </w:r>
            <w:r>
              <w:t xml:space="preserve">completely satisfied</w:t>
            </w:r>
            <w:r>
              <w:t xml:space="preserve">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Worthwhile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Overall, to what extent do you feel that the things you do in your life are worthwhile?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–</w:t>
            </w:r>
            <w:r>
              <w:t xml:space="preserve"> </w:t>
            </w:r>
            <w:r>
              <w:t xml:space="preserve">‘</w:t>
            </w:r>
            <w:r>
              <w:t xml:space="preserve">not at all worthwhile</w:t>
            </w:r>
            <w:r>
              <w:t xml:space="preserve">’</w:t>
            </w:r>
            <w:r>
              <w:t xml:space="preserve"> </w:t>
            </w:r>
            <w:r>
              <w:t xml:space="preserve">to 10 –</w:t>
            </w:r>
            <w:r>
              <w:t xml:space="preserve"> </w:t>
            </w:r>
            <w:r>
              <w:t xml:space="preserve">‘</w:t>
            </w:r>
            <w:r>
              <w:t xml:space="preserve">completely worthwhile</w:t>
            </w:r>
            <w:r>
              <w:t xml:space="preserve">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Happiness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How happy did you feel yesterday?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–</w:t>
            </w:r>
            <w:r>
              <w:t xml:space="preserve"> </w:t>
            </w:r>
            <w:r>
              <w:t xml:space="preserve">‘</w:t>
            </w:r>
            <w:r>
              <w:t xml:space="preserve">not at all happy</w:t>
            </w:r>
            <w:r>
              <w:t xml:space="preserve">’</w:t>
            </w:r>
            <w:r>
              <w:t xml:space="preserve"> </w:t>
            </w:r>
            <w:r>
              <w:t xml:space="preserve">to 10 –</w:t>
            </w:r>
            <w:r>
              <w:t xml:space="preserve"> </w:t>
            </w:r>
            <w:r>
              <w:t xml:space="preserve">‘</w:t>
            </w:r>
            <w:r>
              <w:t xml:space="preserve">completely happy</w:t>
            </w:r>
            <w:r>
              <w:t xml:space="preserve">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Anxiety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How anxious did you feel yesterday?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–</w:t>
            </w:r>
            <w:r>
              <w:t xml:space="preserve"> </w:t>
            </w:r>
            <w:r>
              <w:t xml:space="preserve">‘</w:t>
            </w:r>
            <w:r>
              <w:t xml:space="preserve">not at all anxious</w:t>
            </w:r>
            <w:r>
              <w:t xml:space="preserve">’</w:t>
            </w:r>
            <w:r>
              <w:t xml:space="preserve"> </w:t>
            </w:r>
            <w:r>
              <w:t xml:space="preserve">to 10 –</w:t>
            </w:r>
            <w:r>
              <w:t xml:space="preserve"> </w:t>
            </w:r>
            <w:r>
              <w:t xml:space="preserve">‘</w:t>
            </w:r>
            <w:r>
              <w:t xml:space="preserve">completely anxious</w:t>
            </w:r>
            <w:r>
              <w:t xml:space="preserve">’</w:t>
            </w:r>
          </w:p>
        </w:tc>
      </w:tr>
    </w:tbl>
    <w:p>
      <w:pPr>
        <w:pStyle w:val="BodyText"/>
      </w:pPr>
      <w:r>
        <w:t xml:space="preserve">Table 1 – The four questions recording subjective wellbeing, recorded</w:t>
      </w:r>
      <w:r>
        <w:t xml:space="preserve"> </w:t>
      </w:r>
      <w:r>
        <w:t xml:space="preserve">in the Annual Population Survey in data collected from April 2011.</w:t>
      </w:r>
    </w:p>
    <w:bookmarkEnd w:id="35"/>
    <w:bookmarkStart w:id="36" w:name="missing-data"/>
    <w:p>
      <w:pPr>
        <w:pStyle w:val="Heading2"/>
      </w:pPr>
      <w:r>
        <w:t xml:space="preserve">Missing data</w:t>
      </w:r>
    </w:p>
    <w:p>
      <w:pPr>
        <w:pStyle w:val="FirstParagraph"/>
      </w:pPr>
      <w:r>
        <w:t xml:space="preserve">We used multiple imputation methods to overcome potential biases due to</w:t>
      </w:r>
      <w:r>
        <w:t xml:space="preserve"> </w:t>
      </w:r>
      <w:r>
        <w:t xml:space="preserve">missing data in our primary analyses. Data of interest was missing for</w:t>
      </w:r>
      <w:r>
        <w:t xml:space="preserve"> </w:t>
      </w:r>
      <w:r>
        <w:t xml:space="preserve">x% of respondents. The variable with the highest rate of missingness was</w:t>
      </w:r>
      <w:r>
        <w:t xml:space="preserve"> </w:t>
      </w:r>
      <w:r>
        <w:t xml:space="preserve">earned income, with data missing for x% of eligible respondents. We</w:t>
      </w:r>
      <w:r>
        <w:t xml:space="preserve"> </w:t>
      </w:r>
      <w:r>
        <w:t xml:space="preserve">generated [20] imputed datasets.</w:t>
      </w:r>
    </w:p>
    <w:p>
      <w:pPr>
        <w:pStyle w:val="BodyText"/>
      </w:pPr>
      <w:r>
        <w:t xml:space="preserve">We additionally carried out a</w:t>
      </w:r>
      <w:r>
        <w:t xml:space="preserve"> </w:t>
      </w:r>
      <w:r>
        <w:t xml:space="preserve">‘</w:t>
      </w:r>
      <w:r>
        <w:t xml:space="preserve">complete</w:t>
      </w:r>
      <w:r>
        <w:t xml:space="preserve"> </w:t>
      </w:r>
      <w:r>
        <w:t xml:space="preserve">case</w:t>
      </w:r>
      <w:r>
        <w:t xml:space="preserve">’</w:t>
      </w:r>
      <w:r>
        <w:t xml:space="preserve"> </w:t>
      </w:r>
      <w:r>
        <w:t xml:space="preserve">analysis of all observations with complete data. We compared</w:t>
      </w:r>
      <w:r>
        <w:t xml:space="preserve"> </w:t>
      </w:r>
      <w:r>
        <w:t xml:space="preserve">effect estimates between complete and imputed samples to examine</w:t>
      </w:r>
      <w:r>
        <w:t xml:space="preserve"> </w:t>
      </w:r>
      <w:r>
        <w:t xml:space="preserve">robustness of findings.</w:t>
      </w:r>
    </w:p>
    <w:bookmarkEnd w:id="36"/>
    <w:bookmarkStart w:id="37" w:name="statistical-analysis"/>
    <w:p>
      <w:pPr>
        <w:pStyle w:val="Heading2"/>
      </w:pPr>
      <w:r>
        <w:t xml:space="preserve">Statistical analysis</w:t>
      </w:r>
    </w:p>
    <w:p>
      <w:pPr>
        <w:pStyle w:val="FirstParagraph"/>
      </w:pPr>
      <w:r>
        <w:t xml:space="preserve">We used difference-in-differences methods to estimate the effects of the</w:t>
      </w:r>
      <w:r>
        <w:t xml:space="preserve"> </w:t>
      </w:r>
      <w:r>
        <w:t xml:space="preserve">introduction of Universal Credit on mental health and wellbeing. Two-way</w:t>
      </w:r>
      <w:r>
        <w:t xml:space="preserve"> </w:t>
      </w:r>
      <w:r>
        <w:t xml:space="preserve">fixed-effects (TWFE) estimates compare exposed with non-yet-exposed</w:t>
      </w:r>
      <w:r>
        <w:t xml:space="preserve"> </w:t>
      </w:r>
      <w:r>
        <w:t xml:space="preserve">units can ensure comparison of exchangeable units. However, in cases of</w:t>
      </w:r>
      <w:r>
        <w:t xml:space="preserve"> </w:t>
      </w:r>
      <w:r>
        <w:t xml:space="preserve">varying treatment timing and effect size this can introduce error in</w:t>
      </w:r>
      <w:r>
        <w:t xml:space="preserve"> </w:t>
      </w:r>
      <w:r>
        <w:t xml:space="preserve">estimating magnitude and direction of outcome (Goodman-Bacon, 2021; Roth</w:t>
      </w:r>
      <w:r>
        <w:t xml:space="preserve"> </w:t>
      </w:r>
      <w:r>
        <w:t xml:space="preserve">et al., 2022). We ran TWFE models and examined effect estimate by</w:t>
      </w:r>
      <w:r>
        <w:t xml:space="preserve"> </w:t>
      </w:r>
      <w:r>
        <w:t xml:space="preserve">treatment timing using decomposition to test for bias due to</w:t>
      </w:r>
      <w:r>
        <w:t xml:space="preserve"> </w:t>
      </w:r>
      <w:r>
        <w:t xml:space="preserve">heterogeneous treatment effects. In further models, to overcome</w:t>
      </w:r>
      <w:r>
        <w:t xml:space="preserve"> </w:t>
      </w:r>
      <w:r>
        <w:t xml:space="preserve">anticipated bias, we used the R package</w:t>
      </w:r>
      <w:r>
        <w:t xml:space="preserve"> </w:t>
      </w:r>
      <w:r>
        <w:t xml:space="preserve">‘</w:t>
      </w:r>
      <w:r>
        <w:t xml:space="preserve">did2s</w:t>
      </w:r>
      <w:r>
        <w:t xml:space="preserve">’</w:t>
      </w:r>
      <w:r>
        <w:t xml:space="preserve"> </w:t>
      </w:r>
      <w:r>
        <w:t xml:space="preserve">(Butts and Gardner,</w:t>
      </w:r>
      <w:r>
        <w:t xml:space="preserve"> </w:t>
      </w:r>
      <w:r>
        <w:t xml:space="preserve">2021) to implement the methods of Callaway and Sant’Anna (2021) and</w:t>
      </w:r>
      <w:r>
        <w:t xml:space="preserve"> </w:t>
      </w:r>
      <w:r>
        <w:t xml:space="preserve">‘</w:t>
      </w:r>
      <w:r>
        <w:t xml:space="preserve">Two-stage differences in differences</w:t>
      </w:r>
      <w:r>
        <w:t xml:space="preserve">’</w:t>
      </w:r>
      <w:r>
        <w:t xml:space="preserve"> </w:t>
      </w:r>
      <w:r>
        <w:t xml:space="preserve">approach by Gardner (2021) as two</w:t>
      </w:r>
      <w:r>
        <w:t xml:space="preserve"> </w:t>
      </w:r>
      <w:r>
        <w:t xml:space="preserve">comparable alternatives. We used each method to estimate a static effect</w:t>
      </w:r>
      <w:r>
        <w:t xml:space="preserve"> </w:t>
      </w:r>
      <w:r>
        <w:t xml:space="preserve">estimate across the four quarters following the rollout date in each</w:t>
      </w:r>
      <w:r>
        <w:t xml:space="preserve"> </w:t>
      </w:r>
      <w:r>
        <w:t xml:space="preserve">Local Authority. We further used each method to produce a coefficient</w:t>
      </w:r>
      <w:r>
        <w:t xml:space="preserve"> </w:t>
      </w:r>
      <w:r>
        <w:t xml:space="preserve">and standard error term for each quarterly period before and after</w:t>
      </w:r>
      <w:r>
        <w:t xml:space="preserve"> </w:t>
      </w:r>
      <w:r>
        <w:t xml:space="preserve">introduction of Universal Credit to examine timings and patters of</w:t>
      </w:r>
      <w:r>
        <w:t xml:space="preserve"> </w:t>
      </w:r>
      <w:r>
        <w:t xml:space="preserve">effects.</w:t>
      </w:r>
    </w:p>
    <w:p>
      <w:r>
        <w:br w:type="page"/>
      </w:r>
    </w:p>
    <w:bookmarkEnd w:id="37"/>
    <w:bookmarkEnd w:id="38"/>
    <w:bookmarkStart w:id="70" w:name="references"/>
    <w:p>
      <w:pPr>
        <w:pStyle w:val="Heading1"/>
      </w:pPr>
      <w:r>
        <w:t xml:space="preserve">References</w:t>
      </w:r>
    </w:p>
    <w:bookmarkStart w:id="69" w:name="refs"/>
    <w:bookmarkStart w:id="40" w:name="ref-Baxter2022"/>
    <w:p>
      <w:pPr>
        <w:pStyle w:val="Bibliography"/>
      </w:pPr>
      <w:r>
        <w:t xml:space="preserve">Baxter, A.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(2022)</w:t>
      </w:r>
      <w:r>
        <w:t xml:space="preserve"> </w:t>
      </w:r>
      <w:r>
        <w:t xml:space="preserve">‘</w:t>
      </w:r>
      <w:r>
        <w:t xml:space="preserve">Difference-in-difference effect estimates of the mental health impacts of the implementation of Universal Credit using Annual Population Survey data (2013-2018 rollout period) - Protocol and documentation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OSF</w:t>
      </w:r>
      <w:r>
        <w:t xml:space="preserve">. doi:</w:t>
      </w:r>
      <w:r>
        <w:t xml:space="preserve"> </w:t>
      </w:r>
      <w:hyperlink r:id="rId39">
        <w:r>
          <w:rPr>
            <w:rStyle w:val="Hyperlink"/>
          </w:rPr>
          <w:t xml:space="preserve">10.17605/OSF.IO/KNAJB</w:t>
        </w:r>
      </w:hyperlink>
      <w:r>
        <w:t xml:space="preserve">.</w:t>
      </w:r>
    </w:p>
    <w:bookmarkEnd w:id="40"/>
    <w:bookmarkStart w:id="42" w:name="ref-Brewer2022"/>
    <w:p>
      <w:pPr>
        <w:pStyle w:val="Bibliography"/>
      </w:pPr>
      <w:r>
        <w:t xml:space="preserve">Brewer, M., Dang, T. and Tominey, E. (2022)</w:t>
      </w:r>
      <w:r>
        <w:t xml:space="preserve"> </w:t>
      </w:r>
      <w:r>
        <w:rPr>
          <w:iCs/>
          <w:i/>
        </w:rPr>
        <w:t xml:space="preserve">Universal Credit: Welfare Reform and Mental Health</w:t>
      </w:r>
      <w:r>
        <w:t xml:space="preserve">. IZA Discussion Papers 15178. Institute of Labor Economics (IZA). Available at:</w:t>
      </w:r>
      <w:r>
        <w:t xml:space="preserve"> </w:t>
      </w:r>
      <w:hyperlink r:id="rId41">
        <w:r>
          <w:rPr>
            <w:rStyle w:val="Hyperlink"/>
          </w:rPr>
          <w:t xml:space="preserve">https://ideas.repec.org/p/iza/izadps/dp15178.html</w:t>
        </w:r>
      </w:hyperlink>
      <w:r>
        <w:t xml:space="preserve">.</w:t>
      </w:r>
    </w:p>
    <w:bookmarkEnd w:id="42"/>
    <w:bookmarkStart w:id="44" w:name="ref-Cheetham2019"/>
    <w:p>
      <w:pPr>
        <w:pStyle w:val="Bibliography"/>
      </w:pPr>
      <w:r>
        <w:t xml:space="preserve">Cheetham, M.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(2019)</w:t>
      </w:r>
      <w:r>
        <w:t xml:space="preserve"> </w:t>
      </w:r>
      <w:r>
        <w:t xml:space="preserve">‘</w:t>
      </w:r>
      <w:r>
        <w:t xml:space="preserve">Impact of Universal Credit in North East England: a qualitative study of claimants and support staff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BMJ Open</w:t>
      </w:r>
      <w:r>
        <w:t xml:space="preserve">, 9(7), p. e029611. doi:</w:t>
      </w:r>
      <w:r>
        <w:t xml:space="preserve"> </w:t>
      </w:r>
      <w:hyperlink r:id="rId43">
        <w:r>
          <w:rPr>
            <w:rStyle w:val="Hyperlink"/>
          </w:rPr>
          <w:t xml:space="preserve">10.1136/BMJOPEN-2019-029611</w:t>
        </w:r>
      </w:hyperlink>
      <w:r>
        <w:t xml:space="preserve">.</w:t>
      </w:r>
    </w:p>
    <w:bookmarkEnd w:id="44"/>
    <w:bookmarkStart w:id="46" w:name="ref-Craig2017"/>
    <w:p>
      <w:pPr>
        <w:pStyle w:val="Bibliography"/>
      </w:pPr>
      <w:r>
        <w:t xml:space="preserve">Craig, P.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(2017)</w:t>
      </w:r>
      <w:r>
        <w:t xml:space="preserve"> </w:t>
      </w:r>
      <w:r>
        <w:t xml:space="preserve">‘</w:t>
      </w:r>
      <w:r>
        <w:t xml:space="preserve">Natural Experiments: An overview of methods, approaches, and contributions to public health intervention research.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Annual review of public health</w:t>
      </w:r>
      <w:r>
        <w:t xml:space="preserve">, 38(1), pp. 39–56. doi:</w:t>
      </w:r>
      <w:r>
        <w:t xml:space="preserve"> </w:t>
      </w:r>
      <w:hyperlink r:id="rId45">
        <w:r>
          <w:rPr>
            <w:rStyle w:val="Hyperlink"/>
          </w:rPr>
          <w:t xml:space="preserve">10.1146/annurev-publhealth-031816-044327</w:t>
        </w:r>
      </w:hyperlink>
      <w:r>
        <w:t xml:space="preserve">.</w:t>
      </w:r>
    </w:p>
    <w:bookmarkEnd w:id="46"/>
    <w:bookmarkStart w:id="48" w:name="ref-Craig2022"/>
    <w:p>
      <w:pPr>
        <w:pStyle w:val="Bibliography"/>
      </w:pPr>
      <w:r>
        <w:t xml:space="preserve">Craig, P.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(2022)</w:t>
      </w:r>
      <w:r>
        <w:t xml:space="preserve"> </w:t>
      </w:r>
      <w:r>
        <w:t xml:space="preserve">‘</w:t>
      </w:r>
      <w:r>
        <w:t xml:space="preserve">Evaluation of the mental health impacts of Universal Credit: protocol for a mixed methods study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BMJ Open</w:t>
      </w:r>
      <w:r>
        <w:t xml:space="preserve">, 12(4), p. e061340. doi:</w:t>
      </w:r>
      <w:r>
        <w:t xml:space="preserve"> </w:t>
      </w:r>
      <w:hyperlink r:id="rId47">
        <w:r>
          <w:rPr>
            <w:rStyle w:val="Hyperlink"/>
          </w:rPr>
          <w:t xml:space="preserve">10.1136/BMJOPEN-2022-061340</w:t>
        </w:r>
      </w:hyperlink>
      <w:r>
        <w:t xml:space="preserve">.</w:t>
      </w:r>
    </w:p>
    <w:bookmarkEnd w:id="48"/>
    <w:bookmarkStart w:id="50" w:name="ref-DepartmentforWork&amp;Pensions2018"/>
    <w:p>
      <w:pPr>
        <w:pStyle w:val="Bibliography"/>
      </w:pPr>
      <w:r>
        <w:t xml:space="preserve">Department for Work &amp; Pensions (2018a)</w:t>
      </w:r>
      <w:r>
        <w:t xml:space="preserve"> </w:t>
      </w:r>
      <w:r>
        <w:rPr>
          <w:iCs/>
          <w:i/>
        </w:rPr>
        <w:t xml:space="preserve">Universal Credit Full Service Survey</w:t>
      </w:r>
      <w:r>
        <w:t xml:space="preserve">. Department for Work; Pensions. Available at:</w:t>
      </w:r>
      <w:r>
        <w:t xml:space="preserve"> </w:t>
      </w:r>
      <w:hyperlink r:id="rId49">
        <w:r>
          <w:rPr>
            <w:rStyle w:val="Hyperlink"/>
          </w:rPr>
          <w:t xml:space="preserve">https://www.gov.uk/government/publications/universal-credit-full-service-claimant-survey</w:t>
        </w:r>
      </w:hyperlink>
      <w:r>
        <w:t xml:space="preserve">.</w:t>
      </w:r>
    </w:p>
    <w:bookmarkEnd w:id="50"/>
    <w:bookmarkStart w:id="52" w:name="ref-DepartmentforWork&amp;Pensions2018a"/>
    <w:p>
      <w:pPr>
        <w:pStyle w:val="Bibliography"/>
      </w:pPr>
      <w:r>
        <w:t xml:space="preserve">Department for Work &amp; Pensions (2018b)</w:t>
      </w:r>
      <w:r>
        <w:t xml:space="preserve"> </w:t>
      </w:r>
      <w:r>
        <w:t xml:space="preserve">‘</w:t>
      </w:r>
      <w:r>
        <w:t xml:space="preserve">Universal Credit transition rollout schedule March 2018 to December 2018</w:t>
      </w:r>
      <w:r>
        <w:t xml:space="preserve">’</w:t>
      </w:r>
      <w:r>
        <w:t xml:space="preserve">. Available at:</w:t>
      </w:r>
      <w:r>
        <w:t xml:space="preserve"> </w:t>
      </w:r>
      <w:hyperlink r:id="rId51">
        <w:r>
          <w:rPr>
            <w:rStyle w:val="Hyperlink"/>
          </w:rPr>
          <w:t xml:space="preserve">https://www.gov.uk/government/publications/universal-credit-transition-to-full-service/universal-credit-transition-rollout-schedule-march-2018-to-december-2018</w:t>
        </w:r>
      </w:hyperlink>
      <w:r>
        <w:t xml:space="preserve"> </w:t>
      </w:r>
      <w:r>
        <w:t xml:space="preserve">(Accessed: 16 February 2022).</w:t>
      </w:r>
    </w:p>
    <w:bookmarkEnd w:id="52"/>
    <w:bookmarkStart w:id="54" w:name="ref-DepartmentforWork&amp;Pensions2022a"/>
    <w:p>
      <w:pPr>
        <w:pStyle w:val="Bibliography"/>
      </w:pPr>
      <w:r>
        <w:t xml:space="preserve">Department for Work &amp; Pensions (2022a)</w:t>
      </w:r>
      <w:r>
        <w:t xml:space="preserve"> </w:t>
      </w:r>
      <w:r>
        <w:rPr>
          <w:iCs/>
          <w:i/>
        </w:rPr>
        <w:t xml:space="preserve">Completing the move to Universal Credit</w:t>
      </w:r>
      <w:r>
        <w:t xml:space="preserve">. London. Available at:</w:t>
      </w:r>
      <w:r>
        <w:t xml:space="preserve"> </w:t>
      </w:r>
      <w:hyperlink r:id="rId53">
        <w:r>
          <w:rPr>
            <w:rStyle w:val="Hyperlink"/>
          </w:rPr>
          <w:t xml:space="preserve">https://www.gov.uk/government/publications/completing-the-move-to-universal-credit/completing-the-move-to-universal-credit--2</w:t>
        </w:r>
      </w:hyperlink>
      <w:r>
        <w:t xml:space="preserve">.</w:t>
      </w:r>
    </w:p>
    <w:bookmarkEnd w:id="54"/>
    <w:bookmarkStart w:id="56" w:name="ref-DepartmentforWork&amp;Pensions2022"/>
    <w:p>
      <w:pPr>
        <w:pStyle w:val="Bibliography"/>
      </w:pPr>
      <w:r>
        <w:t xml:space="preserve">Department for Work &amp; Pensions (2022b)</w:t>
      </w:r>
      <w:r>
        <w:t xml:space="preserve"> </w:t>
      </w:r>
      <w:r>
        <w:t xml:space="preserve">‘</w:t>
      </w:r>
      <w:r>
        <w:t xml:space="preserve">Universal Credit and your claimant commitment</w:t>
      </w:r>
      <w:r>
        <w:t xml:space="preserve">’</w:t>
      </w:r>
      <w:r>
        <w:t xml:space="preserve">. Available at:</w:t>
      </w:r>
      <w:r>
        <w:t xml:space="preserve"> </w:t>
      </w:r>
      <w:hyperlink r:id="rId55">
        <w:r>
          <w:rPr>
            <w:rStyle w:val="Hyperlink"/>
          </w:rPr>
          <w:t xml:space="preserve">https://www.gov.uk/government/publications/universal-credit-and-your-claimant-commitment-quick-guide/universal-credit-and-your-claimant-commitment</w:t>
        </w:r>
      </w:hyperlink>
      <w:r>
        <w:t xml:space="preserve"> </w:t>
      </w:r>
      <w:r>
        <w:t xml:space="preserve">(Accessed: 21 December 2022).</w:t>
      </w:r>
    </w:p>
    <w:bookmarkEnd w:id="56"/>
    <w:bookmarkStart w:id="58" w:name="ref-DepartmentforWork&amp;Pensions2023"/>
    <w:p>
      <w:pPr>
        <w:pStyle w:val="Bibliography"/>
      </w:pPr>
      <w:r>
        <w:t xml:space="preserve">Department for Work &amp; Pensions (2023)</w:t>
      </w:r>
      <w:r>
        <w:t xml:space="preserve"> </w:t>
      </w:r>
      <w:r>
        <w:rPr>
          <w:iCs/>
          <w:i/>
        </w:rPr>
        <w:t xml:space="preserve">Universal Credit statistics: background information and methodology</w:t>
      </w:r>
      <w:r>
        <w:t xml:space="preserve">. London. Available at:</w:t>
      </w:r>
      <w:r>
        <w:t xml:space="preserve"> </w:t>
      </w:r>
      <w:hyperlink r:id="rId57">
        <w:r>
          <w:rPr>
            <w:rStyle w:val="Hyperlink"/>
          </w:rPr>
          <w:t xml:space="preserve">https://www.gov.uk/government/publications/universal-credit-statistics-background-information-and-methodology/universal-credit-statistics-background-information-and-methodology</w:t>
        </w:r>
      </w:hyperlink>
      <w:r>
        <w:t xml:space="preserve">.</w:t>
      </w:r>
    </w:p>
    <w:bookmarkEnd w:id="58"/>
    <w:bookmarkStart w:id="60" w:name="ref-NationalAuditOffice2018"/>
    <w:p>
      <w:pPr>
        <w:pStyle w:val="Bibliography"/>
      </w:pPr>
      <w:r>
        <w:t xml:space="preserve">National Audit Office (2018)</w:t>
      </w:r>
      <w:r>
        <w:t xml:space="preserve"> </w:t>
      </w:r>
      <w:r>
        <w:rPr>
          <w:iCs/>
          <w:i/>
        </w:rPr>
        <w:t xml:space="preserve">Rolling out Universal Credit</w:t>
      </w:r>
      <w:r>
        <w:t xml:space="preserve">. London: National Audit Office. Available at:</w:t>
      </w:r>
      <w:r>
        <w:t xml:space="preserve"> </w:t>
      </w:r>
      <w:hyperlink r:id="rId59">
        <w:r>
          <w:rPr>
            <w:rStyle w:val="Hyperlink"/>
          </w:rPr>
          <w:t xml:space="preserve">https://www.nao.org.uk/wp-content/uploads/2018/06/Rolling-out-Universal-Credit.pdf</w:t>
        </w:r>
      </w:hyperlink>
      <w:r>
        <w:t xml:space="preserve">.</w:t>
      </w:r>
    </w:p>
    <w:bookmarkEnd w:id="60"/>
    <w:bookmarkStart w:id="62" w:name="ref-OfficeforNationalStatistics2012"/>
    <w:p>
      <w:pPr>
        <w:pStyle w:val="Bibliography"/>
      </w:pPr>
      <w:r>
        <w:t xml:space="preserve">Office for National Statistics (2012)</w:t>
      </w:r>
      <w:r>
        <w:t xml:space="preserve"> </w:t>
      </w:r>
      <w:r>
        <w:t xml:space="preserve">‘</w:t>
      </w:r>
      <w:r>
        <w:t xml:space="preserve">Annual population survey (APS) QMI</w:t>
      </w:r>
      <w:r>
        <w:t xml:space="preserve">’</w:t>
      </w:r>
      <w:r>
        <w:t xml:space="preserve">. Available at:</w:t>
      </w:r>
      <w:r>
        <w:t xml:space="preserve"> </w:t>
      </w:r>
      <w:hyperlink r:id="rId61">
        <w:r>
          <w:rPr>
            <w:rStyle w:val="Hyperlink"/>
          </w:rPr>
          <w:t xml:space="preserve">https://www.ons.gov.uk/employmentandlabourmarket/peopleinwork/employmentandemployeetypes/methodologies/annualpopulationsurveyapsqmi</w:t>
        </w:r>
      </w:hyperlink>
      <w:r>
        <w:t xml:space="preserve"> </w:t>
      </w:r>
      <w:r>
        <w:t xml:space="preserve">(Accessed: 11 February 2022).</w:t>
      </w:r>
    </w:p>
    <w:bookmarkEnd w:id="62"/>
    <w:bookmarkStart w:id="64" w:name="ref-OfficeforNationalStatistics2018"/>
    <w:p>
      <w:pPr>
        <w:pStyle w:val="Bibliography"/>
      </w:pPr>
      <w:r>
        <w:t xml:space="preserve">Office for National Statistics (2018)</w:t>
      </w:r>
      <w:r>
        <w:t xml:space="preserve"> </w:t>
      </w:r>
      <w:r>
        <w:t xml:space="preserve">‘</w:t>
      </w:r>
      <w:r>
        <w:t xml:space="preserve">Personal well-being user guidance</w:t>
      </w:r>
      <w:r>
        <w:t xml:space="preserve">’</w:t>
      </w:r>
      <w:r>
        <w:t xml:space="preserve">. Available at:</w:t>
      </w:r>
      <w:r>
        <w:t xml:space="preserve"> </w:t>
      </w:r>
      <w:hyperlink r:id="rId63">
        <w:r>
          <w:rPr>
            <w:rStyle w:val="Hyperlink"/>
          </w:rPr>
          <w:t xml:space="preserve">https://www.ons.gov.uk/peoplepopulationandcommunity/wellbeing/methodologies/personalwellbeingsurveyuserguide</w:t>
        </w:r>
      </w:hyperlink>
      <w:r>
        <w:t xml:space="preserve"> </w:t>
      </w:r>
      <w:r>
        <w:t xml:space="preserve">(Accessed: 17 March 2023).</w:t>
      </w:r>
    </w:p>
    <w:bookmarkEnd w:id="64"/>
    <w:bookmarkStart w:id="66" w:name="X34e25fd17cd4b697e78d6029778910ebebf988a"/>
    <w:p>
      <w:pPr>
        <w:pStyle w:val="Bibliography"/>
      </w:pPr>
      <w:r>
        <w:t xml:space="preserve">Office for National Statistics - Social Survey Division (2022)</w:t>
      </w:r>
      <w:r>
        <w:t xml:space="preserve"> </w:t>
      </w:r>
      <w:r>
        <w:t xml:space="preserve">‘</w:t>
      </w:r>
      <w:r>
        <w:t xml:space="preserve">Annual Population Survey, 2004-2021: Secure Access</w:t>
      </w:r>
      <w:r>
        <w:t xml:space="preserve">’</w:t>
      </w:r>
      <w:r>
        <w:t xml:space="preserve">. UK Data Service. doi:</w:t>
      </w:r>
      <w:r>
        <w:t xml:space="preserve"> </w:t>
      </w:r>
      <w:hyperlink r:id="rId65">
        <w:r>
          <w:rPr>
            <w:rStyle w:val="Hyperlink"/>
          </w:rPr>
          <w:t xml:space="preserve">10.5255/UKDA-SN-6721-22</w:t>
        </w:r>
      </w:hyperlink>
      <w:r>
        <w:t xml:space="preserve">.</w:t>
      </w:r>
    </w:p>
    <w:bookmarkEnd w:id="66"/>
    <w:bookmarkStart w:id="68" w:name="ref-Wickham2020"/>
    <w:p>
      <w:pPr>
        <w:pStyle w:val="Bibliography"/>
      </w:pPr>
      <w:r>
        <w:t xml:space="preserve">Wickham, S.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(2020)</w:t>
      </w:r>
      <w:r>
        <w:t xml:space="preserve"> </w:t>
      </w:r>
      <w:r>
        <w:t xml:space="preserve">‘</w:t>
      </w:r>
      <w:r>
        <w:t xml:space="preserve">Effects on mental health of a UK welfare reform, Universal Credit: a longitudinal controlled study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The Lancet Public Health</w:t>
      </w:r>
      <w:r>
        <w:t xml:space="preserve">, 5(3), pp. e157–e164. doi:</w:t>
      </w:r>
      <w:r>
        <w:t xml:space="preserve"> </w:t>
      </w:r>
      <w:hyperlink r:id="rId67">
        <w:r>
          <w:rPr>
            <w:rStyle w:val="Hyperlink"/>
          </w:rPr>
          <w:t xml:space="preserve">10.1016/S2468-2667(20)30026-8</w:t>
        </w:r>
      </w:hyperlink>
      <w:r>
        <w:t xml:space="preserve">.</w:t>
      </w:r>
    </w:p>
    <w:bookmarkEnd w:id="68"/>
    <w:bookmarkEnd w:id="69"/>
    <w:bookmarkEnd w:id="70"/>
    <w:sectPr w:rsidR="00EF1E43" w:rsidSect="00342103">
      <w:pgSz w:h="16838" w:w="11906"/>
      <w:pgMar w:bottom="1440" w:footer="708" w:gutter="0" w:header="708" w:left="1080" w:right="108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4BDC886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CCB2678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15AE3B1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99C0C80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D64E019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5102898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4F46C4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E6D0353C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6E7874F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04835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E3526AB"/>
    <w:multiLevelType w:val="hybridMultilevel"/>
    <w:tmpl w:val="6928A448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157449F4"/>
    <w:multiLevelType w:val="hybridMultilevel"/>
    <w:tmpl w:val="2D1CCEEE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263B7170"/>
    <w:multiLevelType w:val="hybridMultilevel"/>
    <w:tmpl w:val="4AF4E766"/>
    <w:lvl w:ilvl="0" w:tplc="0809000F">
      <w:start w:val="1"/>
      <w:numFmt w:val="decimal"/>
      <w:lvlText w:val="%1."/>
      <w:lvlJc w:val="left"/>
      <w:pPr>
        <w:ind w:hanging="360" w:left="720"/>
      </w:p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26E319D8"/>
    <w:multiLevelType w:val="hybridMultilevel"/>
    <w:tmpl w:val="14A46052"/>
    <w:lvl w:ilvl="0" w:tplc="08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365403A3"/>
    <w:multiLevelType w:val="multilevel"/>
    <w:tmpl w:val="0809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5">
    <w:nsid w:val="3854286E"/>
    <w:multiLevelType w:val="hybridMultilevel"/>
    <w:tmpl w:val="2E6C4E64"/>
    <w:lvl w:ilvl="0" w:tplc="C45CB80C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EastAsia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5BDD766A"/>
    <w:multiLevelType w:val="hybridMultilevel"/>
    <w:tmpl w:val="11BA83F4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62FA49ED"/>
    <w:multiLevelType w:val="hybridMultilevel"/>
    <w:tmpl w:val="79203682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870921681" w:numId="1">
    <w:abstractNumId w:val="9"/>
  </w:num>
  <w:num w16cid:durableId="1218006411" w:numId="2">
    <w:abstractNumId w:val="7"/>
  </w:num>
  <w:num w16cid:durableId="1442653545" w:numId="3">
    <w:abstractNumId w:val="6"/>
  </w:num>
  <w:num w16cid:durableId="1764649229" w:numId="4">
    <w:abstractNumId w:val="5"/>
  </w:num>
  <w:num w16cid:durableId="54358525" w:numId="5">
    <w:abstractNumId w:val="4"/>
  </w:num>
  <w:num w16cid:durableId="217789545" w:numId="6">
    <w:abstractNumId w:val="8"/>
  </w:num>
  <w:num w16cid:durableId="1675372781" w:numId="7">
    <w:abstractNumId w:val="3"/>
  </w:num>
  <w:num w16cid:durableId="948314653" w:numId="8">
    <w:abstractNumId w:val="2"/>
  </w:num>
  <w:num w16cid:durableId="1759138056" w:numId="9">
    <w:abstractNumId w:val="1"/>
  </w:num>
  <w:num w16cid:durableId="1798180000" w:numId="10">
    <w:abstractNumId w:val="0"/>
  </w:num>
  <w:num w16cid:durableId="420611140" w:numId="11">
    <w:abstractNumId w:val="14"/>
  </w:num>
  <w:num w16cid:durableId="1818262772" w:numId="12">
    <w:abstractNumId w:val="12"/>
  </w:num>
  <w:num w16cid:durableId="1062099936" w:numId="13">
    <w:abstractNumId w:val="13"/>
  </w:num>
  <w:num w16cid:durableId="574511803" w:numId="14">
    <w:abstractNumId w:val="11"/>
  </w:num>
  <w:num w16cid:durableId="1560439426" w:numId="15">
    <w:abstractNumId w:val="10"/>
  </w:num>
  <w:num w16cid:durableId="1575046469" w:numId="16">
    <w:abstractNumId w:val="16"/>
  </w:num>
  <w:num w16cid:durableId="53822931" w:numId="17">
    <w:abstractNumId w:val="17"/>
  </w:num>
  <w:num w16cid:durableId="822507216" w:numId="18">
    <w:abstractNumId w:val="15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kern w:val="2"/>
        <w:sz w:val="22"/>
        <w:szCs w:val="22"/>
        <w:lang w:bidi="ar-SA" w:eastAsia="zh-CN" w:val="en-GB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5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semiHidden="1" w:uiPriority="22" w:unhideWhenUsed="1"/>
    <w:lsdException w:name="Emphasis" w:qFormat="1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semiHidden="1" w:uiPriority="34" w:unhideWhenUsed="1"/>
    <w:lsdException w:name="Quote" w:qFormat="1" w:semiHidden="1" w:uiPriority="29" w:unhideWhenUsed="1"/>
    <w:lsdException w:name="Intense Quote" w:qFormat="1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semiHidden="1" w:uiPriority="19" w:unhideWhenUsed="1"/>
    <w:lsdException w:name="Intense Emphasis" w:qFormat="1" w:semiHidden="1" w:uiPriority="21" w:unhideWhenUsed="1"/>
    <w:lsdException w:name="Subtle Reference" w:qFormat="1" w:semiHidden="1" w:uiPriority="31" w:unhideWhenUsed="1"/>
    <w:lsdException w:name="Intense Reference" w:qFormat="1" w:semiHidden="1" w:uiPriority="32" w:unhideWhenUsed="1"/>
    <w:lsdException w:name="Book Title" w:qFormat="1" w:semiHidden="1" w:uiPriority="33" w:unhideWhenUsed="1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EF1E43"/>
    <w:rPr>
      <w:rFonts w:ascii="Arial" w:hAnsi="Arial"/>
      <w:kern w:val="0"/>
      <w:sz w:val="24"/>
      <w14:ligatures w14:val="none"/>
    </w:rPr>
  </w:style>
  <w:style w:styleId="Heading1" w:type="paragraph">
    <w:name w:val="heading 1"/>
    <w:basedOn w:val="Normal"/>
    <w:next w:val="Body"/>
    <w:link w:val="Heading1Char"/>
    <w:uiPriority w:val="2"/>
    <w:qFormat/>
    <w:rsid w:val="00EF1E43"/>
    <w:pPr>
      <w:keepNext/>
      <w:keepLines/>
      <w:spacing w:after="240" w:before="360"/>
      <w:outlineLvl w:val="0"/>
    </w:pPr>
    <w:rPr>
      <w:rFonts w:cstheme="majorBidi" w:eastAsiaTheme="majorEastAsia"/>
      <w:b/>
      <w:sz w:val="36"/>
      <w:szCs w:val="32"/>
    </w:rPr>
  </w:style>
  <w:style w:styleId="Heading2" w:type="paragraph">
    <w:name w:val="heading 2"/>
    <w:basedOn w:val="Normal"/>
    <w:next w:val="Body"/>
    <w:link w:val="Heading2Char"/>
    <w:uiPriority w:val="3"/>
    <w:qFormat/>
    <w:rsid w:val="00EF1E43"/>
    <w:pPr>
      <w:keepNext/>
      <w:keepLines/>
      <w:spacing w:after="120" w:before="120" w:line="360" w:lineRule="auto"/>
      <w:outlineLvl w:val="1"/>
    </w:pPr>
    <w:rPr>
      <w:rFonts w:cstheme="majorBidi" w:eastAsiaTheme="majorEastAsia"/>
      <w:b/>
      <w:sz w:val="32"/>
      <w:szCs w:val="26"/>
    </w:rPr>
  </w:style>
  <w:style w:styleId="Heading3" w:type="paragraph">
    <w:name w:val="heading 3"/>
    <w:basedOn w:val="Normal"/>
    <w:next w:val="Body"/>
    <w:link w:val="Heading3Char"/>
    <w:uiPriority w:val="4"/>
    <w:qFormat/>
    <w:rsid w:val="00EF1E43"/>
    <w:pPr>
      <w:keepNext/>
      <w:keepLines/>
      <w:spacing w:after="120" w:before="120" w:line="360" w:lineRule="auto"/>
      <w:outlineLvl w:val="2"/>
    </w:pPr>
    <w:rPr>
      <w:rFonts w:cstheme="majorBidi" w:eastAsiaTheme="majorEastAsia"/>
      <w:b/>
      <w:sz w:val="28"/>
      <w:szCs w:val="24"/>
    </w:rPr>
  </w:style>
  <w:style w:styleId="Heading4" w:type="paragraph">
    <w:name w:val="heading 4"/>
    <w:basedOn w:val="Normal"/>
    <w:next w:val="Body"/>
    <w:link w:val="Heading4Char"/>
    <w:uiPriority w:val="5"/>
    <w:unhideWhenUsed/>
    <w:qFormat/>
    <w:rsid w:val="00EF1E43"/>
    <w:pPr>
      <w:keepNext/>
      <w:keepLines/>
      <w:spacing w:after="0" w:before="40"/>
      <w:outlineLvl w:val="3"/>
    </w:pPr>
    <w:rPr>
      <w:rFonts w:cstheme="majorBidi" w:eastAsiaTheme="majorEastAsia"/>
      <w:b/>
      <w:iCs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EF1E43"/>
    <w:pPr>
      <w:keepNext/>
      <w:keepLines/>
      <w:spacing w:after="0" w:before="40"/>
      <w:outlineLvl w:val="4"/>
    </w:pPr>
    <w:rPr>
      <w:rFonts w:cstheme="majorBidi" w:eastAsiaTheme="majorEastAsia"/>
      <w:i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EF1E43"/>
    <w:pPr>
      <w:keepNext/>
      <w:keepLines/>
      <w:numPr>
        <w:ilvl w:val="5"/>
        <w:numId w:val="11"/>
      </w:numPr>
      <w:spacing w:after="0"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EF1E43"/>
    <w:pPr>
      <w:keepNext/>
      <w:keepLines/>
      <w:numPr>
        <w:ilvl w:val="6"/>
        <w:numId w:val="11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EF1E43"/>
    <w:pPr>
      <w:keepNext/>
      <w:keepLines/>
      <w:numPr>
        <w:ilvl w:val="7"/>
        <w:numId w:val="11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EF1E43"/>
    <w:pPr>
      <w:keepNext/>
      <w:keepLines/>
      <w:numPr>
        <w:ilvl w:val="8"/>
        <w:numId w:val="11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  <w:rsid w:val="00EF1E43"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  <w:rsid w:val="00EF1E43"/>
  </w:style>
  <w:style w:styleId="Title" w:type="paragraph">
    <w:name w:val="Title"/>
    <w:basedOn w:val="Normal"/>
    <w:next w:val="Body"/>
    <w:link w:val="TitleChar"/>
    <w:uiPriority w:val="4"/>
    <w:qFormat/>
    <w:rsid w:val="00EF1E43"/>
    <w:pPr>
      <w:spacing w:after="360" w:line="240" w:lineRule="auto"/>
      <w:contextualSpacing/>
    </w:pPr>
    <w:rPr>
      <w:rFonts w:cstheme="majorBidi" w:eastAsiaTheme="majorEastAsia"/>
      <w:b/>
      <w:spacing w:val="-10"/>
      <w:kern w:val="28"/>
      <w:sz w:val="36"/>
      <w:szCs w:val="56"/>
    </w:rPr>
  </w:style>
  <w:style w:customStyle="1" w:styleId="TitleChar" w:type="character">
    <w:name w:val="Title Char"/>
    <w:basedOn w:val="DefaultParagraphFont"/>
    <w:link w:val="Title"/>
    <w:uiPriority w:val="4"/>
    <w:rsid w:val="00EF1E43"/>
    <w:rPr>
      <w:rFonts w:ascii="Arial" w:cstheme="majorBidi" w:eastAsiaTheme="majorEastAsia" w:hAnsi="Arial"/>
      <w:b/>
      <w:spacing w:val="-10"/>
      <w:kern w:val="28"/>
      <w:sz w:val="36"/>
      <w:szCs w:val="56"/>
      <w14:ligatures w14:val="none"/>
    </w:rPr>
  </w:style>
  <w:style w:styleId="NoSpacing" w:type="paragraph">
    <w:name w:val="No Spacing"/>
    <w:uiPriority w:val="1"/>
    <w:qFormat/>
    <w:rsid w:val="00EF1E43"/>
    <w:pPr>
      <w:spacing w:after="0" w:line="240" w:lineRule="auto"/>
    </w:pPr>
    <w:rPr>
      <w:rFonts w:ascii="Arial" w:hAnsi="Arial"/>
      <w:sz w:val="24"/>
    </w:rPr>
  </w:style>
  <w:style w:customStyle="1" w:styleId="Heading1Char" w:type="character">
    <w:name w:val="Heading 1 Char"/>
    <w:basedOn w:val="DefaultParagraphFont"/>
    <w:link w:val="Heading1"/>
    <w:uiPriority w:val="2"/>
    <w:rsid w:val="00EF1E43"/>
    <w:rPr>
      <w:rFonts w:ascii="Arial" w:cstheme="majorBidi" w:eastAsiaTheme="majorEastAsia" w:hAnsi="Arial"/>
      <w:b/>
      <w:kern w:val="0"/>
      <w:sz w:val="36"/>
      <w:szCs w:val="32"/>
      <w14:ligatures w14:val="none"/>
    </w:rPr>
  </w:style>
  <w:style w:customStyle="1" w:styleId="Heading2Char" w:type="character">
    <w:name w:val="Heading 2 Char"/>
    <w:basedOn w:val="DefaultParagraphFont"/>
    <w:link w:val="Heading2"/>
    <w:uiPriority w:val="3"/>
    <w:rsid w:val="00EF1E43"/>
    <w:rPr>
      <w:rFonts w:ascii="Arial" w:cstheme="majorBidi" w:eastAsiaTheme="majorEastAsia" w:hAnsi="Arial"/>
      <w:b/>
      <w:kern w:val="0"/>
      <w:sz w:val="32"/>
      <w:szCs w:val="26"/>
      <w14:ligatures w14:val="none"/>
    </w:rPr>
  </w:style>
  <w:style w:customStyle="1" w:styleId="Heading3Char" w:type="character">
    <w:name w:val="Heading 3 Char"/>
    <w:basedOn w:val="DefaultParagraphFont"/>
    <w:link w:val="Heading3"/>
    <w:uiPriority w:val="4"/>
    <w:rsid w:val="00EF1E43"/>
    <w:rPr>
      <w:rFonts w:ascii="Arial" w:cstheme="majorBidi" w:eastAsiaTheme="majorEastAsia" w:hAnsi="Arial"/>
      <w:b/>
      <w:kern w:val="0"/>
      <w:sz w:val="28"/>
      <w:szCs w:val="24"/>
      <w14:ligatures w14:val="none"/>
    </w:rPr>
  </w:style>
  <w:style w:styleId="Caption" w:type="paragraph">
    <w:name w:val="caption"/>
    <w:basedOn w:val="Normal"/>
    <w:next w:val="Caption2"/>
    <w:uiPriority w:val="7"/>
    <w:qFormat/>
    <w:rsid w:val="00EF1E43"/>
    <w:pPr>
      <w:spacing w:after="0" w:before="120" w:line="240" w:lineRule="auto"/>
    </w:pPr>
    <w:rPr>
      <w:b/>
      <w:iCs/>
      <w:sz w:val="20"/>
      <w:szCs w:val="18"/>
    </w:rPr>
  </w:style>
  <w:style w:customStyle="1" w:styleId="Caption2" w:type="paragraph">
    <w:name w:val="Caption 2"/>
    <w:basedOn w:val="Caption"/>
    <w:uiPriority w:val="7"/>
    <w:qFormat/>
    <w:rsid w:val="00EF1E43"/>
    <w:pPr>
      <w:spacing w:after="360" w:before="0"/>
    </w:pPr>
    <w:rPr>
      <w:b w:val="0"/>
    </w:rPr>
  </w:style>
  <w:style w:customStyle="1" w:styleId="Captionspace" w:type="paragraph">
    <w:name w:val="Caption space"/>
    <w:basedOn w:val="Caption"/>
    <w:next w:val="Body"/>
    <w:uiPriority w:val="8"/>
    <w:qFormat/>
    <w:rsid w:val="00EF1E43"/>
    <w:pPr>
      <w:spacing w:after="160" w:before="0"/>
    </w:pPr>
    <w:rPr>
      <w:b w:val="0"/>
    </w:rPr>
  </w:style>
  <w:style w:customStyle="1" w:styleId="Heading4Char" w:type="character">
    <w:name w:val="Heading 4 Char"/>
    <w:basedOn w:val="DefaultParagraphFont"/>
    <w:link w:val="Heading4"/>
    <w:uiPriority w:val="5"/>
    <w:rsid w:val="00EF1E43"/>
    <w:rPr>
      <w:rFonts w:ascii="Arial" w:cstheme="majorBidi" w:eastAsiaTheme="majorEastAsia" w:hAnsi="Arial"/>
      <w:b/>
      <w:iCs/>
      <w:kern w:val="0"/>
      <w:sz w:val="24"/>
      <w14:ligatures w14:val="none"/>
    </w:rPr>
  </w:style>
  <w:style w:customStyle="1" w:styleId="Heading5Char" w:type="character">
    <w:name w:val="Heading 5 Char"/>
    <w:basedOn w:val="DefaultParagraphFont"/>
    <w:link w:val="Heading5"/>
    <w:uiPriority w:val="9"/>
    <w:rsid w:val="00EF1E43"/>
    <w:rPr>
      <w:rFonts w:ascii="Arial" w:cstheme="majorBidi" w:eastAsiaTheme="majorEastAsia" w:hAnsi="Arial"/>
      <w:i/>
      <w:kern w:val="0"/>
      <w:sz w:val="24"/>
      <w14:ligatures w14:val="none"/>
    </w:rPr>
  </w:style>
  <w:style w:customStyle="1" w:styleId="Body" w:type="paragraph">
    <w:name w:val="Body"/>
    <w:basedOn w:val="Normal"/>
    <w:qFormat/>
    <w:rsid w:val="00EF1E43"/>
    <w:pPr>
      <w:spacing w:after="240" w:line="360" w:lineRule="auto"/>
    </w:pPr>
  </w:style>
  <w:style w:customStyle="1" w:styleId="HiddenHeading" w:type="paragraph">
    <w:name w:val="Hidden Heading"/>
    <w:basedOn w:val="Heading3"/>
    <w:next w:val="Body"/>
    <w:uiPriority w:val="6"/>
    <w:unhideWhenUsed/>
    <w:qFormat/>
    <w:rsid w:val="00EF1E43"/>
    <w:rPr>
      <w:vanish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EF1E43"/>
    <w:rPr>
      <w:rFonts w:asciiTheme="majorHAnsi" w:cstheme="majorBidi" w:eastAsiaTheme="majorEastAsia" w:hAnsiTheme="majorHAnsi"/>
      <w:color w:themeColor="accent1" w:themeShade="7F" w:val="1F3763"/>
      <w:kern w:val="0"/>
      <w:sz w:val="24"/>
      <w14:ligatures w14:val="none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EF1E43"/>
    <w:rPr>
      <w:rFonts w:asciiTheme="majorHAnsi" w:cstheme="majorBidi" w:eastAsiaTheme="majorEastAsia" w:hAnsiTheme="majorHAnsi"/>
      <w:i/>
      <w:iCs/>
      <w:color w:themeColor="accent1" w:themeShade="7F" w:val="1F3763"/>
      <w:kern w:val="0"/>
      <w:sz w:val="24"/>
      <w14:ligatures w14:val="none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EF1E43"/>
    <w:rPr>
      <w:rFonts w:asciiTheme="majorHAnsi" w:cstheme="majorBidi" w:eastAsiaTheme="majorEastAsia" w:hAnsiTheme="majorHAnsi"/>
      <w:color w:themeColor="text1" w:themeTint="D8" w:val="272727"/>
      <w:kern w:val="0"/>
      <w:sz w:val="21"/>
      <w:szCs w:val="21"/>
      <w14:ligatures w14:val="none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EF1E43"/>
    <w:rPr>
      <w:rFonts w:asciiTheme="majorHAnsi" w:cstheme="majorBidi" w:eastAsiaTheme="majorEastAsia" w:hAnsiTheme="majorHAnsi"/>
      <w:i/>
      <w:iCs/>
      <w:color w:themeColor="text1" w:themeTint="D8" w:val="272727"/>
      <w:kern w:val="0"/>
      <w:sz w:val="21"/>
      <w:szCs w:val="21"/>
      <w14:ligatures w14:val="none"/>
    </w:rPr>
  </w:style>
  <w:style w:styleId="NormalWeb" w:type="paragraph">
    <w:name w:val="Normal (Web)"/>
    <w:basedOn w:val="Normal"/>
    <w:uiPriority w:val="99"/>
    <w:semiHidden/>
    <w:unhideWhenUsed/>
    <w:rsid w:val="00EF1E4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</w:rPr>
  </w:style>
  <w:style w:styleId="PlainTable2" w:type="table">
    <w:name w:val="Plain Table 2"/>
    <w:basedOn w:val="TableNormal"/>
    <w:uiPriority w:val="42"/>
    <w:rsid w:val="00EF1E43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PlaceholderText" w:type="character">
    <w:name w:val="Placeholder Text"/>
    <w:basedOn w:val="DefaultParagraphFont"/>
    <w:uiPriority w:val="99"/>
    <w:semiHidden/>
    <w:rsid w:val="00EF1E43"/>
    <w:rPr>
      <w:color w:val="808080"/>
    </w:rPr>
  </w:style>
  <w:style w:styleId="TableGrid" w:type="table">
    <w:name w:val="Table Grid"/>
    <w:basedOn w:val="TableNormal"/>
    <w:uiPriority w:val="39"/>
    <w:rsid w:val="00F9638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4" w:type="table">
    <w:name w:val="Plain Table 4"/>
    <w:basedOn w:val="TableNormal"/>
    <w:uiPriority w:val="44"/>
    <w:rsid w:val="00F963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Hyperlink" w:type="character">
    <w:name w:val="Hyperlink"/>
    <w:basedOn w:val="DefaultParagraphFont"/>
    <w:uiPriority w:val="99"/>
    <w:unhideWhenUsed/>
    <w:rsid w:val="008A608D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8A608D"/>
    <w:rPr>
      <w:color w:val="605E5C"/>
      <w:shd w:color="auto" w:fill="E1DFDD" w:val="clear"/>
    </w:rPr>
  </w:style>
  <w:style w:styleId="CommentReference" w:type="character">
    <w:name w:val="annotation reference"/>
    <w:basedOn w:val="DefaultParagraphFont"/>
    <w:uiPriority w:val="99"/>
    <w:semiHidden/>
    <w:unhideWhenUsed/>
    <w:rsid w:val="002C16F4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2C16F4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2C16F4"/>
    <w:rPr>
      <w:rFonts w:ascii="Arial" w:hAnsi="Arial"/>
      <w:kern w:val="0"/>
      <w:sz w:val="20"/>
      <w:szCs w:val="20"/>
      <w14:ligatures w14:val="none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2C16F4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2C16F4"/>
    <w:rPr>
      <w:rFonts w:ascii="Arial" w:hAnsi="Arial"/>
      <w:b/>
      <w:bCs/>
      <w:kern w:val="0"/>
      <w:sz w:val="20"/>
      <w:szCs w:val="20"/>
      <w14:ligatures w14:val="none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8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7" Target="https://doi.org/10.1016/S2468-2667(20)30026-8" TargetMode="External" /><Relationship Type="http://schemas.openxmlformats.org/officeDocument/2006/relationships/hyperlink" Id="rId43" Target="https://doi.org/10.1136/BMJOPEN-2019-029611" TargetMode="External" /><Relationship Type="http://schemas.openxmlformats.org/officeDocument/2006/relationships/hyperlink" Id="rId47" Target="https://doi.org/10.1136/BMJOPEN-2022-061340" TargetMode="External" /><Relationship Type="http://schemas.openxmlformats.org/officeDocument/2006/relationships/hyperlink" Id="rId45" Target="https://doi.org/10.1146/annurev-publhealth-031816-044327" TargetMode="External" /><Relationship Type="http://schemas.openxmlformats.org/officeDocument/2006/relationships/hyperlink" Id="rId39" Target="https://doi.org/10.17605/OSF.IO/KNAJB" TargetMode="External" /><Relationship Type="http://schemas.openxmlformats.org/officeDocument/2006/relationships/hyperlink" Id="rId65" Target="https://doi.org/10.5255/UKDA-SN-6721-22" TargetMode="External" /><Relationship Type="http://schemas.openxmlformats.org/officeDocument/2006/relationships/hyperlink" Id="rId41" Target="https://ideas.repec.org/p/iza/izadps/dp15178.html" TargetMode="External" /><Relationship Type="http://schemas.openxmlformats.org/officeDocument/2006/relationships/hyperlink" Id="rId29" Target="https://osf.io/knajb" TargetMode="External" /><Relationship Type="http://schemas.openxmlformats.org/officeDocument/2006/relationships/hyperlink" Id="rId53" Target="https://www.gov.uk/government/publications/completing-the-move-to-universal-credit/completing-the-move-to-universal-credit--2" TargetMode="External" /><Relationship Type="http://schemas.openxmlformats.org/officeDocument/2006/relationships/hyperlink" Id="rId55" Target="https://www.gov.uk/government/publications/universal-credit-and-your-claimant-commitment-quick-guide/universal-credit-and-your-claimant-commitment" TargetMode="External" /><Relationship Type="http://schemas.openxmlformats.org/officeDocument/2006/relationships/hyperlink" Id="rId49" Target="https://www.gov.uk/government/publications/universal-credit-full-service-claimant-survey" TargetMode="External" /><Relationship Type="http://schemas.openxmlformats.org/officeDocument/2006/relationships/hyperlink" Id="rId57" Target="https://www.gov.uk/government/publications/universal-credit-statistics-background-information-and-methodology/universal-credit-statistics-background-information-and-methodology" TargetMode="External" /><Relationship Type="http://schemas.openxmlformats.org/officeDocument/2006/relationships/hyperlink" Id="rId51" Target="https://www.gov.uk/government/publications/universal-credit-transition-to-full-service/universal-credit-transition-rollout-schedule-march-2018-to-december-2018" TargetMode="External" /><Relationship Type="http://schemas.openxmlformats.org/officeDocument/2006/relationships/hyperlink" Id="rId59" Target="https://www.nao.org.uk/wp-content/uploads/2018/06/Rolling-out-Universal-Credit.pdf" TargetMode="External" /><Relationship Type="http://schemas.openxmlformats.org/officeDocument/2006/relationships/hyperlink" Id="rId61" Target="https://www.ons.gov.uk/employmentandlabourmarket/peopleinwork/employmentandemployeetypes/methodologies/annualpopulationsurveyapsqmi" TargetMode="External" /><Relationship Type="http://schemas.openxmlformats.org/officeDocument/2006/relationships/hyperlink" Id="rId63" Target="https://www.ons.gov.uk/peoplepopulationandcommunity/wellbeing/methodologies/personalwellbeingsurveyuserguid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https://doi.org/10.1016/S2468-2667(20)30026-8" TargetMode="External" /><Relationship Type="http://schemas.openxmlformats.org/officeDocument/2006/relationships/hyperlink" Id="rId43" Target="https://doi.org/10.1136/BMJOPEN-2019-029611" TargetMode="External" /><Relationship Type="http://schemas.openxmlformats.org/officeDocument/2006/relationships/hyperlink" Id="rId47" Target="https://doi.org/10.1136/BMJOPEN-2022-061340" TargetMode="External" /><Relationship Type="http://schemas.openxmlformats.org/officeDocument/2006/relationships/hyperlink" Id="rId45" Target="https://doi.org/10.1146/annurev-publhealth-031816-044327" TargetMode="External" /><Relationship Type="http://schemas.openxmlformats.org/officeDocument/2006/relationships/hyperlink" Id="rId39" Target="https://doi.org/10.17605/OSF.IO/KNAJB" TargetMode="External" /><Relationship Type="http://schemas.openxmlformats.org/officeDocument/2006/relationships/hyperlink" Id="rId65" Target="https://doi.org/10.5255/UKDA-SN-6721-22" TargetMode="External" /><Relationship Type="http://schemas.openxmlformats.org/officeDocument/2006/relationships/hyperlink" Id="rId41" Target="https://ideas.repec.org/p/iza/izadps/dp15178.html" TargetMode="External" /><Relationship Type="http://schemas.openxmlformats.org/officeDocument/2006/relationships/hyperlink" Id="rId29" Target="https://osf.io/knajb" TargetMode="External" /><Relationship Type="http://schemas.openxmlformats.org/officeDocument/2006/relationships/hyperlink" Id="rId53" Target="https://www.gov.uk/government/publications/completing-the-move-to-universal-credit/completing-the-move-to-universal-credit--2" TargetMode="External" /><Relationship Type="http://schemas.openxmlformats.org/officeDocument/2006/relationships/hyperlink" Id="rId55" Target="https://www.gov.uk/government/publications/universal-credit-and-your-claimant-commitment-quick-guide/universal-credit-and-your-claimant-commitment" TargetMode="External" /><Relationship Type="http://schemas.openxmlformats.org/officeDocument/2006/relationships/hyperlink" Id="rId49" Target="https://www.gov.uk/government/publications/universal-credit-full-service-claimant-survey" TargetMode="External" /><Relationship Type="http://schemas.openxmlformats.org/officeDocument/2006/relationships/hyperlink" Id="rId57" Target="https://www.gov.uk/government/publications/universal-credit-statistics-background-information-and-methodology/universal-credit-statistics-background-information-and-methodology" TargetMode="External" /><Relationship Type="http://schemas.openxmlformats.org/officeDocument/2006/relationships/hyperlink" Id="rId51" Target="https://www.gov.uk/government/publications/universal-credit-transition-to-full-service/universal-credit-transition-rollout-schedule-march-2018-to-december-2018" TargetMode="External" /><Relationship Type="http://schemas.openxmlformats.org/officeDocument/2006/relationships/hyperlink" Id="rId59" Target="https://www.nao.org.uk/wp-content/uploads/2018/06/Rolling-out-Universal-Credit.pdf" TargetMode="External" /><Relationship Type="http://schemas.openxmlformats.org/officeDocument/2006/relationships/hyperlink" Id="rId61" Target="https://www.ons.gov.uk/employmentandlabourmarket/peopleinwork/employmentandemployeetypes/methodologies/annualpopulationsurveyapsqmi" TargetMode="External" /><Relationship Type="http://schemas.openxmlformats.org/officeDocument/2006/relationships/hyperlink" Id="rId63" Target="https://www.ons.gov.uk/peoplepopulationandcommunity/wellbeing/methodologies/personalwellbeingsurveyuserguid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My%20Documents\Custom%20Office%20Templates\Normal%20-%20no%20number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 - no numbers.dotm</Template>
  <TotalTime>13</TotalTime>
  <Pages>11</Pages>
  <Words>12372</Words>
  <Characters>70526</Characters>
  <Application>Microsoft Office Word</Application>
  <DocSecurity>0</DocSecurity>
  <Lines>587</Lines>
  <Paragraphs>165</Paragraphs>
  <ScaleCrop>false</ScaleCrop>
  <Company/>
  <LinksUpToDate>false</LinksUpToDate>
  <CharactersWithSpaces>82733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Examining the mental health impacts of Universal Credit, treating phased rollout as a natural experiment</dc:title>
  <dc:creator>Andy Baxter, Sophie Wickham, Mandy Cheetham, Emma Coombes, Clare Bambra, David Taylor-Robinson, Luke Munford, Huasheng Xiang, Mattheo Richiardi, Heather Brown, Matthew Sutton, Benjamin Barr, Vittal Katikireddi, Peter Craig</dc:creator>
  <cp:keywords/>
  <dcterms:created xsi:type="dcterms:W3CDTF">2023-09-07T11:31:36Z</dcterms:created>
  <dcterms:modified xsi:type="dcterms:W3CDTF">2023-09-07T11:31:36Z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C:/andy_local/BibTeX files/APS_DiD_paper_files.bib</vt:lpwstr>
  </property>
  <property fmtid="{D5CDD505-2E9C-101B-9397-08002B2CF9AE}" pid="3" name="csl">
    <vt:lpwstr>http://csl.mendeley.com/styles/481764751/harvard-cite-them-right</vt:lpwstr>
  </property>
  <property fmtid="{D5CDD505-2E9C-101B-9397-08002B2CF9AE}" pid="4" name="date">
    <vt:lpwstr>2023-09-07</vt:lpwstr>
  </property>
  <property fmtid="{D5CDD505-2E9C-101B-9397-08002B2CF9AE}" pid="5" name="editor_options">
    <vt:lpwstr/>
  </property>
  <property fmtid="{D5CDD505-2E9C-101B-9397-08002B2CF9AE}" pid="6" name="output">
    <vt:lpwstr/>
  </property>
</Properties>
</file>