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37B2" w14:textId="5E8D3F0B" w:rsidR="005D7E06" w:rsidRDefault="0027308B" w:rsidP="0027308B">
      <w:pPr>
        <w:pStyle w:val="Title"/>
      </w:pPr>
      <w:r>
        <w:t>Examining the mental health impacts of Universal Credit, treating phased rollout as a natural experiment</w:t>
      </w:r>
    </w:p>
    <w:p w14:paraId="1AB37CB2" w14:textId="77777777" w:rsidR="0027308B" w:rsidRDefault="0027308B" w:rsidP="0027308B">
      <w:pPr>
        <w:pStyle w:val="Body"/>
      </w:pPr>
      <w:r>
        <w:t xml:space="preserve">Andy Baxter, </w:t>
      </w:r>
      <w:r w:rsidRPr="007433CF">
        <w:t>Sophie Wickham</w:t>
      </w:r>
      <w:r>
        <w:t xml:space="preserve">, Mandy Cheetham, Emma Coombes, Clare Bambra, David Taylor-Robinson, Luke Munford, </w:t>
      </w:r>
      <w:r w:rsidRPr="00D16943">
        <w:t>Huasheng Xiang</w:t>
      </w:r>
      <w:r>
        <w:t>, Mattheo Richiardi, Heather Brown, Matthew Sutton, Benjamin Barr, Vittal Katikireddi, Peter Craig</w:t>
      </w:r>
      <w:r w:rsidRPr="007433CF">
        <w:t xml:space="preserve"> </w:t>
      </w:r>
    </w:p>
    <w:p w14:paraId="46DDA31F" w14:textId="5C15026D" w:rsidR="006268BB" w:rsidRDefault="006268BB" w:rsidP="006268BB">
      <w:pPr>
        <w:pStyle w:val="Heading1"/>
      </w:pPr>
      <w:r>
        <w:t>Abstract</w:t>
      </w:r>
    </w:p>
    <w:p w14:paraId="1B394ADB" w14:textId="5A47B399" w:rsidR="006268BB" w:rsidRDefault="007708C5" w:rsidP="008E301D">
      <w:pPr>
        <w:pStyle w:val="Heading4"/>
      </w:pPr>
      <w:r>
        <w:t>Background</w:t>
      </w:r>
    </w:p>
    <w:p w14:paraId="50FB9865" w14:textId="79E004A3" w:rsidR="008E301D" w:rsidRPr="008E301D" w:rsidRDefault="003475C8" w:rsidP="008E301D">
      <w:pPr>
        <w:pStyle w:val="Body"/>
      </w:pPr>
      <w:r>
        <w:t xml:space="preserve">Universal Credit was rolled out across the UK as a benefit system to </w:t>
      </w:r>
      <w:r w:rsidR="00234AAC">
        <w:t xml:space="preserve">replace six existing benefits. </w:t>
      </w:r>
      <w:r w:rsidR="0036749D">
        <w:t xml:space="preserve">It aimed to consolidate </w:t>
      </w:r>
      <w:r w:rsidR="00E26EFE">
        <w:t xml:space="preserve">and simplify </w:t>
      </w:r>
      <w:r w:rsidR="0036749D">
        <w:t>benefit claim systems</w:t>
      </w:r>
      <w:r w:rsidR="00E26EFE">
        <w:t xml:space="preserve"> and</w:t>
      </w:r>
      <w:r w:rsidR="0036749D">
        <w:t xml:space="preserve"> encourage more claimants into work</w:t>
      </w:r>
      <w:r w:rsidR="00E26EFE">
        <w:t xml:space="preserve">. </w:t>
      </w:r>
      <w:r w:rsidR="00DC6833">
        <w:t xml:space="preserve">Key changes from legacy benefit systems may be </w:t>
      </w:r>
      <w:r w:rsidR="008D7F64">
        <w:t xml:space="preserve">harmful to the mental health of claimants, or conversely, the </w:t>
      </w:r>
      <w:r w:rsidR="005A4B7E">
        <w:t xml:space="preserve">push towards work may have beneficial effects. We aimed to test the causal effects of Universal Credit compared to legacy benefit systems, treating the phased rollout as a </w:t>
      </w:r>
      <w:r w:rsidR="00707B6A">
        <w:t>natural experiment.</w:t>
      </w:r>
    </w:p>
    <w:p w14:paraId="28B0AD86" w14:textId="6A639AF8" w:rsidR="007708C5" w:rsidRDefault="007708C5" w:rsidP="008E301D">
      <w:pPr>
        <w:pStyle w:val="Heading4"/>
      </w:pPr>
      <w:r>
        <w:t>Methods</w:t>
      </w:r>
    </w:p>
    <w:p w14:paraId="741363A9" w14:textId="669D5B38" w:rsidR="003475C8" w:rsidRPr="003475C8" w:rsidRDefault="00707B6A" w:rsidP="003475C8">
      <w:pPr>
        <w:pStyle w:val="Body"/>
      </w:pPr>
      <w:r>
        <w:t xml:space="preserve">We used difference-in-differences methods to test for changes in mental health and well-being using the measures of life satisfaction, happiness, anxiety and </w:t>
      </w:r>
      <w:r w:rsidR="00FC07D5">
        <w:t>whether respondents felt their lives were worthwhile</w:t>
      </w:r>
      <w:r w:rsidR="00AC072D">
        <w:t xml:space="preserve"> reported in the Annual Population Survey. We compared as-yet-untreated areas with UC-rollout areas by month across the </w:t>
      </w:r>
      <w:r w:rsidR="00C05E9C">
        <w:t xml:space="preserve">natural migration phase. We conducted subgroup analyses to test for </w:t>
      </w:r>
      <w:r w:rsidR="00E03BBF">
        <w:t>differential harms by claimant types and other vulnerabilities.</w:t>
      </w:r>
    </w:p>
    <w:p w14:paraId="60AAD85F" w14:textId="27440356" w:rsidR="007708C5" w:rsidRDefault="007708C5" w:rsidP="008E301D">
      <w:pPr>
        <w:pStyle w:val="Heading4"/>
      </w:pPr>
      <w:r>
        <w:t>Findings</w:t>
      </w:r>
    </w:p>
    <w:p w14:paraId="78AEC188" w14:textId="77777777" w:rsidR="003475C8" w:rsidRPr="003475C8" w:rsidRDefault="003475C8" w:rsidP="003475C8">
      <w:pPr>
        <w:pStyle w:val="Body"/>
      </w:pPr>
    </w:p>
    <w:p w14:paraId="0C1246F2" w14:textId="61A2075F" w:rsidR="007708C5" w:rsidRDefault="007708C5" w:rsidP="008E301D">
      <w:pPr>
        <w:pStyle w:val="Heading4"/>
      </w:pPr>
      <w:r>
        <w:t>Interpretation</w:t>
      </w:r>
    </w:p>
    <w:p w14:paraId="2C40BC52" w14:textId="77777777" w:rsidR="003475C8" w:rsidRPr="003475C8" w:rsidRDefault="003475C8" w:rsidP="003475C8">
      <w:pPr>
        <w:pStyle w:val="Body"/>
      </w:pPr>
    </w:p>
    <w:p w14:paraId="7C102EEA" w14:textId="25BAEC88" w:rsidR="007708C5" w:rsidRDefault="007708C5" w:rsidP="008E301D">
      <w:pPr>
        <w:pStyle w:val="Heading4"/>
      </w:pPr>
      <w:r>
        <w:t>Funding</w:t>
      </w:r>
    </w:p>
    <w:p w14:paraId="6A9F6A18" w14:textId="47A171FF" w:rsidR="008E301D" w:rsidRPr="006268BB" w:rsidRDefault="008E301D" w:rsidP="006268BB">
      <w:pPr>
        <w:pStyle w:val="Body"/>
      </w:pPr>
      <w:r w:rsidRPr="008E301D">
        <w:t>This research is supported by the UK National Institute of Health Research Public Health Research Programme, grant number NIHR131709.</w:t>
      </w:r>
    </w:p>
    <w:p w14:paraId="1F2135F9" w14:textId="036344FE" w:rsidR="0027308B" w:rsidRDefault="000323F6" w:rsidP="0027308B">
      <w:pPr>
        <w:pStyle w:val="Heading1"/>
      </w:pPr>
      <w:r>
        <w:lastRenderedPageBreak/>
        <w:t>Introduction</w:t>
      </w:r>
    </w:p>
    <w:p w14:paraId="7C4B91EC" w14:textId="08392CFE" w:rsidR="00386D1E" w:rsidRDefault="000F6A84" w:rsidP="000F6A84">
      <w:pPr>
        <w:pStyle w:val="Body"/>
      </w:pPr>
      <w:r>
        <w:t xml:space="preserve">Universal Credit </w:t>
      </w:r>
      <w:r w:rsidR="00E0322D">
        <w:t xml:space="preserve">(UC) </w:t>
      </w:r>
      <w:r w:rsidR="00667400">
        <w:t>was introduced as a</w:t>
      </w:r>
      <w:r w:rsidR="003544E6">
        <w:t xml:space="preserve"> new,</w:t>
      </w:r>
      <w:r w:rsidR="00667400">
        <w:t xml:space="preserve"> replacement benefit system, combining multiple </w:t>
      </w:r>
      <w:r w:rsidR="00CA7F72">
        <w:t>prior benefits into a single application and award scheme.</w:t>
      </w:r>
      <w:r w:rsidR="00E2682F">
        <w:t xml:space="preserve"> Rollout began in 2013 </w:t>
      </w:r>
      <w:r w:rsidR="009963E7">
        <w:t xml:space="preserve">and aimed to gradually migrate all claimants of a ‘legacy benefit’ </w:t>
      </w:r>
      <w:r w:rsidR="00B36966">
        <w:t>–</w:t>
      </w:r>
      <w:r w:rsidR="009963E7">
        <w:t xml:space="preserve"> </w:t>
      </w:r>
      <w:r w:rsidR="00B36966">
        <w:t xml:space="preserve">Job Seekers Allowance, Working Tax Credit, Child Tax Credit, Housing Benefit, </w:t>
      </w:r>
      <w:r w:rsidR="00FE31E4">
        <w:t>Income Support Allowance</w:t>
      </w:r>
      <w:r w:rsidR="00864085">
        <w:t>,</w:t>
      </w:r>
      <w:r w:rsidR="00FE31E4">
        <w:t xml:space="preserve"> </w:t>
      </w:r>
      <w:r w:rsidR="003544E6">
        <w:t>or</w:t>
      </w:r>
      <w:r w:rsidR="00FE31E4">
        <w:t xml:space="preserve"> Income-based </w:t>
      </w:r>
      <w:r w:rsidR="00B36966">
        <w:t>Employment Support Allowance</w:t>
      </w:r>
      <w:r w:rsidR="00A50C99">
        <w:t xml:space="preserve"> – to </w:t>
      </w:r>
      <w:r w:rsidR="0099531D">
        <w:t xml:space="preserve">the new claims system </w:t>
      </w:r>
      <w:r w:rsidR="00123482">
        <w:fldChar w:fldCharType="begin" w:fldLock="1"/>
      </w:r>
      <w:r w:rsidR="003F2B2D">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Credit","type":"report"},"uris":["http://www.mendeley.com/documents/?uuid=753c1f5c-f653-3163-8b8a-68e58a9fe4c1"]},{"id":"ITEM-2","itemData":{"author":[{"dropping-particle":"","family":"Department for Work &amp; Pensions","given":"","non-dropping-particle":"","parse-names":false,"suffix":""}],"id":"ITEM-2","issued":{"date-parts":[["2022","6","6"]]},"publisher-place":"London","title":"Completing the move to Universal Credit","type":"report"},"uris":["http://www.mendeley.com/documents/?uuid=b3bab0e1-0a93-3537-b130-204372703eb3"]}],"mendeley":{"formattedCitation":"(National Audit Office, 2018; Department for Work &amp; Pensions, 2022a)","plainTextFormattedCitation":"(National Audit Office, 2018; Department for Work &amp; Pensions, 2022a)","previouslyFormattedCitation":"(National Audit Office, 2018; Department for Work &amp; Pensions, 2022a)"},"properties":{"noteIndex":0},"schema":"https://github.com/citation-style-language/schema/raw/master/csl-citation.json"}</w:instrText>
      </w:r>
      <w:r w:rsidR="00123482">
        <w:fldChar w:fldCharType="separate"/>
      </w:r>
      <w:r w:rsidR="00E740AA" w:rsidRPr="00E740AA">
        <w:rPr>
          <w:noProof/>
        </w:rPr>
        <w:t>(National Audit Office, 2018; Department for Work &amp; Pensions, 2022a)</w:t>
      </w:r>
      <w:r w:rsidR="00123482">
        <w:fldChar w:fldCharType="end"/>
      </w:r>
      <w:r w:rsidR="009868D8">
        <w:t>.</w:t>
      </w:r>
      <w:r w:rsidR="00E0322D">
        <w:t xml:space="preserve"> The UC system, in comparison wit</w:t>
      </w:r>
      <w:r w:rsidR="008C7EEC">
        <w:t>h the legacy systems, is</w:t>
      </w:r>
      <w:r w:rsidR="00AB2A68">
        <w:t xml:space="preserve"> designed as a fully online application and claim-handling sy</w:t>
      </w:r>
      <w:r w:rsidR="002F5BCC">
        <w:t>stem</w:t>
      </w:r>
      <w:r w:rsidR="002C16F4">
        <w:t>. It</w:t>
      </w:r>
      <w:r w:rsidR="001332F5">
        <w:t xml:space="preserve"> aims to encourage more claimants into work by setting </w:t>
      </w:r>
      <w:r w:rsidR="00785AED">
        <w:t>eligibility criteria</w:t>
      </w:r>
      <w:r w:rsidR="002C16F4">
        <w:t>,</w:t>
      </w:r>
      <w:r w:rsidR="00785AED">
        <w:t xml:space="preserve"> introducing a </w:t>
      </w:r>
      <w:r w:rsidR="002D1E15">
        <w:t>single ‘taper’ on awards as income increases</w:t>
      </w:r>
      <w:r w:rsidR="004B3F4D">
        <w:t>, and mak</w:t>
      </w:r>
      <w:r w:rsidR="003A2864">
        <w:t>ing</w:t>
      </w:r>
      <w:r w:rsidR="004B3F4D">
        <w:t xml:space="preserve"> payments in lieu of each claim month, mimicking</w:t>
      </w:r>
      <w:r w:rsidR="00D32D91">
        <w:t xml:space="preserve"> salary payments</w:t>
      </w:r>
      <w:r w:rsidR="00E740AA">
        <w:t xml:space="preserve"> </w:t>
      </w:r>
      <w:r w:rsidR="00E740AA">
        <w:fldChar w:fldCharType="begin" w:fldLock="1"/>
      </w:r>
      <w:r w:rsidR="009B758E">
        <w:instrText>ADDIN CSL_CITATION {"citationItems":[{"id":"ITEM-1","itemData":{"author":[{"dropping-particle":"","family":"Department for Work &amp; Pensions","given":"","non-dropping-particle":"","parse-names":false,"suffix":""}],"id":"ITEM-1","issued":{"date-parts":[["2022","6","6"]]},"publisher-place":"London","title":"Completing the move to Universal Credit","type":"report"},"uris":["http://www.mendeley.com/documents/?uuid=b3bab0e1-0a93-3537-b130-204372703eb3"]},{"id":"ITEM-2","itemData":{"URL":"https://www.gov.uk/government/publications/universal-credit-and-your-claimant-commitment-quick-guide/universal-credit-and-your-claimant-commitment","accessed":{"date-parts":[["2022","12","21"]]},"author":[{"dropping-particle":"","family":"Department for Work &amp; Pensions","given":"","non-dropping-particle":"","parse-names":false,"suffix":""}],"container-title":"GOV.UK Guidance","id":"ITEM-2","issued":{"date-parts":[["2022","4","4"]]},"title":"Universal Credit and your claimant commitment","type":"webpage"},"uris":["http://www.mendeley.com/documents/?uuid=75ab6c82-433c-3e09-8cdb-c8197704d367"]},{"id":"ITEM-3","itemData":{"DOI":"10.1016/S2468-2667(20)30026-8","ISSN":"24682667","PMID":"32113519","abstract":"Background: Universal Credit, a welfare benefit reform in the UK, began to replace six existing benefit schemes in April, 2013, starting with the income-based Job Seekers Allowance. We aimed to determine the effects on mental health of the introduction of Universal Credit. Methods: In this longitudinal controlled stuWickham, S. et al. (2020) ‘Effects on mental health of a UK welfare reform, Universal Credit: a longitudinal controlled study’, The Lancet Public Health, 5(3), pp. e157–e164. doi: 10.1016/S2468-2667(20)30026-8.dy, we linked 197 111 observations from 52 187 individuals of working age (16–64 years) in England, Wales, and Scotland who participated in the Understanding Society UK Longitudinal Household Panel Study between 2009 and 2018 with administrative data on the month when Universal Credit was introduced into the area in which each respondent lived. We included participants who had data on employment status, local authority area of residence, psychological distress, and confounding variables. We excluded individuals from Northern Ireland and people out of work with a disability. We used difference-in-differences analysis of this nationally representative, longitudinal, household survey and separated respondents into two groups: unemployed people who were eligible for Universal Credit (intervention group) and people who were not unemployed and therefore would not have generally been eligible for Universal Credit (comparison group). Using the phased roll-out of Universal Credit, we compared the change in psychological distress (self-reported via General Health Questionnaire-12) between the intervention group and the comparison group over time as the reform was introduced in the area in which each respondent lived. We defined clinically significant psychological distress as a score of greater than 3 on the General Health Questionnaire-12. We tested whether there were differential effects across subgroups (age, sex, and education). Findings: The prevalence of psychological distress increased in the intervention group by 6·57 percentage points (95% CI 1·69–11·42) after the introduction of Universal Credit relative to the comparison group, after accounting for potential confounders. We estimate that between April 29, 2013, and Dec 31, 2018, an additional 63 674 (95% CI 10 042–117 307) unemployed people will have experienced levels of psychological distress that are clinically significant due to the introduction of Universal Credit; 21 760 of thes…","author":[{"dropping-particle":"","family":"Wickham","given":"Sophie","non-dropping-particle":"","parse-names":false,"suffix":""},{"dropping-particle":"","family":"Bentley","given":"Lee","non-dropping-particle":"","parse-names":false,"suffix":""},{"dropping-particle":"","family":"Rose","given":"Tanith","non-dropping-particle":"","parse-names":false,"suffix":""},{"dropping-particle":"","family":"Whitehead","given":"Margaret","non-dropping-particle":"","parse-names":false,"suffix":""},{"dropping-particle":"","family":"Taylor-Robinson","given":"David","non-dropping-particle":"","parse-names":false,"suffix":""},{"dropping-particle":"","family":"Barr","given":"Ben","non-dropping-particle":"","parse-names":false,"suffix":""}],"container-title":"The Lancet Public Health","id":"ITEM-3","issue":"3","issued":{"date-parts":[["2020","3","1"]]},"page":"e157-e164","publisher":"Elsevier Ltd","title":"Effects on mental health of a UK welfare reform, Universal Credit: a longitudinal controlled study","type":"article-journal","volume":"5"},"uris":["http://www.mendeley.com/documents/?uuid=f9507852-a501-359c-9116-ef463108e547"]}],"mendeley":{"formattedCitation":"(Wickham &lt;i&gt;et al.&lt;/i&gt;, 2020; Department for Work &amp; Pensions, 2022a, 2022b)","plainTextFormattedCitation":"(Wickham et al., 2020; Department for Work &amp; Pensions, 2022a, 2022b)","previouslyFormattedCitation":"(Wickham &lt;i&gt;et al.&lt;/i&gt;, 2020; Department for Work &amp; Pensions, 2022a, 2022b)"},"properties":{"noteIndex":0},"schema":"https://github.com/citation-style-language/schema/raw/master/csl-citation.json"}</w:instrText>
      </w:r>
      <w:r w:rsidR="00E740AA">
        <w:fldChar w:fldCharType="separate"/>
      </w:r>
      <w:r w:rsidR="00E740AA" w:rsidRPr="00E740AA">
        <w:rPr>
          <w:noProof/>
        </w:rPr>
        <w:t xml:space="preserve">(Wickham </w:t>
      </w:r>
      <w:r w:rsidR="00E740AA" w:rsidRPr="00E740AA">
        <w:rPr>
          <w:i/>
          <w:noProof/>
        </w:rPr>
        <w:t>et al.</w:t>
      </w:r>
      <w:r w:rsidR="00E740AA" w:rsidRPr="00E740AA">
        <w:rPr>
          <w:noProof/>
        </w:rPr>
        <w:t>, 2020; Department for Work &amp; Pensions, 2022a, 2022b)</w:t>
      </w:r>
      <w:r w:rsidR="00E740AA">
        <w:fldChar w:fldCharType="end"/>
      </w:r>
      <w:r w:rsidR="00B23342">
        <w:t>.</w:t>
      </w:r>
    </w:p>
    <w:p w14:paraId="50B8D1A7" w14:textId="7D377116" w:rsidR="00CA7F72" w:rsidRDefault="00B2686F" w:rsidP="000F6A84">
      <w:pPr>
        <w:pStyle w:val="Body"/>
      </w:pPr>
      <w:r>
        <w:t xml:space="preserve">The change to </w:t>
      </w:r>
      <w:r w:rsidR="00CA7F72">
        <w:t xml:space="preserve">Universal Credit may have </w:t>
      </w:r>
      <w:r w:rsidR="00CE7169">
        <w:t xml:space="preserve">negatively </w:t>
      </w:r>
      <w:r w:rsidR="00CA7F72">
        <w:t xml:space="preserve">affected the health and wellbeing of </w:t>
      </w:r>
      <w:r w:rsidR="009E0174">
        <w:t>some benefit recipients</w:t>
      </w:r>
      <w:r w:rsidR="00BE7C10">
        <w:t xml:space="preserve"> </w:t>
      </w:r>
      <w:r w:rsidR="003F2B2D">
        <w:fldChar w:fldCharType="begin" w:fldLock="1"/>
      </w:r>
      <w:r w:rsidR="009B758E">
        <w:instrText>ADDIN CSL_CITATION {"citationItems":[{"id":"ITEM-1","itemData":{"DOI":"10.1016/S2468-2667(20)30026-8","ISSN":"24682667","PMID":"32113519","abstract":"Background: Universal Credit, a welfare benefit reform in the UK, began to replace six existing benefit schemes in April, 2013, starting with the income-based Job Seekers Allowance. We aimed to determine the effects on mental health of the introduction of Universal Credit. Methods: In this longitudinal controlled stuWickham, S. et al. (2020) ‘Effects on mental health of a UK welfare reform, Universal Credit: a longitudinal controlled study’, The Lancet Public Health, 5(3), pp. e157–e164. doi: 10.1016/S2468-2667(20)30026-8.dy, we linked 197 111 observations from 52 187 individuals of working age (16–64 years) in England, Wales, and Scotland who participated in the Understanding Society UK Longitudinal Household Panel Study between 2009 and 2018 with administrative data on the month when Universal Credit was introduced into the area in which each respondent lived. We included participants who had data on employment status, local authority area of residence, psychological distress, and confounding variables. We excluded individuals from Northern Ireland and people out of work with a disability. We used difference-in-differences analysis of this nationally representative, longitudinal, household survey and separated respondents into two groups: unemployed people who were eligible for Universal Credit (intervention group) and people who were not unemployed and therefore would not have generally been eligible for Universal Credit (comparison group). Using the phased roll-out of Universal Credit, we compared the change in psychological distress (self-reported via General Health Questionnaire-12) between the intervention group and the comparison group over time as the reform was introduced in the area in which each respondent lived. We defined clinically significant psychological distress as a score of greater than 3 on the General Health Questionnaire-12. We tested whether there were differential effects across subgroups (age, sex, and education). Findings: The prevalence of psychological distress increased in the intervention group by 6·57 percentage points (95% CI 1·69–11·42) after the introduction of Universal Credit relative to the comparison group, after accounting for potential confounders. We estimate that between April 29, 2013, and Dec 31, 2018, an additional 63 674 (95% CI 10 042–117 307) unemployed people will have experienced levels of psychological distress that are clinically significant due to the introduction of Universal Credit; 21 760 of thes…","author":[{"dropping-particle":"","family":"Wickham","given":"Sophie","non-dropping-particle":"","parse-names":false,"suffix":""},{"dropping-particle":"","family":"Bentley","given":"Lee","non-dropping-particle":"","parse-names":false,"suffix":""},{"dropping-particle":"","family":"Rose","given":"Tanith","non-dropping-particle":"","parse-names":false,"suffix":""},{"dropping-particle":"","family":"Whitehead","given":"Margaret","non-dropping-particle":"","parse-names":false,"suffix":""},{"dropping-particle":"","family":"Taylor-Robinson","given":"David","non-dropping-particle":"","parse-names":false,"suffix":""},{"dropping-particle":"","family":"Barr","given":"Ben","non-dropping-particle":"","parse-names":false,"suffix":""}],"container-title":"The Lancet Public Health","id":"ITEM-1","issue":"3","issued":{"date-parts":[["2020","3","1"]]},"page":"e157-e164","publisher":"Elsevier Ltd","title":"Effects on mental health of a UK welfare reform, Universal Credit: a longitudinal controlled study","type":"article-journal","volume":"5"},"uris":["http://www.mendeley.com/documents/?uuid=f9507852-a501-359c-9116-ef463108e547"]},{"id":"ITEM-2","itemData":{"abstract":"The UK Universal Credit (UC) welfare reform simplified the benefits system whilst strongly incentivising a return to sustainable employment. Exploiting a staggered roll-out, we estimate the differential effect of entering unemployment under UC versus the former system on mental health. Groups with fewer insurance possibilities - single adults and lone parents – experience a mental health deterioration of 8.4-13.9\\% sd. For couples, UC partially or fully mitigates mental health consequences of unemployment. Exploring mechanisms, for single adults and lone parents, reduced benefit income and strict job search requirements dominate any positive welfare effects of the reduced administrative burden of claiming benefits.","author":[{"dropping-particle":"","family":"Brewer","given":"Mike","non-dropping-particle":"","parse-names":false,"suffix":""},{"dropping-particle":"","family":"Dang","given":"Thang","non-dropping-particle":"","parse-names":false,"suffix":""},{"dropping-particle":"","family":"Tominey","given":"Emma","non-dropping-particle":"","parse-names":false,"suffix":""}],"id":"ITEM-2","issue":"15178","issued":{"date-parts":[["2022","3"]]},"title":"Universal Credit: Welfare Reform and Mental Health","type":"report"},"uris":["http://www.mendeley.com/documents/?uuid=2b368ddc-1818-48f6-8735-0398cb2f2bb0"]}],"mendeley":{"formattedCitation":"(Wickham &lt;i&gt;et al.&lt;/i&gt;, 2020; Brewer, Dang and Tominey, 2022)","plainTextFormattedCitation":"(Wickham et al., 2020; Brewer, Dang and Tominey, 2022)","previouslyFormattedCitation":"(Wickham &lt;i&gt;et al.&lt;/i&gt;, 2020; Brewer, Dang and Tominey, 2022)"},"properties":{"noteIndex":0},"schema":"https://github.com/citation-style-language/schema/raw/master/csl-citation.json"}</w:instrText>
      </w:r>
      <w:r w:rsidR="003F2B2D">
        <w:fldChar w:fldCharType="separate"/>
      </w:r>
      <w:r w:rsidR="003F2B2D" w:rsidRPr="003F2B2D">
        <w:rPr>
          <w:noProof/>
        </w:rPr>
        <w:t xml:space="preserve">(Wickham </w:t>
      </w:r>
      <w:r w:rsidR="003F2B2D" w:rsidRPr="003F2B2D">
        <w:rPr>
          <w:i/>
          <w:noProof/>
        </w:rPr>
        <w:t>et al.</w:t>
      </w:r>
      <w:r w:rsidR="003F2B2D" w:rsidRPr="003F2B2D">
        <w:rPr>
          <w:noProof/>
        </w:rPr>
        <w:t>, 2020; Brewer, Dang and Tominey, 2022)</w:t>
      </w:r>
      <w:r w:rsidR="003F2B2D">
        <w:fldChar w:fldCharType="end"/>
      </w:r>
      <w:r>
        <w:t>.</w:t>
      </w:r>
      <w:r w:rsidR="00BE7C10">
        <w:t xml:space="preserve"> </w:t>
      </w:r>
      <w:r w:rsidR="00CF0085">
        <w:t>Waits</w:t>
      </w:r>
      <w:r w:rsidR="007C6B5A">
        <w:t xml:space="preserve"> for</w:t>
      </w:r>
      <w:r w:rsidR="00547D9F">
        <w:t xml:space="preserve"> first payments</w:t>
      </w:r>
      <w:r w:rsidR="00C13A96">
        <w:t xml:space="preserve"> –</w:t>
      </w:r>
      <w:r w:rsidR="00836D1E">
        <w:t xml:space="preserve"> </w:t>
      </w:r>
      <w:r w:rsidR="006378BF">
        <w:t>with</w:t>
      </w:r>
      <w:r w:rsidR="00836D1E">
        <w:t xml:space="preserve"> the minimum 5-week assessment period</w:t>
      </w:r>
      <w:r w:rsidR="00F66700">
        <w:t xml:space="preserve"> plus </w:t>
      </w:r>
      <w:r w:rsidR="00871DFC">
        <w:t>administrative delay</w:t>
      </w:r>
      <w:r w:rsidR="00F93103">
        <w:t>s</w:t>
      </w:r>
      <w:r w:rsidR="006378BF">
        <w:t xml:space="preserve"> resulting in up to a 12-week wait </w:t>
      </w:r>
      <w:r w:rsidR="006378BF">
        <w:fldChar w:fldCharType="begin" w:fldLock="1"/>
      </w:r>
      <w:r w:rsidR="00A1238F">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Open","id":"ITEM-2","issue":"7","issued":{"date-parts":[["2019","7","1"]]},"page":"e029611","publisher":"British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staff","type":"article-journal","volume":"9"},"uris":["http://www.mendeley.com/documents/?uuid=8301028f-0e0f-3679-a1db-d8a094d5113f"]}],"mendeley":{"formattedCitation":"(National Audit Office, 2018; Cheetham &lt;i&gt;et al.&lt;/i&gt;, 2019)","plainTextFormattedCitation":"(National Audit Office, 2018; Cheetham et al., 2019)","previouslyFormattedCitation":"(National Audit Office, 2018; Cheetham &lt;i&gt;et al.&lt;/i&gt;, 2019)"},"properties":{"noteIndex":0},"schema":"https://github.com/citation-style-language/schema/raw/master/csl-citation.json"}</w:instrText>
      </w:r>
      <w:r w:rsidR="006378BF">
        <w:fldChar w:fldCharType="separate"/>
      </w:r>
      <w:r w:rsidR="006378BF" w:rsidRPr="006378BF">
        <w:rPr>
          <w:noProof/>
        </w:rPr>
        <w:t xml:space="preserve">(National Audit Office, 2018; Cheetham </w:t>
      </w:r>
      <w:r w:rsidR="006378BF" w:rsidRPr="006378BF">
        <w:rPr>
          <w:i/>
          <w:noProof/>
        </w:rPr>
        <w:t>et al.</w:t>
      </w:r>
      <w:r w:rsidR="006378BF" w:rsidRPr="006378BF">
        <w:rPr>
          <w:noProof/>
        </w:rPr>
        <w:t>, 2019)</w:t>
      </w:r>
      <w:r w:rsidR="006378BF">
        <w:fldChar w:fldCharType="end"/>
      </w:r>
      <w:r w:rsidR="00836D1E">
        <w:t xml:space="preserve"> – </w:t>
      </w:r>
      <w:r w:rsidR="00713141">
        <w:t>may be a potential cause of distre</w:t>
      </w:r>
      <w:r w:rsidR="00C13A96">
        <w:t>ss</w:t>
      </w:r>
      <w:r w:rsidR="00D33B17">
        <w:t xml:space="preserve"> in low-income households</w:t>
      </w:r>
      <w:r w:rsidR="00931AD6">
        <w:t xml:space="preserve">. Incurred debt and ongoing </w:t>
      </w:r>
      <w:r w:rsidR="00A1238F">
        <w:t xml:space="preserve">struggles to keep up with payments may prolong this effect beyond the initial months </w:t>
      </w:r>
      <w:r w:rsidR="00A1238F">
        <w:fldChar w:fldCharType="begin" w:fldLock="1"/>
      </w:r>
      <w:r w:rsidR="00740A1F">
        <w:instrText>ADDIN CSL_CITATION {"citationItems":[{"id":"ITEM-1","itemData":{"ISBN":"978-1-5286-0490-1","abstract":"Research Report 958.","author":[{"dropping-particle":"","family":"Department for Work &amp; Pensions","given":"","non-dropping-particle":"","parse-names":false,"suffix":""}],"id":"ITEM-1","issued":{"date-parts":[["2018","6"]]},"title":"Universal Credit Full Service Survey","type":"report"},"uris":["http://www.mendeley.com/documents/?uuid=fe568d15-bca8-3c79-94b3-50bdd7d56ea9"]}],"mendeley":{"formattedCitation":"(Department for Work &amp; Pensions, 2018a)","plainTextFormattedCitation":"(Department for Work &amp; Pensions, 2018a)","previouslyFormattedCitation":"(Department for Work &amp; Pensions, 2018a)"},"properties":{"noteIndex":0},"schema":"https://github.com/citation-style-language/schema/raw/master/csl-citation.json"}</w:instrText>
      </w:r>
      <w:r w:rsidR="00A1238F">
        <w:fldChar w:fldCharType="separate"/>
      </w:r>
      <w:r w:rsidR="00A1238F" w:rsidRPr="00A1238F">
        <w:rPr>
          <w:noProof/>
        </w:rPr>
        <w:t>(Department for Work &amp; Pensions, 2018a)</w:t>
      </w:r>
      <w:r w:rsidR="00A1238F">
        <w:fldChar w:fldCharType="end"/>
      </w:r>
      <w:r w:rsidR="00CD050A">
        <w:t>.</w:t>
      </w:r>
      <w:r w:rsidR="003077F0" w:rsidRPr="003077F0">
        <w:t xml:space="preserve"> </w:t>
      </w:r>
      <w:r w:rsidR="00233A67">
        <w:t xml:space="preserve">Increased work-search requirements might similarly impact mental health across the term of benefit receipt, potentially requiring action beyond claimants’ capabilities or being perceived as ‘hostile’ and ‘uncaring’ in demanding justification for inaction </w:t>
      </w:r>
      <w:r w:rsidR="00233A67">
        <w:fldChar w:fldCharType="begin" w:fldLock="1"/>
      </w:r>
      <w:r w:rsidR="00D0508B">
        <w:instrText>ADDIN CSL_CITATION {"citationItems":[{"id":"ITEM-1","itemData":{"author":[{"dropping-particle":"","family":"Department for Work &amp; Pensions","given":"","non-dropping-particle":"","parse-names":false,"suffix":""}],"id":"ITEM-1","issued":{"date-parts":[["2023"]]},"publisher-place":"London","title":"Universal Credit statistics: background information and methodology","type":"report"},"uris":["http://www.mendeley.com/documents/?uuid=4d886dcb-9894-3d5c-9266-a345ab6fce7e"]},{"id":"ITEM-2","itemData":{"DOI":"10.1136/BMJOPEN-2019-029611","ISSN":"2044-6055","PMID":"31272984","abstract":"Objectives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Open","id":"ITEM-2","issue":"7","issued":{"date-parts":[["2019","7","1"]]},"page":"e029611","publisher":"British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staff","type":"article-journal","volume":"9"},"uris":["http://www.mendeley.com/documents/?uuid=8301028f-0e0f-3679-a1db-d8a094d5113f"]}],"mendeley":{"formattedCitation":"(Cheetham &lt;i&gt;et al.&lt;/i&gt;, 2019; Department for Work &amp; Pensions, 2023)","plainTextFormattedCitation":"(Cheetham et al., 2019; Department for Work &amp; Pensions, 2023)","previouslyFormattedCitation":"(Cheetham &lt;i&gt;et al.&lt;/i&gt;, 2019; Department for Work &amp; Pensions, 2023)"},"properties":{"noteIndex":0},"schema":"https://github.com/citation-style-language/schema/raw/master/csl-citation.json"}</w:instrText>
      </w:r>
      <w:r w:rsidR="00233A67">
        <w:fldChar w:fldCharType="separate"/>
      </w:r>
      <w:r w:rsidR="00740A1F" w:rsidRPr="00740A1F">
        <w:rPr>
          <w:noProof/>
        </w:rPr>
        <w:t xml:space="preserve">(Cheetham </w:t>
      </w:r>
      <w:r w:rsidR="00740A1F" w:rsidRPr="00740A1F">
        <w:rPr>
          <w:i/>
          <w:noProof/>
        </w:rPr>
        <w:t>et al.</w:t>
      </w:r>
      <w:r w:rsidR="00740A1F" w:rsidRPr="00740A1F">
        <w:rPr>
          <w:noProof/>
        </w:rPr>
        <w:t>, 2019; Department for Work &amp; Pensions, 2023)</w:t>
      </w:r>
      <w:r w:rsidR="00233A67">
        <w:fldChar w:fldCharType="end"/>
      </w:r>
      <w:r w:rsidR="00233A67">
        <w:t xml:space="preserve">. </w:t>
      </w:r>
      <w:r w:rsidR="003077F0">
        <w:t>The switch to fully-online claims system</w:t>
      </w:r>
      <w:r w:rsidR="00510B11">
        <w:t xml:space="preserve">, </w:t>
      </w:r>
      <w:r w:rsidR="003077F0">
        <w:t xml:space="preserve">perceived as “complicated, disorientating, impersonal, hostile and demeaning” </w:t>
      </w:r>
      <w:r w:rsidR="003077F0">
        <w:fldChar w:fldCharType="begin" w:fldLock="1"/>
      </w:r>
      <w:r w:rsidR="003077F0">
        <w:instrText>ADDIN CSL_CITATION {"citationItems":[{"id":"ITEM-1","itemData":{"DOI":"10.1136/BMJOPEN-2019-029611","ISSN":"2044-6055","PMID":"31272984","abstract":"Objectives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Open","id":"ITEM-1","issue":"7","issued":{"date-parts":[["2019","7","1"]]},"page":"e029611","publisher":"British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staff","type":"article-journal","volume":"9"},"uris":["http://www.mendeley.com/documents/?uuid=8301028f-0e0f-3679-a1db-d8a094d5113f"]}],"mendeley":{"formattedCitation":"(Cheetham &lt;i&gt;et al.&lt;/i&gt;, 2019)","plainTextFormattedCitation":"(Cheetham et al., 2019)","previouslyFormattedCitation":"(Cheetham &lt;i&gt;et al.&lt;/i&gt;, 2019)"},"properties":{"noteIndex":0},"schema":"https://github.com/citation-style-language/schema/raw/master/csl-citation.json"}</w:instrText>
      </w:r>
      <w:r w:rsidR="003077F0">
        <w:fldChar w:fldCharType="separate"/>
      </w:r>
      <w:r w:rsidR="003077F0" w:rsidRPr="6CEFB61D">
        <w:rPr>
          <w:noProof/>
        </w:rPr>
        <w:t xml:space="preserve">(Cheetham </w:t>
      </w:r>
      <w:r w:rsidR="003077F0" w:rsidRPr="6CEFB61D">
        <w:rPr>
          <w:i/>
          <w:iCs/>
          <w:noProof/>
        </w:rPr>
        <w:t>et al.</w:t>
      </w:r>
      <w:r w:rsidR="003077F0" w:rsidRPr="6CEFB61D">
        <w:rPr>
          <w:noProof/>
        </w:rPr>
        <w:t>, 2019)</w:t>
      </w:r>
      <w:r w:rsidR="003077F0">
        <w:fldChar w:fldCharType="end"/>
      </w:r>
      <w:r w:rsidR="003077F0">
        <w:t>, may additionally have contributed to worsening mental health.</w:t>
      </w:r>
      <w:r w:rsidR="00F3707B">
        <w:t xml:space="preserve"> Conversely, the aim to increased employment of benefit claimants may lead to improved mental health outcome</w:t>
      </w:r>
      <w:r w:rsidR="005B6FE9">
        <w:t>s</w:t>
      </w:r>
      <w:r w:rsidR="00B67F2D">
        <w:t xml:space="preserve">, both through support in applying for jobs and </w:t>
      </w:r>
      <w:r w:rsidR="00F200DE">
        <w:t xml:space="preserve">in less punitive reductions in benefits </w:t>
      </w:r>
      <w:r w:rsidR="00740A1F">
        <w:t xml:space="preserve">with increases in earned income </w:t>
      </w:r>
      <w:r w:rsidR="00740A1F">
        <w:fldChar w:fldCharType="begin" w:fldLock="1"/>
      </w:r>
      <w:r w:rsidR="00D0508B">
        <w:instrText>ADDIN CSL_CITATION {"citationItems":[{"id":"ITEM-1","itemData":{"author":[{"dropping-particle":"","family":"Department for Work &amp; Pensions","given":"","non-dropping-particle":"","parse-names":false,"suffix":""}],"id":"ITEM-1","issued":{"date-parts":[["2022","6","6"]]},"publisher-place":"London","title":"Completing the move to Universal Credit","type":"report"},"uris":["http://www.mendeley.com/documents/?uuid=b3bab0e1-0a93-3537-b130-204372703eb3"]}],"mendeley":{"formattedCitation":"(Department for Work &amp; Pensions, 2022a)","plainTextFormattedCitation":"(Department for Work &amp; Pensions, 2022a)","previouslyFormattedCitation":"(Department for Work &amp; Pensions, 2022a)"},"properties":{"noteIndex":0},"schema":"https://github.com/citation-style-language/schema/raw/master/csl-citation.json"}</w:instrText>
      </w:r>
      <w:r w:rsidR="00740A1F">
        <w:fldChar w:fldCharType="separate"/>
      </w:r>
      <w:r w:rsidR="00740A1F" w:rsidRPr="00740A1F">
        <w:rPr>
          <w:noProof/>
        </w:rPr>
        <w:t>(Department for Work &amp; Pensions, 2022a)</w:t>
      </w:r>
      <w:r w:rsidR="00740A1F">
        <w:fldChar w:fldCharType="end"/>
      </w:r>
      <w:r w:rsidR="00740A1F">
        <w:t>.</w:t>
      </w:r>
    </w:p>
    <w:p w14:paraId="0BE709C3" w14:textId="31E24BDE" w:rsidR="003A6AB0" w:rsidRDefault="003A6AB0" w:rsidP="00040D60">
      <w:pPr>
        <w:pStyle w:val="Body"/>
      </w:pPr>
      <w:r>
        <w:t>Treating the phased rollout as a stepped-wedge natural experiment</w:t>
      </w:r>
      <w:r w:rsidR="00C64899">
        <w:t xml:space="preserve">, </w:t>
      </w:r>
      <w:r w:rsidR="00FE3C41">
        <w:t xml:space="preserve">the </w:t>
      </w:r>
      <w:r w:rsidR="00C64899">
        <w:t>causal effects</w:t>
      </w:r>
      <w:r w:rsidR="00FE3C41">
        <w:t xml:space="preserve"> of UC on mental health</w:t>
      </w:r>
      <w:r w:rsidR="00C64899">
        <w:t xml:space="preserve"> may be estimable using as-yet-unexposed areas as controls.</w:t>
      </w:r>
      <w:r w:rsidR="002413CD">
        <w:t xml:space="preserve"> Natural experimental methods divide populations into exposed and unexposed comparison groups </w:t>
      </w:r>
      <w:r w:rsidR="002413CD">
        <w:lastRenderedPageBreak/>
        <w:t xml:space="preserve">using events outside of the control of the </w:t>
      </w:r>
      <w:r w:rsidR="00D0508B">
        <w:t xml:space="preserve">researcher </w:t>
      </w:r>
      <w:r w:rsidR="00D0508B">
        <w:fldChar w:fldCharType="begin" w:fldLock="1"/>
      </w:r>
      <w:r w:rsidR="00960C99">
        <w:instrText>ADDIN CSL_CITATION {"citationItems":[{"id":"ITEM-1","itemData":{"DOI":"10.1146/annurev-publhealth-031816-044327","ISSN":"1545-2093","PMID":"28125392","abstract":"Population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realized.","author":[{"dropping-particle":"","family":"Craig","given":"Peter","non-dropping-particle":"","parse-names":false,"suffix":""},{"dropping-particle":"","family":"Katikireddi","given":"Srinivasa Vittal","non-dropping-particle":"","parse-names":false,"suffix":""},{"dropping-particle":"","family":"Leyland","given":"Alastair","non-dropping-particle":"","parse-names":false,"suffix":""},{"dropping-particle":"","family":"Popham","given":"Frank","non-dropping-particle":"","parse-names":false,"suffix":""}],"container-title":"Annual review of public health","id":"ITEM-1","issue":"1","issued":{"date-parts":[["2017","3","20"]]},"page":"39-56","title":"Natural Experiments: An overview of methods, approaches, and contributions to public health intervention research.","type":"article-journal","volume":"38"},"uris":["http://www.mendeley.com/documents/?uuid=f65598d1-046d-3af4-acef-49707f23442f"]}],"mendeley":{"formattedCitation":"(Craig &lt;i&gt;et al.&lt;/i&gt;, 2017)","plainTextFormattedCitation":"(Craig et al., 2017)","previouslyFormattedCitation":"(Craig &lt;i&gt;et al.&lt;/i&gt;, 2017)"},"properties":{"noteIndex":0},"schema":"https://github.com/citation-style-language/schema/raw/master/csl-citation.json"}</w:instrText>
      </w:r>
      <w:r w:rsidR="00D0508B">
        <w:fldChar w:fldCharType="separate"/>
      </w:r>
      <w:r w:rsidR="00D0508B" w:rsidRPr="00D0508B">
        <w:rPr>
          <w:noProof/>
        </w:rPr>
        <w:t xml:space="preserve">(Craig </w:t>
      </w:r>
      <w:r w:rsidR="00D0508B" w:rsidRPr="00D0508B">
        <w:rPr>
          <w:i/>
          <w:noProof/>
        </w:rPr>
        <w:t>et al.</w:t>
      </w:r>
      <w:r w:rsidR="00D0508B" w:rsidRPr="00D0508B">
        <w:rPr>
          <w:noProof/>
        </w:rPr>
        <w:t>, 2017)</w:t>
      </w:r>
      <w:r w:rsidR="00D0508B">
        <w:fldChar w:fldCharType="end"/>
      </w:r>
      <w:r w:rsidR="00D0508B">
        <w:t>.</w:t>
      </w:r>
      <w:r w:rsidR="007313F8">
        <w:t xml:space="preserve"> Using the planned UC ‘natural migration’ rollout timetable, </w:t>
      </w:r>
      <w:r w:rsidR="005C4E97">
        <w:t>potential benefit claimants</w:t>
      </w:r>
      <w:r w:rsidR="00812EE9">
        <w:t xml:space="preserve"> can be classified</w:t>
      </w:r>
      <w:r w:rsidR="005C4E97">
        <w:t xml:space="preserve"> as ‘exposed’ and ‘unexposed’ </w:t>
      </w:r>
      <w:r w:rsidR="00D850A4">
        <w:t>by determining whether UC had</w:t>
      </w:r>
      <w:r w:rsidR="00040D60">
        <w:t>,</w:t>
      </w:r>
      <w:r w:rsidR="00D850A4">
        <w:t xml:space="preserve"> at date of data collection</w:t>
      </w:r>
      <w:r w:rsidR="00040D60">
        <w:t>,</w:t>
      </w:r>
      <w:r w:rsidR="00D850A4">
        <w:t xml:space="preserve"> been implemented in </w:t>
      </w:r>
      <w:r w:rsidR="00BB688A">
        <w:t>the local authority area or not.</w:t>
      </w:r>
      <w:r w:rsidR="00FE3C41" w:rsidRPr="00FE3C41">
        <w:t xml:space="preserve"> </w:t>
      </w:r>
      <w:r w:rsidR="00FE3C41">
        <w:t>Quantifying these effects would give a clearer picture of how much observed differences in mental health are attributable to the switch to a new benefit system</w:t>
      </w:r>
      <w:r w:rsidR="00BB020D">
        <w:t xml:space="preserve"> and give an estimate of</w:t>
      </w:r>
      <w:r w:rsidR="004C093C">
        <w:t xml:space="preserve"> whether UC </w:t>
      </w:r>
      <w:r w:rsidR="00990D20">
        <w:t>causes</w:t>
      </w:r>
      <w:r w:rsidR="004C093C">
        <w:t xml:space="preserve"> overall benefits or harms to </w:t>
      </w:r>
      <w:r w:rsidR="00752E4A">
        <w:t>claimants</w:t>
      </w:r>
      <w:r w:rsidR="00FE3C41">
        <w:t>.</w:t>
      </w:r>
      <w:r w:rsidR="00752E4A">
        <w:t xml:space="preserve"> Subgroup analyses of claimant types and other vulnerabilities </w:t>
      </w:r>
      <w:r w:rsidR="00F313C0">
        <w:t>can also identify at-risk groups and areas for preventative action.</w:t>
      </w:r>
      <w:r w:rsidR="009211DB">
        <w:t xml:space="preserve"> These findings could inform future changes to benefit systems to improve mental health outcomes.</w:t>
      </w:r>
    </w:p>
    <w:p w14:paraId="1E0BC743" w14:textId="6CCB9B8F" w:rsidR="00D0508B" w:rsidRDefault="00D0508B" w:rsidP="000F6A84">
      <w:pPr>
        <w:pStyle w:val="Body"/>
      </w:pPr>
      <w:r>
        <w:t xml:space="preserve">This study is </w:t>
      </w:r>
      <w:r w:rsidR="004F068B">
        <w:t xml:space="preserve">part of Work Package 1 of </w:t>
      </w:r>
      <w:r w:rsidR="00960C99">
        <w:t>an</w:t>
      </w:r>
      <w:r w:rsidR="004F068B">
        <w:t xml:space="preserve"> NIHR-funded study </w:t>
      </w:r>
      <w:r w:rsidR="00960C99">
        <w:t xml:space="preserve">on evaluating the mental health impacts of Universal Credit </w:t>
      </w:r>
      <w:r w:rsidR="00960C99">
        <w:fldChar w:fldCharType="begin" w:fldLock="1"/>
      </w:r>
      <w:r w:rsidR="00577C10">
        <w:instrText>ADDIN CSL_CITATION {"citationItems":[{"id":"ITEM-1","itemData":{"DOI":"10.1136/BMJOPEN-2022-061340","ISSN":"2044-6055","PMID":"35396318","abstract":"Introduction The UK social security system is being transformed by the implementation of Universal Credit (UC), which combines six existing benefits and tax credits into a single payment for low-income households. Despite extensive reports of hardship associated with the introduction of UC, no previous studies have comprehensively evaluated its impact on mental health. Because payments are targeted at low-income households, impacts on mental health will have important consequences for health inequalities.\n\nMethods and analysis We will conduct a mixed methods study. Work package (WP) 1 will compare health outcomes for new recipients of UC with outcomes for legacy benefit recipients in two large population surveys, using the phased rollout of UC as a natural experiment. We will also analyse the relationship between the proportion of UC claimants in small areas and a composite measure of mental health. WP2 will use data collected by Citizen’s Advice to explore the sociodemographic and health characteristics of people who seek advice when claiming UC and identify features of the claim process that prompt advice-seeking. WP3 will conduct longitudinal in-depth interviews with up to 80 UC claimants in England and Scotland to explore reasons for claiming and experiences of the claim process. Up to 30 staff supporting claimants will also be interviewed. WP4 will use a dynamic microsimulation model to simulate the long-term health impacts of different implementation scenarios. WP5 will undertake cost–consequence analysis of the potential costs and outcomes of introducing UC and cost–benefit analyses of mitigating actions.\n\nEthics and dissemination We obtained ethical approval for the primary data gathering from the University of Glasgow, College of Social Sciences Research Ethics Committee, application number 400200244. We will use our networks to actively disseminate findings to UC claimants, the public, practitioners and policy-makers, using a range of methods and formats.\n\nTrial registration number The study is registered with the Research Registry: researchregistry6697.","author":[{"dropping-particle":"","family":"Craig","given":"Peter","non-dropping-particle":"","parse-names":false,"suffix":""},{"dropping-particle":"","family":"Barr","given":"Benjamin","non-dropping-particle":"","parse-names":false,"suffix":""},{"dropping-particle":"","family":"Baxter","given":"Andrew J.","non-dropping-particle":"","parse-names":false,"suffix":""},{"dropping-particle":"","family":"Brown","given":"Heather","non-dropping-particle":"","parse-names":false,"suffix":""},{"dropping-particle":"","family":"Cheetham","given":"Mandy","non-dropping-particle":"","parse-names":false,"suffix":""},{"dropping-particle":"","family":"Gibson","given":"Marcia","non-dropping-particle":"","parse-names":false,"suffix":""},{"dropping-particle":"","family":"Katikireddi","given":"Srinivasa Vittal","non-dropping-particle":"","parse-names":false,"suffix":""},{"dropping-particle":"","family":"Moffatt","given":"Suzanne","non-dropping-particle":"","parse-names":false,"suffix":""},{"dropping-particle":"","family":"Morris","given":"Steph","non-dropping-particle":"","parse-names":false,"suffix":""},{"dropping-particle":"","family":"Munford","given":"Luke Aaron","non-dropping-particle":"","parse-names":false,"suffix":""},{"dropping-particle":"","family":"Richiardi","given":"Matteo","non-dropping-particle":"","parse-names":false,"suffix":""},{"dropping-particle":"","family":"Sutton","given":"Matt","non-dropping-particle":"","parse-names":false,"suffix":""},{"dropping-particle":"","family":"Taylor-Robinson","given":"David","non-dropping-particle":"","parse-names":false,"suffix":""},{"dropping-particle":"","family":"Wickham","given":"Sophie","non-dropping-particle":"","parse-names":false,"suffix":""},{"dropping-particle":"","family":"Xiang","given":"Huasheng","non-dropping-particle":"","parse-names":false,"suffix":""},{"dropping-particle":"","family":"Bambra","given":"Clare","non-dropping-particle":"","parse-names":false,"suffix":""}],"container-title":"BMJ Open","id":"ITEM-1","issue":"4","issued":{"date-parts":[["2022","4","1"]]},"page":"e061340","publisher":"British Medical Journal Publishing Group","title":"Evaluation of the mental health impacts of Universal Credit: protocol for a mixed methods study","type":"article-journal","volume":"12"},"prefix":"grant number NIHR131709; ","uris":["http://www.mendeley.com/documents/?uuid=86d0e13c-d834-3b44-a624-820eed927970"]}],"mendeley":{"formattedCitation":"(grant number NIHR131709; Craig &lt;i&gt;et al.&lt;/i&gt;, 2022)","plainTextFormattedCitation":"(grant number NIHR131709; Craig et al., 2022)","previouslyFormattedCitation":"(grant number NIHR131709; Craig &lt;i&gt;et al.&lt;/i&gt;, 2022)"},"properties":{"noteIndex":0},"schema":"https://github.com/citation-style-language/schema/raw/master/csl-citation.json"}</w:instrText>
      </w:r>
      <w:r w:rsidR="00960C99">
        <w:fldChar w:fldCharType="separate"/>
      </w:r>
      <w:r w:rsidR="00686EC6" w:rsidRPr="00686EC6">
        <w:rPr>
          <w:noProof/>
        </w:rPr>
        <w:t xml:space="preserve">(grant number NIHR131709; Craig </w:t>
      </w:r>
      <w:r w:rsidR="00686EC6" w:rsidRPr="00686EC6">
        <w:rPr>
          <w:i/>
          <w:noProof/>
        </w:rPr>
        <w:t>et al.</w:t>
      </w:r>
      <w:r w:rsidR="00686EC6" w:rsidRPr="00686EC6">
        <w:rPr>
          <w:noProof/>
        </w:rPr>
        <w:t>, 2022)</w:t>
      </w:r>
      <w:r w:rsidR="00960C99">
        <w:fldChar w:fldCharType="end"/>
      </w:r>
      <w:r w:rsidR="00960C99">
        <w:t>.</w:t>
      </w:r>
    </w:p>
    <w:p w14:paraId="4A1FAAEB" w14:textId="0BAE5E2B" w:rsidR="00C64899" w:rsidRDefault="008234ED" w:rsidP="008234ED">
      <w:pPr>
        <w:pStyle w:val="Heading1"/>
      </w:pPr>
      <w:r>
        <w:t>Methods</w:t>
      </w:r>
    </w:p>
    <w:p w14:paraId="53592E1A" w14:textId="3A968796" w:rsidR="008234ED" w:rsidRDefault="00C622DD" w:rsidP="00C622DD">
      <w:pPr>
        <w:pStyle w:val="Heading2"/>
      </w:pPr>
      <w:r>
        <w:t>Aim and research questions</w:t>
      </w:r>
    </w:p>
    <w:p w14:paraId="11E888BA" w14:textId="03D3770A" w:rsidR="00C622DD" w:rsidRDefault="009822A0" w:rsidP="00C622DD">
      <w:pPr>
        <w:pStyle w:val="Body"/>
      </w:pPr>
      <w:r>
        <w:t>We aim</w:t>
      </w:r>
      <w:r w:rsidR="002046C6">
        <w:t>ed</w:t>
      </w:r>
      <w:r>
        <w:t xml:space="preserve"> to estimate the Average Treatment Effects across Local Authority areas of Universal Credit on the mental health of people eligible to claim benefits. </w:t>
      </w:r>
      <w:r w:rsidR="002B014B">
        <w:t>Additionally, we aim</w:t>
      </w:r>
      <w:r w:rsidR="002046C6">
        <w:t>ed</w:t>
      </w:r>
      <w:r w:rsidR="002B014B">
        <w:t xml:space="preserve"> to test differences in effect sizes </w:t>
      </w:r>
      <w:r w:rsidR="001A6A3B">
        <w:t>across markers of vulnerability</w:t>
      </w:r>
      <w:r w:rsidR="002046C6">
        <w:t>.</w:t>
      </w:r>
    </w:p>
    <w:p w14:paraId="43554055" w14:textId="77777777" w:rsidR="00550C56" w:rsidRPr="00550C56" w:rsidRDefault="00550C56" w:rsidP="00550C56">
      <w:pPr>
        <w:pStyle w:val="Body"/>
        <w:rPr>
          <w:b/>
        </w:rPr>
      </w:pPr>
      <w:r w:rsidRPr="00550C56">
        <w:rPr>
          <w:b/>
        </w:rPr>
        <w:t>Research questions</w:t>
      </w:r>
    </w:p>
    <w:p w14:paraId="3891E781" w14:textId="73A0DC8F" w:rsidR="00550C56" w:rsidRPr="00550C56" w:rsidRDefault="00550C56" w:rsidP="006B1DC8">
      <w:pPr>
        <w:pStyle w:val="Body"/>
        <w:numPr>
          <w:ilvl w:val="0"/>
          <w:numId w:val="12"/>
        </w:numPr>
        <w:tabs>
          <w:tab w:val="left" w:pos="993"/>
        </w:tabs>
        <w:ind w:left="993" w:hanging="633"/>
      </w:pPr>
      <w:bookmarkStart w:id="0" w:name="_Ref115868900"/>
      <w:r w:rsidRPr="00550C56">
        <w:t xml:space="preserve">What is the impact of UC rollout on </w:t>
      </w:r>
      <w:r w:rsidR="000A1894">
        <w:t xml:space="preserve">the </w:t>
      </w:r>
      <w:r w:rsidRPr="00550C56">
        <w:t>mental health and wellbeing of working age adults?</w:t>
      </w:r>
      <w:bookmarkEnd w:id="0"/>
    </w:p>
    <w:p w14:paraId="34C0A2DA" w14:textId="77777777" w:rsidR="00550C56" w:rsidRPr="00550C56" w:rsidRDefault="00550C56" w:rsidP="006B1DC8">
      <w:pPr>
        <w:pStyle w:val="Body"/>
        <w:numPr>
          <w:ilvl w:val="0"/>
          <w:numId w:val="12"/>
        </w:numPr>
        <w:tabs>
          <w:tab w:val="left" w:pos="993"/>
        </w:tabs>
        <w:ind w:left="993" w:hanging="633"/>
      </w:pPr>
      <w:r w:rsidRPr="00550C56">
        <w:t>Do effects vary across sex, age of claimant, pre-UC employment status, household structure, disability and health status, and country?</w:t>
      </w:r>
    </w:p>
    <w:p w14:paraId="5D345A9D" w14:textId="77777777" w:rsidR="00550C56" w:rsidRPr="000078C7" w:rsidRDefault="00550C56" w:rsidP="006B1DC8">
      <w:pPr>
        <w:pStyle w:val="Body"/>
        <w:numPr>
          <w:ilvl w:val="0"/>
          <w:numId w:val="12"/>
        </w:numPr>
        <w:tabs>
          <w:tab w:val="left" w:pos="993"/>
        </w:tabs>
        <w:ind w:left="993" w:hanging="633"/>
      </w:pPr>
      <w:r w:rsidRPr="00550C56">
        <w:t>How does this effect vary in the time periods immediately before and immediately following a switch to Universal Credit? Are there anticipatory effects in the immediate pre-rollout period? Do post-exposure effects change as time from rollout increases?</w:t>
      </w:r>
    </w:p>
    <w:p w14:paraId="5336BF67" w14:textId="2E89E839" w:rsidR="00E13415" w:rsidRPr="000078C7" w:rsidRDefault="00E13415" w:rsidP="00E13415">
      <w:pPr>
        <w:pStyle w:val="Heading2"/>
      </w:pPr>
      <w:r w:rsidRPr="000078C7">
        <w:lastRenderedPageBreak/>
        <w:t>Protocol</w:t>
      </w:r>
    </w:p>
    <w:p w14:paraId="112BCA16" w14:textId="5CBFFBE0" w:rsidR="00E13415" w:rsidRPr="000078C7" w:rsidRDefault="00E13415" w:rsidP="00E13415">
      <w:pPr>
        <w:pStyle w:val="Body"/>
      </w:pPr>
      <w:r w:rsidRPr="000078C7">
        <w:t>Th</w:t>
      </w:r>
      <w:r w:rsidR="00D74FC2">
        <w:t xml:space="preserve">e analysis plan, along with </w:t>
      </w:r>
      <w:r w:rsidR="008173CC">
        <w:t xml:space="preserve">code used in analysis, is archived at </w:t>
      </w:r>
      <w:hyperlink r:id="rId9" w:history="1">
        <w:r w:rsidR="008A608D">
          <w:rPr>
            <w:rStyle w:val="Hyperlink"/>
          </w:rPr>
          <w:t>osf.io/knajb</w:t>
        </w:r>
      </w:hyperlink>
      <w:r w:rsidR="008A608D">
        <w:t xml:space="preserve"> </w:t>
      </w:r>
      <w:r w:rsidR="008A608D">
        <w:fldChar w:fldCharType="begin" w:fldLock="1"/>
      </w:r>
      <w:r w:rsidR="00123482">
        <w:instrText>ADDIN CSL_CITATION {"citationItems":[{"id":"ITEM-1","itemData":{"DOI":"10.17605/OSF.IO/KNAJB","author":[{"dropping-particle":"","family":"Baxter","given":"Andrew","non-dropping-particle":"","parse-names":false,"suffix":""},{"dropping-particle":"","family":"Wickham","given":"Sophie","non-dropping-particle":"","parse-names":false,"suffix":""},{"dropping-particle":"","family":"Cheetham","given":"Mandy","non-dropping-particle":"","parse-names":false,"suffix":""},{"dropping-particle":"","family":"Coombes","given":"Emma","non-dropping-particle":"","parse-names":false,"suffix":""},{"dropping-particle":"","family":"Taylor-Robinson","given":"David","non-dropping-particle":"","parse-names":false,"suffix":""},{"dropping-particle":"","family":"Munford","given":"Luke","non-dropping-particle":"","parse-names":false,"suffix":""},{"dropping-particle":"","family":"Xiang","given":"Huasheng","non-dropping-particle":"","parse-names":false,"suffix":""},{"dropping-particle":"","family":"Richiardi","given":"Mattheo","non-dropping-particle":"","parse-names":false,"suffix":""},{"dropping-particle":"","family":"Brown","given":"Heather","non-dropping-particle":"","parse-names":false,"suffix":""},{"dropping-particle":"","family":"Sutton","given":"Matthew","non-dropping-particle":"","parse-names":false,"suffix":""}],"container-title":"OSF","id":"ITEM-1","issued":{"date-parts":[["2022"]]},"publisher":"OSF","title":"Difference-in-difference effect estimates of the mental health impacts of the implementation of Universal Credit using Annual Population Survey data (2013-2018 rollout period) - Protocol and documentation","type":"article-journal"},"uris":["http://www.mendeley.com/documents/?uuid=ff0ea75f-aab0-3066-ab1e-14ef59390f46"]}],"mendeley":{"formattedCitation":"(Baxter &lt;i&gt;et al.&lt;/i&gt;, 2022)","plainTextFormattedCitation":"(Baxter et al., 2022)","previouslyFormattedCitation":"(Baxter &lt;i&gt;et al.&lt;/i&gt;, 2022)"},"properties":{"noteIndex":0},"schema":"https://github.com/citation-style-language/schema/raw/master/csl-citation.json"}</w:instrText>
      </w:r>
      <w:r w:rsidR="008A608D">
        <w:fldChar w:fldCharType="separate"/>
      </w:r>
      <w:r w:rsidR="008A608D" w:rsidRPr="008A608D">
        <w:rPr>
          <w:noProof/>
        </w:rPr>
        <w:t xml:space="preserve">(Baxter </w:t>
      </w:r>
      <w:r w:rsidR="008A608D" w:rsidRPr="008A608D">
        <w:rPr>
          <w:i/>
          <w:noProof/>
        </w:rPr>
        <w:t>et al.</w:t>
      </w:r>
      <w:r w:rsidR="008A608D" w:rsidRPr="008A608D">
        <w:rPr>
          <w:noProof/>
        </w:rPr>
        <w:t>, 2022)</w:t>
      </w:r>
      <w:r w:rsidR="008A608D">
        <w:fldChar w:fldCharType="end"/>
      </w:r>
      <w:r w:rsidR="008A608D">
        <w:t>.</w:t>
      </w:r>
    </w:p>
    <w:p w14:paraId="25E8F78C" w14:textId="0A3719BB" w:rsidR="002833BD" w:rsidRPr="000078C7" w:rsidRDefault="002833BD" w:rsidP="002046C6">
      <w:pPr>
        <w:pStyle w:val="Heading2"/>
      </w:pPr>
      <w:r w:rsidRPr="000078C7">
        <w:t>Data</w:t>
      </w:r>
    </w:p>
    <w:p w14:paraId="1361BDCB" w14:textId="77777777" w:rsidR="00E2268B" w:rsidRDefault="002833BD" w:rsidP="002833BD">
      <w:pPr>
        <w:pStyle w:val="Body"/>
      </w:pPr>
      <w:r w:rsidRPr="000078C7">
        <w:t>We used data</w:t>
      </w:r>
      <w:r>
        <w:t xml:space="preserve"> from the Annual Population Survey</w:t>
      </w:r>
      <w:r w:rsidR="002B5B86">
        <w:t xml:space="preserve"> (APS)</w:t>
      </w:r>
      <w:r>
        <w:t xml:space="preserve"> </w:t>
      </w:r>
      <w:r w:rsidR="002C6759">
        <w:t xml:space="preserve">secure-access version </w:t>
      </w:r>
      <w:r>
        <w:t xml:space="preserve">collected </w:t>
      </w:r>
      <w:r w:rsidR="00997159">
        <w:t>between</w:t>
      </w:r>
      <w:r>
        <w:t xml:space="preserve"> 2013-2019</w:t>
      </w:r>
      <w:r w:rsidR="00F2530E">
        <w:t xml:space="preserve"> </w:t>
      </w:r>
      <w:r w:rsidR="00C90A4C">
        <w:fldChar w:fldCharType="begin" w:fldLock="1"/>
      </w:r>
      <w:r w:rsidR="004268FB">
        <w:instrText>ADDIN CSL_CITATION {"citationItems":[{"id":"ITEM-1","itemData":{"DOI":"10.5255/UKDA-SN-6721-22","author":[{"dropping-particle":"","family":"Office for National Statistics - Social Survey Division","given":"","non-dropping-particle":"","parse-names":false,"suffix":""}],"edition":"23rd Editi","id":"ITEM-1","issued":{"date-parts":[["2022"]]},"publisher":"UK Data Service","title":"Annual Population Survey, 2004-2021: Secure Access","type":"article"},"uris":["http://www.mendeley.com/documents/?uuid=af6c0521-ae41-4716-b7b0-baf08d8e50c5"]}],"mendeley":{"formattedCitation":"(Office for National Statistics - Social Survey Division, 2022)","plainTextFormattedCitation":"(Office for National Statistics - Social Survey Division, 2022)","previouslyFormattedCitation":"(Office for National Statistics - Social Survey Division, 2022)"},"properties":{"noteIndex":0},"schema":"https://github.com/citation-style-language/schema/raw/master/csl-citation.json"}</w:instrText>
      </w:r>
      <w:r w:rsidR="00C90A4C">
        <w:fldChar w:fldCharType="separate"/>
      </w:r>
      <w:r w:rsidR="00C90A4C" w:rsidRPr="00C90A4C">
        <w:rPr>
          <w:noProof/>
        </w:rPr>
        <w:t>(Office for National Statistics - Social Survey Division, 2022)</w:t>
      </w:r>
      <w:r w:rsidR="00C90A4C">
        <w:fldChar w:fldCharType="end"/>
      </w:r>
      <w:r w:rsidR="00997159">
        <w:t>.</w:t>
      </w:r>
      <w:r w:rsidR="00042CA0">
        <w:t xml:space="preserve"> These data</w:t>
      </w:r>
      <w:r w:rsidR="00121E83">
        <w:t xml:space="preserve"> are released as annual cross-sectional datasets, produced from the Labour Force Survey</w:t>
      </w:r>
      <w:r w:rsidR="002B5B86">
        <w:t xml:space="preserve"> data collection</w:t>
      </w:r>
      <w:r w:rsidR="002C17D4">
        <w:t xml:space="preserve"> </w:t>
      </w:r>
      <w:r w:rsidR="002C17D4">
        <w:fldChar w:fldCharType="begin" w:fldLock="1"/>
      </w:r>
      <w:r w:rsidR="008A608D">
        <w:instrText>ADDIN CSL_CITATION {"citationItems":[{"id":"ITEM-1","itemData":{"URL":"https://www.ons.gov.uk/employmentandlabourmarket/peopleinwork/employmentandemployeetypes/methodologies/annualpopulationsurveyapsqmi","accessed":{"date-parts":[["2022","2","11"]]},"author":[{"dropping-particle":"","family":"Office for National Statistics","given":"","non-dropping-particle":"","parse-names":false,"suffix":""}],"id":"ITEM-1","issued":{"date-parts":[["2012","9","14"]]},"title":"Annual population survey (APS) QMI","type":"webpage"},"uris":["http://www.mendeley.com/documents/?uuid=be3640ed-5ff6-3201-8db9-a71dc858e3d8"]}],"mendeley":{"formattedCitation":"(Office for National Statistics, 2012)","plainTextFormattedCitation":"(Office for National Statistics, 2012)","previouslyFormattedCitation":"(Office for National Statistics, 2012)"},"properties":{"noteIndex":0},"schema":"https://github.com/citation-style-language/schema/raw/master/csl-citation.json"}</w:instrText>
      </w:r>
      <w:r w:rsidR="002C17D4">
        <w:fldChar w:fldCharType="separate"/>
      </w:r>
      <w:r w:rsidR="002C17D4" w:rsidRPr="002C17D4">
        <w:rPr>
          <w:noProof/>
        </w:rPr>
        <w:t>(Office for National Statistics, 2012)</w:t>
      </w:r>
      <w:r w:rsidR="002C17D4">
        <w:fldChar w:fldCharType="end"/>
      </w:r>
      <w:r w:rsidR="002C17D4">
        <w:t>.</w:t>
      </w:r>
      <w:r w:rsidR="002B0255">
        <w:t xml:space="preserve"> </w:t>
      </w:r>
      <w:r w:rsidR="002B5B86">
        <w:t>APS</w:t>
      </w:r>
      <w:r w:rsidR="002B0255">
        <w:t xml:space="preserve"> responses record </w:t>
      </w:r>
      <w:r w:rsidR="00066835">
        <w:t xml:space="preserve">demographics, </w:t>
      </w:r>
      <w:r w:rsidR="002B0255">
        <w:t xml:space="preserve">household and employment conditions, </w:t>
      </w:r>
      <w:r w:rsidR="00066835">
        <w:t>benefit receipt</w:t>
      </w:r>
      <w:r w:rsidR="004268FB">
        <w:t xml:space="preserve"> and the ‘ONS4’ well-being outcomes </w:t>
      </w:r>
      <w:r w:rsidR="004268FB">
        <w:fldChar w:fldCharType="begin" w:fldLock="1"/>
      </w:r>
      <w:r w:rsidR="004E1D1E">
        <w:instrText>ADDIN CSL_CITATION {"citationItems":[{"id":"ITEM-1","itemData":{"URL":"https://www.ons.gov.uk/peoplepopulationandcommunity/wellbeing/methodologies/personalwellbeingsurveyuserguide","accessed":{"date-parts":[["2023","3","17"]]},"author":[{"dropping-particle":"","family":"Office for National Statistics","given":"","non-dropping-particle":"","parse-names":false,"suffix":""}],"id":"ITEM-1","issued":{"date-parts":[["2018"]]},"title":"Personal well-being user guidance","type":"webpage"},"prefix":"'Life Satisfaction', 'Worthwhile', 'Happiness' and 'Anxiety'; ","uris":["http://www.mendeley.com/documents/?uuid=874a1ec1-6fac-34e4-b99a-5167f324e149"]}],"mendeley":{"formattedCitation":"(‘Life Satisfaction’, ‘Worthwhile’, ‘Happiness’ and ‘Anxiety’; Office for National Statistics, 2018)","plainTextFormattedCitation":"(‘Life Satisfaction’, ‘Worthwhile’, ‘Happiness’ and ‘Anxiety’; Office for National Statistics, 2018)","previouslyFormattedCitation":"(‘Life Satisfaction’, ‘Worthwhile’, ‘Happiness’ and ‘Anxiety’; Office for National Statistics, 2018)"},"properties":{"noteIndex":0},"schema":"https://github.com/citation-style-language/schema/raw/master/csl-citation.json"}</w:instrText>
      </w:r>
      <w:r w:rsidR="004268FB">
        <w:fldChar w:fldCharType="separate"/>
      </w:r>
      <w:r w:rsidR="006C511D" w:rsidRPr="006C511D">
        <w:rPr>
          <w:noProof/>
        </w:rPr>
        <w:t>(‘Life Satisfaction’, ‘Worthwhile’, ‘Happiness’ and ‘Anxiety’; Office for National Statistics, 2018)</w:t>
      </w:r>
      <w:r w:rsidR="004268FB">
        <w:fldChar w:fldCharType="end"/>
      </w:r>
      <w:r w:rsidR="004268FB">
        <w:t>.</w:t>
      </w:r>
      <w:r w:rsidR="00A66140">
        <w:t xml:space="preserve"> </w:t>
      </w:r>
      <w:r w:rsidR="00A669CA">
        <w:t>D</w:t>
      </w:r>
      <w:r w:rsidR="00A66140">
        <w:t xml:space="preserve">ata are collected </w:t>
      </w:r>
      <w:r w:rsidR="003A4259">
        <w:t xml:space="preserve">using area-based quotas and </w:t>
      </w:r>
      <w:r w:rsidR="006B0CD1">
        <w:t>record</w:t>
      </w:r>
      <w:r w:rsidR="00DD69F8">
        <w:t xml:space="preserve"> </w:t>
      </w:r>
      <w:r w:rsidR="005F6BF8">
        <w:t>each observation’s area of residence</w:t>
      </w:r>
      <w:r w:rsidR="00A669CA">
        <w:t>;</w:t>
      </w:r>
      <w:r w:rsidR="004E1D1E">
        <w:t xml:space="preserve"> </w:t>
      </w:r>
      <w:r w:rsidR="00A669CA">
        <w:t>t</w:t>
      </w:r>
      <w:r w:rsidR="004E1D1E">
        <w:t xml:space="preserve">his allows grouping of observations by Local Authority District, which match the area-wise Universal Credit rollouts announced for the 2015–2018 period </w:t>
      </w:r>
      <w:r w:rsidR="004E1D1E">
        <w:fldChar w:fldCharType="begin" w:fldLock="1"/>
      </w:r>
      <w:r w:rsidR="00740A1F">
        <w:instrText>ADDIN CSL_CITATION {"citationItems":[{"id":"ITEM-1","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Pensions","given":"","non-dropping-particle":"","parse-names":false,"suffix":""}],"id":"ITEM-1","issued":{"date-parts":[["2018","12","12"]]},"note":"archived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2018b)","plainTextFormattedCitation":"(Department for Work &amp; Pensions, 2018b)","previouslyFormattedCitation":"(Department for Work &amp; Pensions, 2018b)"},"properties":{"noteIndex":0},"schema":"https://github.com/citation-style-language/schema/raw/master/csl-citation.json"}</w:instrText>
      </w:r>
      <w:r w:rsidR="004E1D1E">
        <w:fldChar w:fldCharType="separate"/>
      </w:r>
      <w:r w:rsidR="00A1238F" w:rsidRPr="00A1238F">
        <w:rPr>
          <w:noProof/>
        </w:rPr>
        <w:t>(Department for Work &amp; Pensions, 2018b)</w:t>
      </w:r>
      <w:r w:rsidR="004E1D1E">
        <w:fldChar w:fldCharType="end"/>
      </w:r>
      <w:r w:rsidR="004E1D1E">
        <w:t>.</w:t>
      </w:r>
    </w:p>
    <w:p w14:paraId="3ED146F6" w14:textId="0CA1FCAA" w:rsidR="009822A0" w:rsidRDefault="00F96385" w:rsidP="002046C6">
      <w:pPr>
        <w:pStyle w:val="Heading2"/>
      </w:pPr>
      <w:commentRangeStart w:id="1"/>
      <w:r>
        <w:t>Study design</w:t>
      </w:r>
      <w:commentRangeEnd w:id="1"/>
      <w:r w:rsidR="000A6D5B">
        <w:rPr>
          <w:rStyle w:val="CommentReference"/>
          <w:rFonts w:eastAsiaTheme="minorEastAsia" w:cstheme="minorBidi"/>
          <w:b w:val="0"/>
        </w:rPr>
        <w:commentReference w:id="1"/>
      </w:r>
    </w:p>
    <w:p w14:paraId="6665FC21" w14:textId="2BDE0219" w:rsidR="003F43C9" w:rsidRDefault="00EC04E5" w:rsidP="00707A15">
      <w:pPr>
        <w:pStyle w:val="Body"/>
      </w:pPr>
      <w:r>
        <w:t>We used natural experimental methods t</w:t>
      </w:r>
      <w:r w:rsidR="0078652B">
        <w:t xml:space="preserve">o estimate the effects of the rollout of Universal Credit on mental health across all claimants and potential claimants. We treated the differences in treatment timing as a ‘target trial’, evaluating how closely the phased rollout emulates a stepped wedge randomised controlled trial to assess the potential for bias in these comparisons </w:t>
      </w:r>
      <w:r w:rsidR="0078652B">
        <w:fldChar w:fldCharType="begin" w:fldLock="1"/>
      </w:r>
      <w:r w:rsidR="0078652B">
        <w:instrText>ADDIN CSL_CITATION {"citationItems":[{"id":"ITEM-1","itemData":{"DOI":"10.1093/aje/kwv254","ISSN":"14766256","PMID":"26994063","abstract":"Ideally,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 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Epidemiology","id":"ITEM-1","issue":"8","issued":{"date-parts":[["2016","4","15"]]},"page":"758-764","publisher":"Oxford University Press","title":"Using Big Data to Emulate a Target Trial When a Randomized Trial Is Not Available","type":"article-journal","volume":"183"},"uris":["http://www.mendeley.com/documents/?uuid=89ec3db5-3865-39cf-8f17-ca9dfa9dd338"]},{"id":"ITEM-2","itemData":{"DOI":"10.1136/BMJ-2022-071108","ISBN":"0b013e3181875e61","ISSN":"1756-1833","PMID":"36041749","abstract":"The randomised trial is the preferred study design for evaluating the effectiveness and safety of interventions. Yet such trials can be prohibitively expensive, unethical, or take too long. When it is not possible to carry out a randomised trial, observational data can be used to answer similar questions. Here, we describe the process of using observational data to emulate a target trial, which applies the study design principles of randomised trials to observational studies that aim to estimate the causal effect of an intervention. The target trial provides a formal framework to help avoid self-inflicted biases common to observational studies.\n\nObservational studies can provide evidence on the effectiveness of interventions when randomised trials are not feasible because they are expensive, unethical, or take too long. Causal inference using observational data is, however, challenging; not only are observational studies prone to confounding bias due to the lack of randomisation, but incorrect study design choices (such as the specification of the start of follow-up) can also cause self-inflicted biases.1 Such study design flaws can be overcome by first designing a hypothetical randomised trial—the target trial—that would answer the question of interest, then emulating this target trial using the available observational data and appropriate methodology.23\n\nThe first step is to specify the protocol of the trial that ideally would have been conducted, within the constraints of the available observational data. Several elements are considered at this stage245: eligibility criteria, treatment strategies, assignment procedures, outcome(s), follow-up, causal contrasts of interest (eg, …","author":[{"dropping-particle":"","family":"Matthews","given":"Anthony A.","non-dropping-particle":"","parse-names":false,"suffix":""},{"dropping-particle":"","family":"Danaei","given":"Goodarz","non-dropping-particle":"","parse-names":false,"suffix":""},{"dropping-particle":"","family":"Islam","given":"Nazrul","non-dropping-particle":"","parse-names":false,"suffix":""},{"dropping-particle":"","family":"Kurth","given":"Tobias","non-dropping-particle":"","parse-names":false,"suffix":""}],"container-title":"BMJ","id":"ITEM-2","issued":{"date-parts":[["2022","8","30"]]},"publisher":"British Medical Journal Publishing Group","title":"Target trial emulation: applying principles of randomised trials to observational studies","type":"article-journal","volume":"378"},"uris":["http://www.mendeley.com/documents/?uuid=8a95140c-285f-3a54-a110-1b7f19cf4c35"]},{"id":"ITEM-3","itemData":{"abstract":"This document provides guidance on the development, evaluation and implementation of complex interventions to improve health. It updates the advice provided in the 2000 MRC Framework for the Development and Evaluation of RCTs for Complex Interventions to Improve Health, taking account of the valuable experience that has accumulated since then, and extending the coverage in the guidance of non-experimental methods, and of complex interventions outside the health service. It is intended to help researchers to choose appropriate methods, research funders to understand the constraints on evaluation design, and users of evaluation to weigh up the available evidence in the light of these methodological and practical constraints. Box 1 summarises the main elements of the process, and the key questions that researchers should ask themselves as they work through it.","author":[{"dropping-particle":"","family":"Craig","given":"Peter","non-dropping-particle":"","parse-names":false,"suffix":""},{"dropping-particle":"","family":"Dieppe","given":"Paul","non-dropping-particle":"","parse-names":false,"suffix":""},{"dropping-particle":"","family":"Macintyre","given":"Sally","non-dropping-particle":"","parse-names":false,"suffix":""},{"dropping-particle":"","family":"Michie","given":"Susan","non-dropping-particle":"","parse-names":false,"suffix":""},{"dropping-particle":"","family":"Nazareth","given":"Irwin","non-dropping-particle":"","parse-names":false,"suffix":""},{"dropping-particle":"","family":"Petticrew","given":"Mark","non-dropping-particle":"","parse-names":false,"suffix":""}],"id":"ITEM-3","issued":{"date-parts":[["2019"]]},"publisher":"Medical Research Council","title":"Developing and evaluating complex interventions: new guidance","type":"report"},"uris":["http://www.mendeley.com/documents/?uuid=4a8b39e6-8f58-4aa4-9093-0faf8a4fa470"]}],"mendeley":{"formattedCitation":"(Hernán and Robins, 2016; Craig &lt;i&gt;et al.&lt;/i&gt;, 2019; Matthews &lt;i&gt;et al.&lt;/i&gt;, 2022)","plainTextFormattedCitation":"(Hernán and Robins, 2016; Craig et al., 2019; Matthews et al., 2022)","previouslyFormattedCitation":"(Hernán and Robins, 2016; Craig &lt;i&gt;et al.&lt;/i&gt;, 2019; Matthews &lt;i&gt;et al.&lt;/i&gt;, 2022)"},"properties":{"noteIndex":0},"schema":"https://github.com/citation-style-language/schema/raw/master/csl-citation.json"}</w:instrText>
      </w:r>
      <w:r w:rsidR="0078652B">
        <w:fldChar w:fldCharType="separate"/>
      </w:r>
      <w:r w:rsidR="0078652B" w:rsidRPr="6CEFB61D">
        <w:rPr>
          <w:noProof/>
        </w:rPr>
        <w:t xml:space="preserve">(Hernán and Robins, 2016; Craig </w:t>
      </w:r>
      <w:r w:rsidR="0078652B" w:rsidRPr="6CEFB61D">
        <w:rPr>
          <w:i/>
          <w:iCs/>
          <w:noProof/>
        </w:rPr>
        <w:t>et al.</w:t>
      </w:r>
      <w:r w:rsidR="0078652B" w:rsidRPr="6CEFB61D">
        <w:rPr>
          <w:noProof/>
        </w:rPr>
        <w:t xml:space="preserve">, 2019; Matthews </w:t>
      </w:r>
      <w:r w:rsidR="0078652B" w:rsidRPr="6CEFB61D">
        <w:rPr>
          <w:i/>
          <w:iCs/>
          <w:noProof/>
        </w:rPr>
        <w:t>et al.</w:t>
      </w:r>
      <w:r w:rsidR="0078652B" w:rsidRPr="6CEFB61D">
        <w:rPr>
          <w:noProof/>
        </w:rPr>
        <w:t>, 2022)</w:t>
      </w:r>
      <w:r w:rsidR="0078652B">
        <w:fldChar w:fldCharType="end"/>
      </w:r>
      <w:r w:rsidR="0078652B">
        <w:t xml:space="preserve">. We determined the eligible population using two methods – observation of any benefit receipt at any time point, and a logistic regression prediction of UC uptake under a simulated full-UC-rollout scenario using UKMOD </w:t>
      </w:r>
      <w:r w:rsidR="0078652B">
        <w:fldChar w:fldCharType="begin" w:fldLock="1"/>
      </w:r>
      <w:r w:rsidR="0078652B">
        <w:instrText>ADDIN CSL_CITATION {"citationItems":[{"id":"ITEM-1","itemData":{"URL":"https://www.microsimulation.ac.uk/ukmod/","accessed":{"date-parts":[["2022","12","7"]]},"author":[{"dropping-particle":"","family":"Centre for Microsimulation and Policy Analysis","given":"","non-dropping-particle":"","parse-names":false,"suffix":""}],"id":"ITEM-1","issued":{"date-parts":[["2022"]]},"title":"UKMOD - Tax-benefit microsimulation model for the UK","type":"webpage"},"uris":["http://www.mendeley.com/documents/?uuid=8ee74303-f07b-3a33-8dd8-2f8545ba0444"]}],"mendeley":{"formattedCitation":"(Centre for Microsimulation and Policy Analysis, 2022)","plainTextFormattedCitation":"(Centre for Microsimulation and Policy Analysis, 2022)","previouslyFormattedCitation":"(Centre for Microsimulation and Policy Analysis, 2022)"},"properties":{"noteIndex":0},"schema":"https://github.com/citation-style-language/schema/raw/master/csl-citation.json"}</w:instrText>
      </w:r>
      <w:r w:rsidR="0078652B">
        <w:fldChar w:fldCharType="separate"/>
      </w:r>
      <w:r w:rsidR="0078652B" w:rsidRPr="6CEFB61D">
        <w:rPr>
          <w:noProof/>
        </w:rPr>
        <w:t>(Centre for Microsimulation and Policy Analysis, 2022)</w:t>
      </w:r>
      <w:r w:rsidR="0078652B">
        <w:fldChar w:fldCharType="end"/>
      </w:r>
      <w:r w:rsidR="0078652B">
        <w:t>.</w:t>
      </w:r>
      <w:r w:rsidR="00BA3E9F">
        <w:t xml:space="preserve"> W</w:t>
      </w:r>
      <w:r w:rsidR="0078652B">
        <w:t>e conduct</w:t>
      </w:r>
      <w:r w:rsidR="00BA3E9F">
        <w:t>ed</w:t>
      </w:r>
      <w:r w:rsidR="0078652B">
        <w:t xml:space="preserve"> a staggered difference-in-differences analysis, treating the UC ‘natural migration’ phased rollout period as a marker defining exposed and unexposed comparators </w:t>
      </w:r>
      <w:r w:rsidR="0078652B">
        <w:fldChar w:fldCharType="begin" w:fldLock="1"/>
      </w:r>
      <w:r w:rsidR="008A608D">
        <w:instrText>ADDIN CSL_CITATION {"citationItems":[{"id":"ITEM-1","itemData":{"DOI":"10.1016/j.jeconom.2020.12.001","ISSN":"18726895","abstract":"In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C.","non-dropping-particle":"","parse-names":false,"suffix":""}],"container-title":"Journal of Econometrics","id":"ITEM-1","issue":"2","issued":{"date-parts":[["2021"]]},"page":"200-230","publisher":"Elsevier B.V.","title":"Difference-in-Differences with multiple time periods","type":"article-journal","volume":"225"},"uris":["http://www.mendeley.com/documents/?uuid=b06db115-6296-429d-ad95-50fac728fb5a"]},{"id":"ITEM-2","itemData":{"DOI":"10.1016/J.JECONOM.2021.03.014","ISSN":"0304-4076","abstract":"The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controls.","author":[{"dropping-particle":"","family":"Goodman-Bacon","given":"Andrew","non-dropping-particle":"","parse-names":false,"suffix":""}],"container-title":"Journal of Econometrics","id":"ITEM-2","issue":"2","issued":{"date-parts":[["2021","12","1"]]},"page":"254-277","publisher":"North-Holland","title":"Difference-in-differences with variation in treatment timing","type":"article-journal","volume":"225"},"uris":["http://www.mendeley.com/documents/?uuid=32aaae27-e56e-3f37-9e02-706b45f6a6a1"]},{"id":"ITEM-3","itemData":{"DOI":"10.1016/J.JECONOM.2020.09.006","ISSN":"0304-4076","abstract":"To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author":[{"dropping-particle":"","family":"Sun","given":"Liyang","non-dropping-particle":"","parse-names":false,"suffix":""},{"dropping-particle":"","family":"Abraham","given":"Sarah","non-dropping-particle":"","parse-names":false,"suffix":""}],"container-title":"Journal of Econometrics","id":"ITEM-3","issue":"2","issued":{"date-parts":[["2021","12","1"]]},"page":"175-199","publisher":"North-Holland","title":"Estimating dynamic treatment effects in event studies with heterogeneous treatment effects","type":"article-journal","volume":"225"},"uris":["http://www.mendeley.com/documents/?uuid=502ebe2c-9f13-3a39-8298-c20b6bd8c451"]}],"mendeley":{"formattedCitation":"(Callaway and Sant’Anna, 2021; Goodman-Bacon, 2021; Sun and Abraham, 2021)","plainTextFormattedCitation":"(Callaway and Sant’Anna, 2021; Goodman-Bacon, 2021; Sun and Abraham, 2021)","previouslyFormattedCitation":"(Callaway and Sant’Anna, 2021; Goodman-Bacon, 2021; Sun and Abraham, 2021)"},"properties":{"noteIndex":0},"schema":"https://github.com/citation-style-language/schema/raw/master/csl-citation.json"}</w:instrText>
      </w:r>
      <w:r w:rsidR="0078652B">
        <w:fldChar w:fldCharType="separate"/>
      </w:r>
      <w:r w:rsidR="002C17D4" w:rsidRPr="002C17D4">
        <w:rPr>
          <w:noProof/>
        </w:rPr>
        <w:t>(Callaway and Sant’Anna, 2021; Goodman-Bacon, 2021; Sun and Abraham, 2021)</w:t>
      </w:r>
      <w:r w:rsidR="0078652B">
        <w:fldChar w:fldCharType="end"/>
      </w:r>
      <w:r w:rsidR="0078652B">
        <w:t>. We compare</w:t>
      </w:r>
      <w:r w:rsidR="00BA3E9F">
        <w:t>d</w:t>
      </w:r>
      <w:r w:rsidR="0078652B">
        <w:t xml:space="preserve"> changes in mental health in local authority areas in which Universal Credit had been introduced with changes in mental health in local authority areas in which Universal Credit had not yet been introduced. We explore</w:t>
      </w:r>
      <w:r w:rsidR="00FF3D92">
        <w:t>d</w:t>
      </w:r>
      <w:r w:rsidR="0078652B">
        <w:t xml:space="preserve"> differences in effects across subgroup characteristics marking potential differences in vulnerability to benefit changes and differences in reasons for claiming universal credit.</w:t>
      </w:r>
    </w:p>
    <w:p w14:paraId="4F438AB4" w14:textId="7FADFD3E" w:rsidR="00EF6734" w:rsidRDefault="0084031D" w:rsidP="00E319BB">
      <w:pPr>
        <w:pStyle w:val="Heading2"/>
      </w:pPr>
      <w:r>
        <w:lastRenderedPageBreak/>
        <w:t>Determining the affected population</w:t>
      </w:r>
    </w:p>
    <w:p w14:paraId="41F53F5E" w14:textId="5E7F55E4" w:rsidR="00F172DA" w:rsidRDefault="00F172DA" w:rsidP="00F172DA">
      <w:pPr>
        <w:pStyle w:val="Body"/>
      </w:pPr>
      <w:r>
        <w:t>To determine comparable populations of potential UC claimants across the observed years for inclusion, we use</w:t>
      </w:r>
      <w:r w:rsidR="005F33B5">
        <w:t>d</w:t>
      </w:r>
      <w:r>
        <w:t xml:space="preserve"> two definitions of population of interest, one using empirical methods of determining exposure and one using prediction methods.</w:t>
      </w:r>
    </w:p>
    <w:p w14:paraId="788CCF63" w14:textId="4E7AEAD0" w:rsidR="00F172DA" w:rsidRDefault="00F172DA" w:rsidP="00F172DA">
      <w:pPr>
        <w:pStyle w:val="Body"/>
      </w:pPr>
      <w:r>
        <w:t xml:space="preserve">Under the empirical definition, the population of interest </w:t>
      </w:r>
      <w:r w:rsidR="00E730D9">
        <w:t>included</w:t>
      </w:r>
      <w:r>
        <w:t xml:space="preserve"> all respondents who report claiming either a legacy benefit (Job Seeker’s Allowance, Tax Credits, Housing Benefit, Income support, Income-based Employment and Support Allowance) or Universal Credit at any time point.</w:t>
      </w:r>
      <w:r w:rsidR="005F33B5">
        <w:t xml:space="preserve"> A limitation of this method is </w:t>
      </w:r>
      <w:r w:rsidR="00B94CF6">
        <w:t xml:space="preserve">that a </w:t>
      </w:r>
      <w:r w:rsidR="00312F3A">
        <w:t xml:space="preserve">potential claimant under one system may </w:t>
      </w:r>
      <w:r w:rsidR="00087460">
        <w:t>be</w:t>
      </w:r>
      <w:r w:rsidR="00312F3A">
        <w:t xml:space="preserve"> ineligible </w:t>
      </w:r>
      <w:r w:rsidR="002E0F67">
        <w:t xml:space="preserve">(or have been disincentivised from applying) </w:t>
      </w:r>
      <w:r w:rsidR="00312F3A">
        <w:t>under the other</w:t>
      </w:r>
      <w:r w:rsidR="003A6396">
        <w:t xml:space="preserve">. </w:t>
      </w:r>
      <w:r w:rsidR="009F5253">
        <w:t xml:space="preserve">Under the intended outputs of UC in encouraging claimants into work, </w:t>
      </w:r>
      <w:r w:rsidR="00D42040">
        <w:t xml:space="preserve">a person whose circumstances have been </w:t>
      </w:r>
      <w:r w:rsidR="00F76270">
        <w:t xml:space="preserve">thus affected by the UC rollout </w:t>
      </w:r>
      <w:r w:rsidR="00426573">
        <w:t>m</w:t>
      </w:r>
      <w:r w:rsidR="00BC2A2D">
        <w:t>ight</w:t>
      </w:r>
      <w:r w:rsidR="00426573">
        <w:t xml:space="preserve"> not be an observed claimant in the exposed period.</w:t>
      </w:r>
      <w:r w:rsidR="00D42040">
        <w:t xml:space="preserve"> </w:t>
      </w:r>
      <w:r w:rsidR="003A6396">
        <w:t xml:space="preserve">Matching cross-sectional populations by </w:t>
      </w:r>
      <w:r w:rsidR="000445FA">
        <w:t xml:space="preserve">observed </w:t>
      </w:r>
      <w:r w:rsidR="00BC2A2D">
        <w:t xml:space="preserve">benefit </w:t>
      </w:r>
      <w:r w:rsidR="000445FA">
        <w:t xml:space="preserve">receipt may not create exchangeable populations. Additionally, benefit receipt may </w:t>
      </w:r>
      <w:r w:rsidR="00E13415">
        <w:t>be differentially</w:t>
      </w:r>
      <w:r w:rsidR="00426573">
        <w:t xml:space="preserve"> underreported </w:t>
      </w:r>
      <w:r w:rsidR="00E13415">
        <w:t>under one or both systems.</w:t>
      </w:r>
      <w:r w:rsidR="00892BBB">
        <w:t xml:space="preserve"> The alternative approach of using observed characteristics </w:t>
      </w:r>
      <w:r w:rsidR="006B1624">
        <w:t>as straightforward markers of eligibility (for example, inc</w:t>
      </w:r>
      <w:r w:rsidR="00026DB9">
        <w:t xml:space="preserve">luding </w:t>
      </w:r>
      <w:r w:rsidR="00742418">
        <w:t>all unemployed</w:t>
      </w:r>
      <w:r w:rsidR="00026DB9">
        <w:t xml:space="preserve"> respondents)</w:t>
      </w:r>
      <w:r w:rsidR="00243093">
        <w:t xml:space="preserve"> is hampered by missing data on housing costs</w:t>
      </w:r>
      <w:r w:rsidR="001F3E4D">
        <w:t>, savings</w:t>
      </w:r>
      <w:r w:rsidR="00243093">
        <w:t xml:space="preserve"> and partner’s income</w:t>
      </w:r>
      <w:r w:rsidR="00ED45AD">
        <w:t xml:space="preserve"> which determine eligibility and payment amount.</w:t>
      </w:r>
    </w:p>
    <w:p w14:paraId="3626C964" w14:textId="6029797C" w:rsidR="0084031D" w:rsidRPr="0084031D" w:rsidRDefault="00D8519F" w:rsidP="0084031D">
      <w:pPr>
        <w:pStyle w:val="Body"/>
      </w:pPr>
      <w:r>
        <w:t xml:space="preserve">To overcome these potential biases, we used </w:t>
      </w:r>
      <w:r w:rsidR="005F6051">
        <w:t>a machine-learning model</w:t>
      </w:r>
      <w:r w:rsidR="006558EF">
        <w:t xml:space="preserve"> trained on simulated data</w:t>
      </w:r>
      <w:r w:rsidR="005F6051">
        <w:t xml:space="preserve"> to predict the probability of </w:t>
      </w:r>
      <w:r w:rsidR="00FA7856">
        <w:t>a person receiving UC under a full-UC-rollout scenario.</w:t>
      </w:r>
      <w:r w:rsidR="006558EF">
        <w:t xml:space="preserve"> We </w:t>
      </w:r>
      <w:r w:rsidR="00B41884">
        <w:t>used the UKMOD static tax-benefit microsimulation model</w:t>
      </w:r>
      <w:r w:rsidR="006722DF">
        <w:t xml:space="preserve"> to simulate benefit receipt </w:t>
      </w:r>
      <w:r w:rsidR="00ED557D">
        <w:t>for</w:t>
      </w:r>
      <w:r w:rsidR="006722DF">
        <w:t xml:space="preserve"> a donor population </w:t>
      </w:r>
      <w:r w:rsidR="002549F6">
        <w:t>(from the Family Resources Survey</w:t>
      </w:r>
      <w:r w:rsidR="00ED557D">
        <w:t xml:space="preserve">) under </w:t>
      </w:r>
      <w:r w:rsidR="00504395">
        <w:t xml:space="preserve">a full-UC-rollout scenario from </w:t>
      </w:r>
      <w:r w:rsidR="008631F0">
        <w:t>2014 to 2019</w:t>
      </w:r>
      <w:r w:rsidR="000019D2">
        <w:t xml:space="preserve">. </w:t>
      </w:r>
      <w:r w:rsidR="00490AE6">
        <w:t xml:space="preserve">We </w:t>
      </w:r>
      <w:r w:rsidR="00F73CCD">
        <w:t xml:space="preserve">trained a model to predict probability of receipt of Universal Credit from </w:t>
      </w:r>
      <w:r w:rsidR="00C54776">
        <w:t xml:space="preserve">a set of </w:t>
      </w:r>
      <w:r w:rsidR="003619D6">
        <w:t xml:space="preserve">individual and household characteristics </w:t>
      </w:r>
      <w:r w:rsidR="00CE69A1">
        <w:t xml:space="preserve">which were recorded in both the Family Resources Survey dataset and the APS dataset. We used this model to calculate a </w:t>
      </w:r>
      <w:r w:rsidR="00DE3629">
        <w:t xml:space="preserve">probability score for each observation in the APS dataset </w:t>
      </w:r>
      <w:r w:rsidR="00930EB4">
        <w:t xml:space="preserve">for receiving UC in the hypothetical scenario of exclusive and full UC </w:t>
      </w:r>
      <w:r w:rsidR="00F96675">
        <w:t xml:space="preserve">availability across all years. We assigned this probability as a weight to each respondent to </w:t>
      </w:r>
      <w:r w:rsidR="00B54AD1">
        <w:t xml:space="preserve">have a </w:t>
      </w:r>
      <w:r w:rsidR="00A86188">
        <w:t>comparably weighted</w:t>
      </w:r>
      <w:r w:rsidR="00B54AD1">
        <w:t xml:space="preserve"> </w:t>
      </w:r>
      <w:r w:rsidR="00437D20">
        <w:t xml:space="preserve">population across all years, giving greatest weight to those who were most likely to </w:t>
      </w:r>
      <w:r w:rsidR="00A86188">
        <w:t>be affected by the changes in benefit systems.</w:t>
      </w:r>
    </w:p>
    <w:p w14:paraId="63422517" w14:textId="72054561" w:rsidR="00B3387B" w:rsidRDefault="00E319BB" w:rsidP="00E319BB">
      <w:pPr>
        <w:pStyle w:val="Heading2"/>
      </w:pPr>
      <w:r>
        <w:lastRenderedPageBreak/>
        <w:t>Exposure</w:t>
      </w:r>
    </w:p>
    <w:p w14:paraId="66CEBD44" w14:textId="19A6C40D" w:rsidR="0017507F" w:rsidRDefault="00DF2BA8" w:rsidP="00E319BB">
      <w:pPr>
        <w:pStyle w:val="Body"/>
      </w:pPr>
      <w:r>
        <w:t xml:space="preserve">The </w:t>
      </w:r>
      <w:r w:rsidR="00211F03">
        <w:t>replacement of legacy benefits with UC broadly too</w:t>
      </w:r>
      <w:r w:rsidR="00577C10">
        <w:t>k place in three phases</w:t>
      </w:r>
      <w:r w:rsidR="00B02429">
        <w:t xml:space="preserve"> </w:t>
      </w:r>
      <w:r w:rsidR="00B02429">
        <w:fldChar w:fldCharType="begin" w:fldLock="1"/>
      </w:r>
      <w:r w:rsidR="000328E2">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Credit","type":"report"},"uris":["http://www.mendeley.com/documents/?uuid=753c1f5c-f653-3163-8b8a-68e58a9fe4c1"]},{"id":"ITEM-2","itemData":{"author":[{"dropping-particle":"","family":"Department for Work &amp; Pensions","given":"","non-dropping-particle":"","parse-names":false,"suffix":""}],"id":"ITEM-2","issued":{"date-parts":[["2022","6","6"]]},"publisher-place":"London","title":"Completing the move to Universal Credit","type":"report"},"uris":["http://www.mendeley.com/documents/?uuid=b3bab0e1-0a93-3537-b130-204372703eb3"]},{"id":"ITEM-3","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Pensions","given":"","non-dropping-particle":"","parse-names":false,"suffix":""}],"id":"ITEM-3","issued":{"date-parts":[["2018","12","12"]]},"note":"archived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 2022a; National Audit Office, 2018)","plainTextFormattedCitation":"(Department for Work &amp; Pensions, 2018b, 2022a; National Audit Office, 2018)","previouslyFormattedCitation":"(Department for Work &amp; Pensions, 2018b, 2022a; National Audit Office, 2018)"},"properties":{"noteIndex":0},"schema":"https://github.com/citation-style-language/schema/raw/master/csl-citation.json"}</w:instrText>
      </w:r>
      <w:r w:rsidR="00B02429">
        <w:fldChar w:fldCharType="separate"/>
      </w:r>
      <w:r w:rsidR="00B02429" w:rsidRPr="00577C10">
        <w:rPr>
          <w:noProof/>
        </w:rPr>
        <w:t>(Department for Work &amp; Pensions, 2018b, 2022a; National Audit Office, 2018)</w:t>
      </w:r>
      <w:r w:rsidR="00B02429">
        <w:fldChar w:fldCharType="end"/>
      </w:r>
      <w:r w:rsidR="0017507F">
        <w:t>:</w:t>
      </w:r>
    </w:p>
    <w:p w14:paraId="4DECB837" w14:textId="36530F6E" w:rsidR="0017507F" w:rsidRDefault="0017507F" w:rsidP="0017507F">
      <w:pPr>
        <w:pStyle w:val="Body"/>
        <w:numPr>
          <w:ilvl w:val="0"/>
          <w:numId w:val="18"/>
        </w:numPr>
      </w:pPr>
      <w:r>
        <w:t xml:space="preserve">The </w:t>
      </w:r>
      <w:r w:rsidR="00577C10">
        <w:t>restricted rollout</w:t>
      </w:r>
      <w:r w:rsidR="000F0AF6">
        <w:t xml:space="preserve"> </w:t>
      </w:r>
      <w:r>
        <w:t xml:space="preserve">of the ‘live service’ </w:t>
      </w:r>
      <w:r w:rsidR="000F0AF6">
        <w:t>from 2013</w:t>
      </w:r>
      <w:r w:rsidR="0079591D">
        <w:t xml:space="preserve"> to a </w:t>
      </w:r>
      <w:r w:rsidR="00FE2CF7">
        <w:t>limited subgroup</w:t>
      </w:r>
      <w:r w:rsidR="00D233B2">
        <w:t>,</w:t>
      </w:r>
      <w:r w:rsidR="00FE2CF7">
        <w:t xml:space="preserve"> mainly</w:t>
      </w:r>
      <w:r w:rsidR="007654F0">
        <w:t xml:space="preserve"> single, childless claimants</w:t>
      </w:r>
      <w:r>
        <w:t>.</w:t>
      </w:r>
    </w:p>
    <w:p w14:paraId="4A1FC71B" w14:textId="5E9529F8" w:rsidR="00FE2CF7" w:rsidRDefault="00FE2CF7" w:rsidP="0017507F">
      <w:pPr>
        <w:pStyle w:val="Body"/>
        <w:numPr>
          <w:ilvl w:val="0"/>
          <w:numId w:val="18"/>
        </w:numPr>
      </w:pPr>
      <w:r>
        <w:t xml:space="preserve">The full-service </w:t>
      </w:r>
      <w:r w:rsidR="00B02429">
        <w:t>‘</w:t>
      </w:r>
      <w:r w:rsidR="00577C10">
        <w:t>natural migration</w:t>
      </w:r>
      <w:r w:rsidR="00B02429">
        <w:t>’</w:t>
      </w:r>
      <w:r>
        <w:t xml:space="preserve"> period from 2016 onwards</w:t>
      </w:r>
      <w:r w:rsidR="00000495">
        <w:t xml:space="preserve"> – open to all claimant</w:t>
      </w:r>
      <w:r w:rsidR="00C81646">
        <w:t xml:space="preserve"> types but only applied to new claimants, </w:t>
      </w:r>
      <w:r w:rsidR="00C136EB">
        <w:t xml:space="preserve">existing claimants with changing circumstances necessitating a change in claim, and voluntary </w:t>
      </w:r>
      <w:r w:rsidR="00C54013">
        <w:t>benefit switchers.</w:t>
      </w:r>
    </w:p>
    <w:p w14:paraId="289F5968" w14:textId="2861387B" w:rsidR="00E319BB" w:rsidRDefault="00B02429" w:rsidP="0017507F">
      <w:pPr>
        <w:pStyle w:val="Body"/>
        <w:numPr>
          <w:ilvl w:val="0"/>
          <w:numId w:val="18"/>
        </w:numPr>
      </w:pPr>
      <w:r>
        <w:t>The concluding ‘</w:t>
      </w:r>
      <w:r w:rsidR="00577C10">
        <w:t>managed migration</w:t>
      </w:r>
      <w:r>
        <w:t>’</w:t>
      </w:r>
      <w:r w:rsidR="00C54013">
        <w:t xml:space="preserve"> phase, </w:t>
      </w:r>
      <w:r w:rsidR="000B00DA">
        <w:t>which was piloted in 2019-2020 but paused for the pandemic and restarted in 2022</w:t>
      </w:r>
      <w:r w:rsidR="000D22CA">
        <w:t xml:space="preserve">, implementing a </w:t>
      </w:r>
      <w:r w:rsidR="001A4CD2">
        <w:t>forced migration of all claimants to UC by 2024.</w:t>
      </w:r>
    </w:p>
    <w:p w14:paraId="5799C2E0" w14:textId="63116663" w:rsidR="001A4CD2" w:rsidRDefault="00D32517" w:rsidP="001A4CD2">
      <w:pPr>
        <w:pStyle w:val="Body"/>
      </w:pPr>
      <w:commentRangeStart w:id="2"/>
      <w:r>
        <w:t xml:space="preserve">Observing the whole </w:t>
      </w:r>
      <w:r w:rsidR="002A5167">
        <w:t>eligible population, we proposed using the natural migration dates</w:t>
      </w:r>
      <w:commentRangeEnd w:id="2"/>
      <w:r w:rsidR="003017F9">
        <w:rPr>
          <w:rStyle w:val="CommentReference"/>
        </w:rPr>
        <w:commentReference w:id="2"/>
      </w:r>
      <w:r w:rsidR="002A5167">
        <w:t xml:space="preserve"> as markers of</w:t>
      </w:r>
      <w:r w:rsidR="00181D96">
        <w:t xml:space="preserve"> exposure to Universal Credit if </w:t>
      </w:r>
      <w:r w:rsidR="00AB78A4">
        <w:t xml:space="preserve">the </w:t>
      </w:r>
      <w:r w:rsidR="00493B65">
        <w:t>respondent lived in an area already exposed at the time of data collection.</w:t>
      </w:r>
      <w:r w:rsidR="00767080">
        <w:t xml:space="preserve"> The</w:t>
      </w:r>
      <w:r w:rsidR="000328E2">
        <w:t xml:space="preserve"> dates</w:t>
      </w:r>
      <w:r w:rsidR="00B24DB9">
        <w:t xml:space="preserve"> by Job Centre Plus</w:t>
      </w:r>
      <w:r w:rsidR="000328E2">
        <w:t xml:space="preserve"> reported in the ‘</w:t>
      </w:r>
      <w:r w:rsidR="000328E2" w:rsidRPr="000328E2">
        <w:t>Universal Credit transition rollout schedule March 2018 to December 2018</w:t>
      </w:r>
      <w:r w:rsidR="000328E2">
        <w:t xml:space="preserve">’ </w:t>
      </w:r>
      <w:r w:rsidR="000328E2">
        <w:fldChar w:fldCharType="begin" w:fldLock="1"/>
      </w:r>
      <w:r w:rsidR="009B758E">
        <w:instrText>ADDIN CSL_CITATION {"citationItems":[{"id":"ITEM-1","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Pensions","given":"","non-dropping-particle":"","parse-names":false,"suffix":""}],"id":"ITEM-1","issued":{"date-parts":[["2018","12","12"]]},"note":"archived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2018b)","plainTextFormattedCitation":"(Department for Work &amp; Pensions, 2018b)","previouslyFormattedCitation":"(Department for Work &amp; Pensions, 2018b)"},"properties":{"noteIndex":0},"schema":"https://github.com/citation-style-language/schema/raw/master/csl-citation.json"}</w:instrText>
      </w:r>
      <w:r w:rsidR="000328E2">
        <w:fldChar w:fldCharType="separate"/>
      </w:r>
      <w:r w:rsidR="000328E2" w:rsidRPr="000328E2">
        <w:rPr>
          <w:noProof/>
        </w:rPr>
        <w:t>(Department for Work &amp; Pensions, 2018b)</w:t>
      </w:r>
      <w:r w:rsidR="000328E2">
        <w:fldChar w:fldCharType="end"/>
      </w:r>
      <w:r w:rsidR="005319A0">
        <w:t xml:space="preserve"> were used to determine a </w:t>
      </w:r>
      <w:r w:rsidR="00626188">
        <w:t xml:space="preserve">first exposed date for each </w:t>
      </w:r>
      <w:r w:rsidR="00082526">
        <w:t>L</w:t>
      </w:r>
      <w:r w:rsidR="00626188">
        <w:t xml:space="preserve">ocal </w:t>
      </w:r>
      <w:r w:rsidR="00082526">
        <w:t>A</w:t>
      </w:r>
      <w:r w:rsidR="00626188">
        <w:t xml:space="preserve">uthority. These were matched to APS observations by </w:t>
      </w:r>
      <w:r w:rsidR="00082526" w:rsidRPr="00082526">
        <w:t>Local authority district</w:t>
      </w:r>
      <w:r w:rsidR="00DB714A">
        <w:t xml:space="preserve">. Each observation was assigned a ‘1’ for exposure if the </w:t>
      </w:r>
      <w:r w:rsidR="00C706AE">
        <w:t xml:space="preserve">reference date for that interview </w:t>
      </w:r>
      <w:r w:rsidR="00A34F0A">
        <w:t>matched or followed the month of rollout</w:t>
      </w:r>
      <w:r w:rsidR="00FD3DC7">
        <w:t xml:space="preserve"> and a ‘0’ otherwise</w:t>
      </w:r>
      <w:r w:rsidR="00A34F0A">
        <w:t xml:space="preserve">. Months from rollout </w:t>
      </w:r>
      <w:r w:rsidR="00FD3DC7">
        <w:t>were additionally assigned to each</w:t>
      </w:r>
      <w:r w:rsidR="00080D40">
        <w:t xml:space="preserve">, </w:t>
      </w:r>
      <w:r w:rsidR="00FD3DC7">
        <w:t>individual</w:t>
      </w:r>
      <w:r w:rsidR="00080D40">
        <w:t xml:space="preserve">, counting upwards from negative months to </w:t>
      </w:r>
      <w:r w:rsidR="00FD3DC7">
        <w:t>‘</w:t>
      </w:r>
      <w:r w:rsidR="00080D40">
        <w:t>0</w:t>
      </w:r>
      <w:r w:rsidR="00FD3DC7">
        <w:t xml:space="preserve">’ in the </w:t>
      </w:r>
      <w:r w:rsidR="00050B29">
        <w:t>month of planned natural migration in that district</w:t>
      </w:r>
      <w:r w:rsidR="00080D40">
        <w:t xml:space="preserve"> and </w:t>
      </w:r>
      <w:r w:rsidR="00236177">
        <w:t xml:space="preserve">a </w:t>
      </w:r>
      <w:r w:rsidR="0043597E">
        <w:t>positive count of months following</w:t>
      </w:r>
      <w:r w:rsidR="00050B29">
        <w:t>.</w:t>
      </w:r>
    </w:p>
    <w:p w14:paraId="5865B92F" w14:textId="6DBCDDAD" w:rsidR="00061FB5" w:rsidRDefault="008A673F" w:rsidP="008A673F">
      <w:pPr>
        <w:pStyle w:val="Heading2"/>
      </w:pPr>
      <w:r>
        <w:t>Outcomes</w:t>
      </w:r>
    </w:p>
    <w:p w14:paraId="0C11C570" w14:textId="32CB4B43" w:rsidR="00CD015F" w:rsidRPr="002833BD" w:rsidRDefault="00CD015F" w:rsidP="00CD015F">
      <w:pPr>
        <w:pStyle w:val="Body"/>
      </w:pPr>
      <w:r>
        <w:t>The four wellbeing outcomes</w:t>
      </w:r>
      <w:r w:rsidR="00F040DF">
        <w:t xml:space="preserve"> (</w:t>
      </w:r>
      <w:r w:rsidR="00F040DF">
        <w:fldChar w:fldCharType="begin"/>
      </w:r>
      <w:r w:rsidR="00F040DF">
        <w:instrText xml:space="preserve"> REF _Ref135039419 \h </w:instrText>
      </w:r>
      <w:r w:rsidR="00F040DF">
        <w:fldChar w:fldCharType="separate"/>
      </w:r>
      <w:r w:rsidR="00F040DF">
        <w:t>Table 1</w:t>
      </w:r>
      <w:r w:rsidR="00F040DF">
        <w:fldChar w:fldCharType="end"/>
      </w:r>
      <w:r w:rsidR="00F040DF">
        <w:t>)</w:t>
      </w:r>
      <w:r>
        <w:t xml:space="preserve"> were </w:t>
      </w:r>
      <w:r w:rsidR="004612E2">
        <w:t>recorded for each observation.</w:t>
      </w:r>
    </w:p>
    <w:tbl>
      <w:tblPr>
        <w:tblStyle w:val="PlainTable4"/>
        <w:tblW w:w="0" w:type="auto"/>
        <w:tblLook w:val="0420" w:firstRow="1" w:lastRow="0" w:firstColumn="0" w:lastColumn="0" w:noHBand="0" w:noVBand="1"/>
      </w:tblPr>
      <w:tblGrid>
        <w:gridCol w:w="3245"/>
        <w:gridCol w:w="3245"/>
        <w:gridCol w:w="3246"/>
      </w:tblGrid>
      <w:tr w:rsidR="00CD015F" w14:paraId="60093E07" w14:textId="77777777" w:rsidTr="00723582">
        <w:trPr>
          <w:cnfStyle w:val="100000000000" w:firstRow="1" w:lastRow="0" w:firstColumn="0" w:lastColumn="0" w:oddVBand="0" w:evenVBand="0" w:oddHBand="0" w:evenHBand="0" w:firstRowFirstColumn="0" w:firstRowLastColumn="0" w:lastRowFirstColumn="0" w:lastRowLastColumn="0"/>
        </w:trPr>
        <w:tc>
          <w:tcPr>
            <w:tcW w:w="3245" w:type="dxa"/>
          </w:tcPr>
          <w:p w14:paraId="20D00D64" w14:textId="77777777" w:rsidR="00CD015F" w:rsidRDefault="00CD015F" w:rsidP="00723582">
            <w:pPr>
              <w:pStyle w:val="Body"/>
            </w:pPr>
            <w:r>
              <w:t>Label</w:t>
            </w:r>
          </w:p>
        </w:tc>
        <w:tc>
          <w:tcPr>
            <w:tcW w:w="3245" w:type="dxa"/>
          </w:tcPr>
          <w:p w14:paraId="689E758A" w14:textId="77777777" w:rsidR="00CD015F" w:rsidRDefault="00CD015F" w:rsidP="00723582">
            <w:pPr>
              <w:pStyle w:val="Body"/>
            </w:pPr>
            <w:r>
              <w:t>Question in survey</w:t>
            </w:r>
          </w:p>
        </w:tc>
        <w:tc>
          <w:tcPr>
            <w:tcW w:w="3246" w:type="dxa"/>
          </w:tcPr>
          <w:p w14:paraId="22102286" w14:textId="77777777" w:rsidR="00CD015F" w:rsidRDefault="00CD015F" w:rsidP="00723582">
            <w:pPr>
              <w:pStyle w:val="Body"/>
            </w:pPr>
            <w:r>
              <w:t>Possible answers (on a scale of 0–10)</w:t>
            </w:r>
          </w:p>
        </w:tc>
      </w:tr>
      <w:tr w:rsidR="00CD015F" w14:paraId="716717C2" w14:textId="77777777" w:rsidTr="00723582">
        <w:trPr>
          <w:cnfStyle w:val="000000100000" w:firstRow="0" w:lastRow="0" w:firstColumn="0" w:lastColumn="0" w:oddVBand="0" w:evenVBand="0" w:oddHBand="1" w:evenHBand="0" w:firstRowFirstColumn="0" w:firstRowLastColumn="0" w:lastRowFirstColumn="0" w:lastRowLastColumn="0"/>
        </w:trPr>
        <w:tc>
          <w:tcPr>
            <w:tcW w:w="3245" w:type="dxa"/>
          </w:tcPr>
          <w:p w14:paraId="5D9D7A18" w14:textId="77777777" w:rsidR="00CD015F" w:rsidRDefault="00CD015F" w:rsidP="00723582">
            <w:pPr>
              <w:pStyle w:val="Body"/>
            </w:pPr>
            <w:r>
              <w:lastRenderedPageBreak/>
              <w:t>Life Satisfaction</w:t>
            </w:r>
          </w:p>
        </w:tc>
        <w:tc>
          <w:tcPr>
            <w:tcW w:w="3245" w:type="dxa"/>
          </w:tcPr>
          <w:p w14:paraId="7D61C59A" w14:textId="77777777" w:rsidR="00CD015F" w:rsidRDefault="00CD015F" w:rsidP="00723582">
            <w:pPr>
              <w:pStyle w:val="Body"/>
            </w:pPr>
            <w:r>
              <w:t>“</w:t>
            </w:r>
            <w:r w:rsidRPr="009F46D8">
              <w:t>Overall, how satisfied are you with your life nowadays?</w:t>
            </w:r>
            <w:r>
              <w:t>”</w:t>
            </w:r>
          </w:p>
        </w:tc>
        <w:tc>
          <w:tcPr>
            <w:tcW w:w="3246" w:type="dxa"/>
          </w:tcPr>
          <w:p w14:paraId="2AE6B1D0" w14:textId="77777777" w:rsidR="00CD015F" w:rsidRDefault="00CD015F" w:rsidP="00723582">
            <w:pPr>
              <w:pStyle w:val="Body"/>
            </w:pPr>
            <w:r>
              <w:t>0 – ‘</w:t>
            </w:r>
            <w:r w:rsidRPr="004F4D15">
              <w:t>not at all satisfied</w:t>
            </w:r>
            <w:r>
              <w:t>’</w:t>
            </w:r>
          </w:p>
          <w:p w14:paraId="6F403E9E" w14:textId="77777777" w:rsidR="00CD015F" w:rsidRDefault="00CD015F" w:rsidP="00723582">
            <w:pPr>
              <w:pStyle w:val="Body"/>
            </w:pPr>
            <w:r>
              <w:t>To</w:t>
            </w:r>
          </w:p>
          <w:p w14:paraId="0EAF2D3C" w14:textId="77777777" w:rsidR="00CD015F" w:rsidRDefault="00CD015F" w:rsidP="00723582">
            <w:pPr>
              <w:pStyle w:val="Body"/>
            </w:pPr>
            <w:r w:rsidRPr="004F4D15">
              <w:t xml:space="preserve">10 </w:t>
            </w:r>
            <w:r>
              <w:t>–</w:t>
            </w:r>
            <w:r w:rsidRPr="004F4D15">
              <w:t xml:space="preserve"> 'completely satisfied'</w:t>
            </w:r>
          </w:p>
        </w:tc>
      </w:tr>
      <w:tr w:rsidR="00CD015F" w14:paraId="2D72B3A0" w14:textId="77777777" w:rsidTr="00723582">
        <w:tc>
          <w:tcPr>
            <w:tcW w:w="3245" w:type="dxa"/>
          </w:tcPr>
          <w:p w14:paraId="1B0759D3" w14:textId="77777777" w:rsidR="00CD015F" w:rsidRDefault="00CD015F" w:rsidP="00723582">
            <w:pPr>
              <w:pStyle w:val="Body"/>
            </w:pPr>
            <w:r>
              <w:t>Worthwhile</w:t>
            </w:r>
          </w:p>
        </w:tc>
        <w:tc>
          <w:tcPr>
            <w:tcW w:w="3245" w:type="dxa"/>
          </w:tcPr>
          <w:p w14:paraId="040DC04F" w14:textId="77777777" w:rsidR="00CD015F" w:rsidRDefault="00CD015F" w:rsidP="00723582">
            <w:pPr>
              <w:pStyle w:val="Body"/>
            </w:pPr>
            <w:r>
              <w:t>“</w:t>
            </w:r>
            <w:r w:rsidRPr="00B71BB3">
              <w:t>Overall, to what extent do you feel that the things you do in your life are worthwhile?</w:t>
            </w:r>
            <w:r>
              <w:t>”</w:t>
            </w:r>
          </w:p>
        </w:tc>
        <w:tc>
          <w:tcPr>
            <w:tcW w:w="3246" w:type="dxa"/>
          </w:tcPr>
          <w:p w14:paraId="1E974336" w14:textId="77777777" w:rsidR="00CD015F" w:rsidRDefault="00CD015F" w:rsidP="00723582">
            <w:pPr>
              <w:pStyle w:val="Body"/>
            </w:pPr>
            <w:r>
              <w:t xml:space="preserve">0 – </w:t>
            </w:r>
            <w:r w:rsidRPr="00646CCE">
              <w:t>'not at all worthwhile'</w:t>
            </w:r>
          </w:p>
          <w:p w14:paraId="2BFA1E0C" w14:textId="77777777" w:rsidR="00CD015F" w:rsidRDefault="00CD015F" w:rsidP="00723582">
            <w:pPr>
              <w:pStyle w:val="Body"/>
            </w:pPr>
            <w:r>
              <w:t>To</w:t>
            </w:r>
          </w:p>
          <w:p w14:paraId="355F8B60" w14:textId="77777777" w:rsidR="00CD015F" w:rsidRDefault="00CD015F" w:rsidP="00723582">
            <w:pPr>
              <w:pStyle w:val="Body"/>
            </w:pPr>
            <w:r w:rsidRPr="00646CCE">
              <w:t xml:space="preserve">10 </w:t>
            </w:r>
            <w:r>
              <w:t>–</w:t>
            </w:r>
            <w:r w:rsidRPr="00646CCE">
              <w:t xml:space="preserve"> 'completely worthwhile'</w:t>
            </w:r>
          </w:p>
        </w:tc>
      </w:tr>
      <w:tr w:rsidR="00CD015F" w14:paraId="41DDFC6F" w14:textId="77777777" w:rsidTr="00723582">
        <w:trPr>
          <w:cnfStyle w:val="000000100000" w:firstRow="0" w:lastRow="0" w:firstColumn="0" w:lastColumn="0" w:oddVBand="0" w:evenVBand="0" w:oddHBand="1" w:evenHBand="0" w:firstRowFirstColumn="0" w:firstRowLastColumn="0" w:lastRowFirstColumn="0" w:lastRowLastColumn="0"/>
        </w:trPr>
        <w:tc>
          <w:tcPr>
            <w:tcW w:w="3245" w:type="dxa"/>
          </w:tcPr>
          <w:p w14:paraId="2461BB1F" w14:textId="77777777" w:rsidR="00CD015F" w:rsidRDefault="00CD015F" w:rsidP="00723582">
            <w:pPr>
              <w:pStyle w:val="Body"/>
            </w:pPr>
            <w:r>
              <w:t>Happiness</w:t>
            </w:r>
          </w:p>
        </w:tc>
        <w:tc>
          <w:tcPr>
            <w:tcW w:w="3245" w:type="dxa"/>
          </w:tcPr>
          <w:p w14:paraId="54545E5D" w14:textId="77777777" w:rsidR="00CD015F" w:rsidRDefault="00CD015F" w:rsidP="00723582">
            <w:pPr>
              <w:pStyle w:val="Body"/>
            </w:pPr>
            <w:r>
              <w:t>“How happy did you feel yesterday?”</w:t>
            </w:r>
          </w:p>
        </w:tc>
        <w:tc>
          <w:tcPr>
            <w:tcW w:w="3246" w:type="dxa"/>
          </w:tcPr>
          <w:p w14:paraId="43B50847" w14:textId="77777777" w:rsidR="00CD015F" w:rsidRDefault="00CD015F" w:rsidP="00723582">
            <w:pPr>
              <w:pStyle w:val="Body"/>
            </w:pPr>
            <w:r>
              <w:t xml:space="preserve">0 – </w:t>
            </w:r>
            <w:r w:rsidRPr="00646CCE">
              <w:t xml:space="preserve">'not at all </w:t>
            </w:r>
            <w:r>
              <w:t>happy’</w:t>
            </w:r>
          </w:p>
          <w:p w14:paraId="130B5440" w14:textId="77777777" w:rsidR="00CD015F" w:rsidRDefault="00CD015F" w:rsidP="00723582">
            <w:pPr>
              <w:pStyle w:val="Body"/>
            </w:pPr>
            <w:r>
              <w:t>To</w:t>
            </w:r>
          </w:p>
          <w:p w14:paraId="34ABE787" w14:textId="77777777" w:rsidR="00CD015F" w:rsidRDefault="00CD015F" w:rsidP="00723582">
            <w:pPr>
              <w:pStyle w:val="Body"/>
            </w:pPr>
            <w:r w:rsidRPr="00646CCE">
              <w:t xml:space="preserve">10 </w:t>
            </w:r>
            <w:r>
              <w:t>–</w:t>
            </w:r>
            <w:r w:rsidRPr="00646CCE">
              <w:t xml:space="preserve"> 'completely </w:t>
            </w:r>
            <w:r>
              <w:t>happy’</w:t>
            </w:r>
          </w:p>
        </w:tc>
      </w:tr>
      <w:tr w:rsidR="00CD015F" w14:paraId="56ADB82D" w14:textId="77777777" w:rsidTr="00723582">
        <w:tc>
          <w:tcPr>
            <w:tcW w:w="3245" w:type="dxa"/>
          </w:tcPr>
          <w:p w14:paraId="7C2A18B8" w14:textId="77777777" w:rsidR="00CD015F" w:rsidRDefault="00CD015F" w:rsidP="00723582">
            <w:pPr>
              <w:pStyle w:val="Body"/>
            </w:pPr>
            <w:r>
              <w:t>Anxiety</w:t>
            </w:r>
          </w:p>
        </w:tc>
        <w:tc>
          <w:tcPr>
            <w:tcW w:w="3245" w:type="dxa"/>
          </w:tcPr>
          <w:p w14:paraId="76034858" w14:textId="77777777" w:rsidR="00CD015F" w:rsidRDefault="00CD015F" w:rsidP="00723582">
            <w:pPr>
              <w:pStyle w:val="Body"/>
            </w:pPr>
            <w:r>
              <w:t>“How anxious did you feel yesterday?”</w:t>
            </w:r>
          </w:p>
        </w:tc>
        <w:tc>
          <w:tcPr>
            <w:tcW w:w="3246" w:type="dxa"/>
          </w:tcPr>
          <w:p w14:paraId="76FB61C2" w14:textId="77777777" w:rsidR="00CD015F" w:rsidRDefault="00CD015F" w:rsidP="00723582">
            <w:pPr>
              <w:pStyle w:val="Body"/>
            </w:pPr>
            <w:r>
              <w:t xml:space="preserve">0 – </w:t>
            </w:r>
            <w:r w:rsidRPr="00646CCE">
              <w:t xml:space="preserve">'not at all </w:t>
            </w:r>
            <w:r>
              <w:t>anxious’</w:t>
            </w:r>
          </w:p>
          <w:p w14:paraId="24E2512E" w14:textId="77777777" w:rsidR="00CD015F" w:rsidRDefault="00CD015F" w:rsidP="00723582">
            <w:pPr>
              <w:pStyle w:val="Body"/>
            </w:pPr>
            <w:r>
              <w:t>To</w:t>
            </w:r>
          </w:p>
          <w:p w14:paraId="19511560" w14:textId="77777777" w:rsidR="00CD015F" w:rsidRDefault="00CD015F" w:rsidP="00723582">
            <w:pPr>
              <w:pStyle w:val="Body"/>
              <w:keepNext/>
            </w:pPr>
            <w:r w:rsidRPr="00646CCE">
              <w:t xml:space="preserve">10 </w:t>
            </w:r>
            <w:r>
              <w:t>–</w:t>
            </w:r>
            <w:r w:rsidRPr="00646CCE">
              <w:t xml:space="preserve"> 'completely </w:t>
            </w:r>
            <w:r>
              <w:t>anxious’</w:t>
            </w:r>
          </w:p>
        </w:tc>
      </w:tr>
    </w:tbl>
    <w:p w14:paraId="617F67F1" w14:textId="77777777" w:rsidR="00CD015F" w:rsidRPr="002833BD" w:rsidRDefault="00CD015F" w:rsidP="00CD015F">
      <w:pPr>
        <w:pStyle w:val="Caption"/>
      </w:pPr>
      <w:bookmarkStart w:id="3" w:name="_Ref135039419"/>
      <w:r>
        <w:t xml:space="preserve">Table </w:t>
      </w:r>
      <w:r w:rsidR="001D388D">
        <w:fldChar w:fldCharType="begin"/>
      </w:r>
      <w:r w:rsidR="001D388D">
        <w:instrText xml:space="preserve"> SEQ Table \* ARABIC </w:instrText>
      </w:r>
      <w:r w:rsidR="001D388D">
        <w:fldChar w:fldCharType="separate"/>
      </w:r>
      <w:r>
        <w:t>1</w:t>
      </w:r>
      <w:r w:rsidR="001D388D">
        <w:fldChar w:fldCharType="end"/>
      </w:r>
      <w:bookmarkEnd w:id="3"/>
      <w:r>
        <w:t xml:space="preserve"> – The four questions recording subjective wellbeing, recorded in the Annual Population Survey in data collected from April 2011. </w:t>
      </w:r>
    </w:p>
    <w:p w14:paraId="3888FCDA" w14:textId="77777777" w:rsidR="008A673F" w:rsidRDefault="008A673F" w:rsidP="004612E2">
      <w:pPr>
        <w:pStyle w:val="Captionspace"/>
      </w:pPr>
    </w:p>
    <w:p w14:paraId="70CEDB35" w14:textId="791CBA62" w:rsidR="004612E2" w:rsidRDefault="004612E2" w:rsidP="004612E2">
      <w:pPr>
        <w:pStyle w:val="Heading2"/>
      </w:pPr>
      <w:r>
        <w:t>Missing data</w:t>
      </w:r>
    </w:p>
    <w:p w14:paraId="1FB5F462" w14:textId="7B070152" w:rsidR="004612E2" w:rsidRDefault="00693C8F" w:rsidP="004612E2">
      <w:pPr>
        <w:pStyle w:val="Body"/>
      </w:pPr>
      <w:r>
        <w:t xml:space="preserve">We used multiple imputation methods to overcome potential biases due to missing data in our primary analyses. </w:t>
      </w:r>
      <w:r w:rsidR="009527DF">
        <w:t xml:space="preserve">Data </w:t>
      </w:r>
      <w:r w:rsidR="00F417BC">
        <w:t xml:space="preserve">of interest was missing for x% of respondents. The variable with the highest rate of missingness was earned income, </w:t>
      </w:r>
      <w:r w:rsidR="00F52867">
        <w:t xml:space="preserve">with </w:t>
      </w:r>
      <w:r w:rsidR="007C7DC3">
        <w:t xml:space="preserve">data missing for x% of eligible </w:t>
      </w:r>
      <w:r w:rsidR="00ED562A">
        <w:t>respondents</w:t>
      </w:r>
      <w:r w:rsidR="007C7DC3">
        <w:t>.</w:t>
      </w:r>
      <w:r w:rsidR="00ED562A">
        <w:t xml:space="preserve"> We generated [20] imputed datasets</w:t>
      </w:r>
      <w:r w:rsidR="005B4C27">
        <w:t>.</w:t>
      </w:r>
    </w:p>
    <w:p w14:paraId="37A8EDB1" w14:textId="6AD7D76E" w:rsidR="005B4C27" w:rsidRDefault="005B4C27" w:rsidP="004612E2">
      <w:pPr>
        <w:pStyle w:val="Body"/>
      </w:pPr>
      <w:r>
        <w:t xml:space="preserve">We additionally carried out a ‘complete case’ analysis of </w:t>
      </w:r>
      <w:r w:rsidR="00721C02">
        <w:t>all observations with complete data. We compared effect estimates between complete and imputed samples to examine robustness of findings.</w:t>
      </w:r>
    </w:p>
    <w:p w14:paraId="4DFCE1AF" w14:textId="040C30EA" w:rsidR="004612E2" w:rsidRDefault="004612E2" w:rsidP="004612E2">
      <w:pPr>
        <w:pStyle w:val="Heading2"/>
      </w:pPr>
      <w:r>
        <w:lastRenderedPageBreak/>
        <w:t>Statistical analysis</w:t>
      </w:r>
    </w:p>
    <w:p w14:paraId="768A2FDF" w14:textId="2D88CC7C" w:rsidR="00721C02" w:rsidRDefault="005B7627" w:rsidP="00721C02">
      <w:pPr>
        <w:pStyle w:val="Body"/>
        <w:rPr>
          <w:lang w:eastAsia="ko-KR"/>
        </w:rPr>
      </w:pPr>
      <w:r>
        <w:t xml:space="preserve">We used difference-in-differences methods </w:t>
      </w:r>
      <w:r w:rsidR="00573CA5">
        <w:t xml:space="preserve">to </w:t>
      </w:r>
      <w:r w:rsidR="008F0289">
        <w:t xml:space="preserve">estimate the effects of the introduction of Universal Credit on mental health and wellbeing. </w:t>
      </w:r>
      <w:r w:rsidR="00EE4F61">
        <w:t>T</w:t>
      </w:r>
      <w:r w:rsidR="004B3A13">
        <w:t>wo-way fixed-effects</w:t>
      </w:r>
      <w:r w:rsidR="00D4727E">
        <w:t xml:space="preserve"> (TWFE)</w:t>
      </w:r>
      <w:r w:rsidR="004B3A13">
        <w:t xml:space="preserve"> estimates</w:t>
      </w:r>
      <w:r w:rsidR="00C35F19">
        <w:t xml:space="preserve"> </w:t>
      </w:r>
      <w:r w:rsidR="0013473D">
        <w:t>compar</w:t>
      </w:r>
      <w:r w:rsidR="002770DD">
        <w:t>e</w:t>
      </w:r>
      <w:r w:rsidR="0013473D">
        <w:t xml:space="preserve"> exposed with non-yet-exposed units</w:t>
      </w:r>
      <w:r w:rsidR="00EE4F61">
        <w:t xml:space="preserve"> can ensure comparison of exchangeable units. However, in cases of </w:t>
      </w:r>
      <w:r w:rsidR="000541D4">
        <w:t>varying treatment timing and effect size</w:t>
      </w:r>
      <w:r w:rsidR="00C35F19">
        <w:t xml:space="preserve"> </w:t>
      </w:r>
      <w:r w:rsidR="00A1243D">
        <w:t xml:space="preserve">this </w:t>
      </w:r>
      <w:r w:rsidR="009F51B5">
        <w:t xml:space="preserve">can introduce error </w:t>
      </w:r>
      <w:r w:rsidR="009B758E">
        <w:t xml:space="preserve">in estimating </w:t>
      </w:r>
      <w:r w:rsidR="000541D4">
        <w:t>magnitude</w:t>
      </w:r>
      <w:r w:rsidR="009B758E">
        <w:t xml:space="preserve"> and direction</w:t>
      </w:r>
      <w:r w:rsidR="000541D4">
        <w:t xml:space="preserve"> of outcome</w:t>
      </w:r>
      <w:r w:rsidR="009B758E">
        <w:t xml:space="preserve"> </w:t>
      </w:r>
      <w:r w:rsidR="009B758E">
        <w:fldChar w:fldCharType="begin" w:fldLock="1"/>
      </w:r>
      <w:r w:rsidR="00F05201">
        <w:instrText>ADDIN CSL_CITATION {"citationItems":[{"id":"ITEM-1","itemData":{"DOI":"10.1016/J.JECONOM.2021.03.014","ISSN":"0304-4076","abstract":"The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controls.","author":[{"dropping-particle":"","family":"Goodman-Bacon","given":"Andrew","non-dropping-particle":"","parse-names":false,"suffix":""}],"container-title":"Journal of Econometrics","id":"ITEM-1","issue":"2","issued":{"date-parts":[["2021","12","1"]]},"page":"254-277","publisher":"North-Holland","title":"Difference-in-differences with variation in treatment timing","type":"article-journal","volume":"225"},"uris":["http://www.mendeley.com/documents/?uuid=32aaae27-e56e-3f37-9e02-706b45f6a6a1"]},{"id":"ITEM-2","itemData":{"DOI":"10.1086/711509","ISSN":"2333-5955","abstract":"This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research.","author":[{"dropping-particle":"","family":"Roth","given":"Jonathan","non-dropping-particle":"","parse-names":false,"suffix":""},{"dropping-particle":"","family":"Sant'Anna","given":"Pedro H. C.","non-dropping-particle":"","parse-names":false,"suffix":""},{"dropping-particle":"","family":"Bilinski","given":"Alyssa","non-dropping-particle":"","parse-names":false,"suffix":""},{"dropping-particle":"","family":"Poe","given":"John","non-dropping-particle":"","parse-names":false,"suffix":""}],"container-title":"Papers","id":"ITEM-2","issue":"2","issued":{"date-parts":[["2022","3","1"]]},"page":"235-275","publisher":"arXiv.org","title":"What's Trending in Difference-in-Differences? A Synthesis of the Recent Econometrics Literature","type":"article-journal","volume":"8"},"uris":["http://www.mendeley.com/documents/?uuid=d4a57cc8-d646-311c-9691-e66f398eee85"]}],"mendeley":{"formattedCitation":"(Goodman-Bacon, 2021; Roth &lt;i&gt;et al.&lt;/i&gt;, 2022)","plainTextFormattedCitation":"(Goodman-Bacon, 2021; Roth et al., 2022)","previouslyFormattedCitation":"(Goodman-Bacon, 2021; Roth &lt;i&gt;et al.&lt;/i&gt;, 2022)"},"properties":{"noteIndex":0},"schema":"https://github.com/citation-style-language/schema/raw/master/csl-citation.json"}</w:instrText>
      </w:r>
      <w:r w:rsidR="009B758E">
        <w:fldChar w:fldCharType="separate"/>
      </w:r>
      <w:r w:rsidR="009B758E" w:rsidRPr="009B758E">
        <w:rPr>
          <w:noProof/>
        </w:rPr>
        <w:t xml:space="preserve">(Goodman-Bacon, 2021; Roth </w:t>
      </w:r>
      <w:r w:rsidR="009B758E" w:rsidRPr="009B758E">
        <w:rPr>
          <w:i/>
          <w:noProof/>
        </w:rPr>
        <w:t>et al.</w:t>
      </w:r>
      <w:r w:rsidR="009B758E" w:rsidRPr="009B758E">
        <w:rPr>
          <w:noProof/>
        </w:rPr>
        <w:t>, 2022)</w:t>
      </w:r>
      <w:r w:rsidR="009B758E">
        <w:fldChar w:fldCharType="end"/>
      </w:r>
      <w:r w:rsidR="002146BE">
        <w:t>.</w:t>
      </w:r>
      <w:r w:rsidR="00253B1B">
        <w:t xml:space="preserve"> We </w:t>
      </w:r>
      <w:r w:rsidR="00D4727E">
        <w:t>ran</w:t>
      </w:r>
      <w:r w:rsidR="00253B1B">
        <w:t xml:space="preserve"> TWFE </w:t>
      </w:r>
      <w:r w:rsidR="00D4727E">
        <w:t>models and</w:t>
      </w:r>
      <w:r w:rsidR="00F829C2">
        <w:t xml:space="preserve"> examined </w:t>
      </w:r>
      <w:r w:rsidR="006202E0">
        <w:t>effect estimate by treatment timing using decomposition to test for bias due to heterogeneous treatment effects.</w:t>
      </w:r>
      <w:r w:rsidR="005D59D1">
        <w:t xml:space="preserve"> In further models, to overcome anticipated bias</w:t>
      </w:r>
      <w:r w:rsidR="001F0D13">
        <w:t xml:space="preserve">, we </w:t>
      </w:r>
      <w:r w:rsidR="00F05201">
        <w:t xml:space="preserve">used </w:t>
      </w:r>
      <w:r w:rsidR="005D59D1">
        <w:t xml:space="preserve">the </w:t>
      </w:r>
      <w:r w:rsidR="001D107F">
        <w:t xml:space="preserve">R </w:t>
      </w:r>
      <w:r w:rsidR="001D107F">
        <w:rPr>
          <w:lang w:eastAsia="ko-KR"/>
        </w:rPr>
        <w:t>package ‘did2s’</w:t>
      </w:r>
      <w:r w:rsidR="00037579">
        <w:rPr>
          <w:lang w:eastAsia="ko-KR"/>
        </w:rPr>
        <w:t xml:space="preserve"> </w:t>
      </w:r>
      <w:r w:rsidR="00037579">
        <w:fldChar w:fldCharType="begin" w:fldLock="1"/>
      </w:r>
      <w:r w:rsidR="00EA2F48">
        <w:rPr>
          <w:lang w:eastAsia="ko-KR"/>
        </w:rPr>
        <w:instrText>ADDIN CSL_CITATION {"citationItems":[{"id":"ITEM-1","itemData":{"abstract":"Recent work has highlighted the difficulties of estimating difference-in-differences models when treatment timing occurs at different times for different units. This article introduces the R package did2s which implements the estimator introduced in Gardner (2021). The article provides an approachable review of the underlying econometric theory and introduces the syntax for the function did2s. Further, the package introduces a function, event_study, that provides a common syntax for all the modern event-study estimators and plot_event_study to plot the results of each estimator.","author":[{"dropping-particle":"","family":"Butts","given":"Kyle","non-dropping-particle":"","parse-names":false,"suffix":""},{"dropping-particle":"","family":"Gardner","given":"John","non-dropping-particle":"","parse-names":false,"suffix":""}],"container-title":"arXiv","id":"ITEM-1","issued":{"date-parts":[["2021"]]},"page":"1-13","title":"did2s: Two-Stage Difference-in-Differences","type":"article-journal"},"uris":["http://www.mendeley.com/documents/?uuid=570d924f-b58b-4883-bc24-b3ae7434bf55"]}],"mendeley":{"formattedCitation":"(Butts and Gardner, 2021)","plainTextFormattedCitation":"(Butts and Gardner, 2021)","previouslyFormattedCitation":"(Butts and Gardner, 2021)"},"properties":{"noteIndex":0},"schema":"https://github.com/citation-style-language/schema/raw/master/csl-citation.json"}</w:instrText>
      </w:r>
      <w:r w:rsidR="00037579">
        <w:fldChar w:fldCharType="separate"/>
      </w:r>
      <w:r w:rsidR="00037579" w:rsidRPr="00037579">
        <w:rPr>
          <w:noProof/>
          <w:lang w:eastAsia="ko-KR"/>
        </w:rPr>
        <w:t>(Butts and Gardner, 2021)</w:t>
      </w:r>
      <w:r w:rsidR="00037579">
        <w:fldChar w:fldCharType="end"/>
      </w:r>
      <w:r w:rsidR="005D59D1">
        <w:t xml:space="preserve"> to </w:t>
      </w:r>
      <w:r w:rsidR="002D641E">
        <w:t xml:space="preserve">implement the methods of </w:t>
      </w:r>
      <w:r w:rsidR="00EA2F48">
        <w:t xml:space="preserve">Callaway and Sant’Anna </w:t>
      </w:r>
      <w:r w:rsidR="00EA2F48">
        <w:fldChar w:fldCharType="begin" w:fldLock="1"/>
      </w:r>
      <w:r w:rsidR="00D851AF">
        <w:instrText>ADDIN CSL_CITATION {"citationItems":[{"id":"ITEM-1","itemData":{"DOI":"10.1016/j.jeconom.2020.12.001","ISSN":"18726895","abstract":"In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C.","non-dropping-particle":"","parse-names":false,"suffix":""}],"container-title":"Journal of Econometrics","id":"ITEM-1","issue":"2","issued":{"date-parts":[["2021"]]},"page":"200-230","publisher":"Elsevier B.V.","title":"Difference-in-Differences with multiple time periods","type":"article-journal","volume":"225"},"suppress-author":1,"uris":["http://www.mendeley.com/documents/?uuid=b06db115-6296-429d-ad95-50fac728fb5a"]}],"mendeley":{"formattedCitation":"(2021)","plainTextFormattedCitation":"(2021)","previouslyFormattedCitation":"(2021)"},"properties":{"noteIndex":0},"schema":"https://github.com/citation-style-language/schema/raw/master/csl-citation.json"}</w:instrText>
      </w:r>
      <w:r w:rsidR="00EA2F48">
        <w:fldChar w:fldCharType="separate"/>
      </w:r>
      <w:r w:rsidR="00EA2F48" w:rsidRPr="00EA2F48">
        <w:rPr>
          <w:noProof/>
        </w:rPr>
        <w:t>(2021)</w:t>
      </w:r>
      <w:r w:rsidR="00EA2F48">
        <w:fldChar w:fldCharType="end"/>
      </w:r>
      <w:r w:rsidR="002D641E">
        <w:t xml:space="preserve"> </w:t>
      </w:r>
      <w:r w:rsidR="002F084F">
        <w:t>and</w:t>
      </w:r>
      <w:r w:rsidR="005D59D1">
        <w:t xml:space="preserve"> ‘</w:t>
      </w:r>
      <w:r w:rsidR="005D59D1" w:rsidRPr="00F05201">
        <w:t>Two-stage differences in differences</w:t>
      </w:r>
      <w:r w:rsidR="005D59D1">
        <w:t xml:space="preserve">’ approach by Gardner </w:t>
      </w:r>
      <w:r w:rsidR="005D59D1">
        <w:fldChar w:fldCharType="begin" w:fldLock="1"/>
      </w:r>
      <w:r w:rsidR="005D59D1">
        <w:instrText>ADDIN CSL_CITATION {"citationItems":[{"id":"ITEM-1","itemData":{"author":[{"dropping-particle":"","family":"Gardner","given":"John","non-dropping-particle":"","parse-names":false,"suffix":""}],"container-title":"Working Paper","id":"ITEM-1","issue":"April","issued":{"date-parts":[["2021"]]},"title":"Two-stage differences in differences","type":"article-journal"},"suppress-author":1,"uris":["http://www.mendeley.com/documents/?uuid=7f5e1292-9968-4121-a77f-f2deff67c0e0"]}],"mendeley":{"formattedCitation":"(2021)","plainTextFormattedCitation":"(2021)","previouslyFormattedCitation":"(2021)"},"properties":{"noteIndex":0},"schema":"https://github.com/citation-style-language/schema/raw/master/csl-citation.json"}</w:instrText>
      </w:r>
      <w:r w:rsidR="005D59D1">
        <w:fldChar w:fldCharType="separate"/>
      </w:r>
      <w:r w:rsidR="005D59D1" w:rsidRPr="00F05201">
        <w:rPr>
          <w:noProof/>
        </w:rPr>
        <w:t>(2021)</w:t>
      </w:r>
      <w:r w:rsidR="005D59D1">
        <w:fldChar w:fldCharType="end"/>
      </w:r>
      <w:r w:rsidR="002F084F">
        <w:t xml:space="preserve"> as two comparable alternatives</w:t>
      </w:r>
      <w:r w:rsidR="003B3F99">
        <w:rPr>
          <w:lang w:eastAsia="ko-KR"/>
        </w:rPr>
        <w:t>.</w:t>
      </w:r>
      <w:r w:rsidR="004216D6">
        <w:rPr>
          <w:lang w:eastAsia="ko-KR"/>
        </w:rPr>
        <w:t xml:space="preserve"> </w:t>
      </w:r>
      <w:r w:rsidR="004B2DC4">
        <w:rPr>
          <w:lang w:eastAsia="ko-KR"/>
        </w:rPr>
        <w:t xml:space="preserve">We used each method to estimate a static effect estimate </w:t>
      </w:r>
      <w:r w:rsidR="00623FF8">
        <w:rPr>
          <w:lang w:eastAsia="ko-KR"/>
        </w:rPr>
        <w:t>across the four quarters following the rollout date in each Local Authority. We further used e</w:t>
      </w:r>
      <w:r w:rsidR="004216D6">
        <w:rPr>
          <w:lang w:eastAsia="ko-KR"/>
        </w:rPr>
        <w:t xml:space="preserve">ach method </w:t>
      </w:r>
      <w:r w:rsidR="00623FF8">
        <w:rPr>
          <w:lang w:eastAsia="ko-KR"/>
        </w:rPr>
        <w:t>to produce</w:t>
      </w:r>
      <w:r w:rsidR="004216D6">
        <w:rPr>
          <w:lang w:eastAsia="ko-KR"/>
        </w:rPr>
        <w:t xml:space="preserve"> a </w:t>
      </w:r>
      <w:r w:rsidR="005C158D">
        <w:rPr>
          <w:lang w:eastAsia="ko-KR"/>
        </w:rPr>
        <w:t xml:space="preserve">coefficient and standard error term for each </w:t>
      </w:r>
      <w:r w:rsidR="00623FF8">
        <w:rPr>
          <w:lang w:eastAsia="ko-KR"/>
        </w:rPr>
        <w:t>quarterly</w:t>
      </w:r>
      <w:r w:rsidR="005C158D">
        <w:rPr>
          <w:lang w:eastAsia="ko-KR"/>
        </w:rPr>
        <w:t xml:space="preserve"> period </w:t>
      </w:r>
      <w:r w:rsidR="00645696">
        <w:rPr>
          <w:lang w:eastAsia="ko-KR"/>
        </w:rPr>
        <w:t>before and after introduction of Universal Credit</w:t>
      </w:r>
      <w:r w:rsidR="005B22B9">
        <w:rPr>
          <w:lang w:eastAsia="ko-KR"/>
        </w:rPr>
        <w:t xml:space="preserve"> to examine timings and patters of effects</w:t>
      </w:r>
      <w:r w:rsidR="00645696">
        <w:rPr>
          <w:lang w:eastAsia="ko-KR"/>
        </w:rPr>
        <w:t>.</w:t>
      </w:r>
    </w:p>
    <w:p w14:paraId="23C0BF04" w14:textId="77777777" w:rsidR="00EF1E43" w:rsidRDefault="00EF1E43" w:rsidP="00721C02">
      <w:pPr>
        <w:pStyle w:val="Body"/>
        <w:rPr>
          <w:lang w:eastAsia="ko-KR"/>
        </w:rPr>
        <w:sectPr w:rsidR="00EF1E43" w:rsidSect="00342103">
          <w:pgSz w:w="11906" w:h="16838"/>
          <w:pgMar w:top="1440" w:right="1080" w:bottom="1440" w:left="1080" w:header="708" w:footer="708" w:gutter="0"/>
          <w:cols w:space="708"/>
          <w:docGrid w:linePitch="360"/>
        </w:sectPr>
      </w:pPr>
    </w:p>
    <w:p w14:paraId="179CC46B" w14:textId="0471ED21" w:rsidR="00EF1E43" w:rsidRDefault="00EF1E43" w:rsidP="00EF1E43">
      <w:pPr>
        <w:pStyle w:val="Heading1"/>
        <w:rPr>
          <w:lang w:eastAsia="ko-KR"/>
        </w:rPr>
      </w:pPr>
      <w:r>
        <w:rPr>
          <w:lang w:eastAsia="ko-KR"/>
        </w:rPr>
        <w:lastRenderedPageBreak/>
        <w:t>References</w:t>
      </w:r>
    </w:p>
    <w:p w14:paraId="32E47708" w14:textId="535266C5" w:rsidR="00EF1E43" w:rsidRPr="00EF1E43" w:rsidRDefault="00EF1E43" w:rsidP="00EF1E43">
      <w:pPr>
        <w:widowControl w:val="0"/>
        <w:autoSpaceDE w:val="0"/>
        <w:autoSpaceDN w:val="0"/>
        <w:adjustRightInd w:val="0"/>
        <w:spacing w:after="240"/>
        <w:rPr>
          <w:rFonts w:cs="Arial"/>
          <w:noProof/>
          <w:szCs w:val="24"/>
        </w:rPr>
      </w:pPr>
      <w:r>
        <w:rPr>
          <w:lang w:eastAsia="ko-KR"/>
        </w:rPr>
        <w:fldChar w:fldCharType="begin" w:fldLock="1"/>
      </w:r>
      <w:r>
        <w:rPr>
          <w:lang w:eastAsia="ko-KR"/>
        </w:rPr>
        <w:instrText xml:space="preserve">ADDIN Mendeley Bibliography CSL_BIBLIOGRAPHY </w:instrText>
      </w:r>
      <w:r>
        <w:rPr>
          <w:lang w:eastAsia="ko-KR"/>
        </w:rPr>
        <w:fldChar w:fldCharType="separate"/>
      </w:r>
      <w:r w:rsidRPr="00EF1E43">
        <w:rPr>
          <w:rFonts w:cs="Arial"/>
          <w:noProof/>
          <w:szCs w:val="24"/>
        </w:rPr>
        <w:t xml:space="preserve">Baxter, A. </w:t>
      </w:r>
      <w:r w:rsidRPr="00EF1E43">
        <w:rPr>
          <w:rFonts w:cs="Arial"/>
          <w:i/>
          <w:iCs/>
          <w:noProof/>
          <w:szCs w:val="24"/>
        </w:rPr>
        <w:t>et al.</w:t>
      </w:r>
      <w:r w:rsidRPr="00EF1E43">
        <w:rPr>
          <w:rFonts w:cs="Arial"/>
          <w:noProof/>
          <w:szCs w:val="24"/>
        </w:rPr>
        <w:t xml:space="preserve"> (2022) ‘Difference-in-difference effect estimates of the mental health impacts of the implementation of Universal Credit using Annual Population Survey data (2013-2018 rollout period) - Protocol and documentation’, </w:t>
      </w:r>
      <w:r w:rsidRPr="00EF1E43">
        <w:rPr>
          <w:rFonts w:cs="Arial"/>
          <w:i/>
          <w:iCs/>
          <w:noProof/>
          <w:szCs w:val="24"/>
        </w:rPr>
        <w:t>OSF</w:t>
      </w:r>
      <w:r w:rsidRPr="00EF1E43">
        <w:rPr>
          <w:rFonts w:cs="Arial"/>
          <w:noProof/>
          <w:szCs w:val="24"/>
        </w:rPr>
        <w:t>. doi: 10.17605/OSF.IO/KNAJB.</w:t>
      </w:r>
    </w:p>
    <w:p w14:paraId="01B74CD8"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Brewer, M., Dang, T. and Tominey, E. (2022) </w:t>
      </w:r>
      <w:r w:rsidRPr="00EF1E43">
        <w:rPr>
          <w:rFonts w:cs="Arial"/>
          <w:i/>
          <w:iCs/>
          <w:noProof/>
          <w:szCs w:val="24"/>
        </w:rPr>
        <w:t>Universal Credit: Welfare Reform and Mental Health</w:t>
      </w:r>
      <w:r w:rsidRPr="00EF1E43">
        <w:rPr>
          <w:rFonts w:cs="Arial"/>
          <w:noProof/>
          <w:szCs w:val="24"/>
        </w:rPr>
        <w:t>. Available at: https://ideas.repec.org/p/iza/izadps/dp15178.html.</w:t>
      </w:r>
    </w:p>
    <w:p w14:paraId="700BB343"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Butts, K. and Gardner, J. (2021) ‘did2s: Two-Stage Difference-in-Differences’, </w:t>
      </w:r>
      <w:r w:rsidRPr="00EF1E43">
        <w:rPr>
          <w:rFonts w:cs="Arial"/>
          <w:i/>
          <w:iCs/>
          <w:noProof/>
          <w:szCs w:val="24"/>
        </w:rPr>
        <w:t>arXiv</w:t>
      </w:r>
      <w:r w:rsidRPr="00EF1E43">
        <w:rPr>
          <w:rFonts w:cs="Arial"/>
          <w:noProof/>
          <w:szCs w:val="24"/>
        </w:rPr>
        <w:t>, pp. 1–13. Available at: http://arxiv.org/abs/2109.05913.</w:t>
      </w:r>
    </w:p>
    <w:p w14:paraId="0BE90569"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Callaway, B. and Sant’Anna, P. H. C. (2021) ‘Difference-in-Differences with multiple time periods’, </w:t>
      </w:r>
      <w:r w:rsidRPr="00EF1E43">
        <w:rPr>
          <w:rFonts w:cs="Arial"/>
          <w:i/>
          <w:iCs/>
          <w:noProof/>
          <w:szCs w:val="24"/>
        </w:rPr>
        <w:t>Journal of Econometrics</w:t>
      </w:r>
      <w:r w:rsidRPr="00EF1E43">
        <w:rPr>
          <w:rFonts w:cs="Arial"/>
          <w:noProof/>
          <w:szCs w:val="24"/>
        </w:rPr>
        <w:t>, 225(2), pp. 200–230. doi: 10.1016/j.jeconom.2020.12.001.</w:t>
      </w:r>
    </w:p>
    <w:p w14:paraId="05813F20"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Centre for Microsimulation and Policy Analysis (2022) </w:t>
      </w:r>
      <w:r w:rsidRPr="00EF1E43">
        <w:rPr>
          <w:rFonts w:cs="Arial"/>
          <w:i/>
          <w:iCs/>
          <w:noProof/>
          <w:szCs w:val="24"/>
        </w:rPr>
        <w:t>UKMOD - Tax-benefit microsimulation model for the UK</w:t>
      </w:r>
      <w:r w:rsidRPr="00EF1E43">
        <w:rPr>
          <w:rFonts w:cs="Arial"/>
          <w:noProof/>
          <w:szCs w:val="24"/>
        </w:rPr>
        <w:t>. Available at: https://www.microsimulation.ac.uk/ukmod/ (Accessed: 7 December 2022).</w:t>
      </w:r>
    </w:p>
    <w:p w14:paraId="4A5F6805"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Cheetham, M. </w:t>
      </w:r>
      <w:r w:rsidRPr="00EF1E43">
        <w:rPr>
          <w:rFonts w:cs="Arial"/>
          <w:i/>
          <w:iCs/>
          <w:noProof/>
          <w:szCs w:val="24"/>
        </w:rPr>
        <w:t>et al.</w:t>
      </w:r>
      <w:r w:rsidRPr="00EF1E43">
        <w:rPr>
          <w:rFonts w:cs="Arial"/>
          <w:noProof/>
          <w:szCs w:val="24"/>
        </w:rPr>
        <w:t xml:space="preserve"> (2019) ‘Impact of Universal Credit in North East England: a qualitative study of claimants and support staff’, </w:t>
      </w:r>
      <w:r w:rsidRPr="00EF1E43">
        <w:rPr>
          <w:rFonts w:cs="Arial"/>
          <w:i/>
          <w:iCs/>
          <w:noProof/>
          <w:szCs w:val="24"/>
        </w:rPr>
        <w:t>BMJ Open</w:t>
      </w:r>
      <w:r w:rsidRPr="00EF1E43">
        <w:rPr>
          <w:rFonts w:cs="Arial"/>
          <w:noProof/>
          <w:szCs w:val="24"/>
        </w:rPr>
        <w:t>, 9(7), p. e029611. doi: 10.1136/BMJOPEN-2019-029611.</w:t>
      </w:r>
    </w:p>
    <w:p w14:paraId="492666E6"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Craig, P. </w:t>
      </w:r>
      <w:r w:rsidRPr="00EF1E43">
        <w:rPr>
          <w:rFonts w:cs="Arial"/>
          <w:i/>
          <w:iCs/>
          <w:noProof/>
          <w:szCs w:val="24"/>
        </w:rPr>
        <w:t>et al.</w:t>
      </w:r>
      <w:r w:rsidRPr="00EF1E43">
        <w:rPr>
          <w:rFonts w:cs="Arial"/>
          <w:noProof/>
          <w:szCs w:val="24"/>
        </w:rPr>
        <w:t xml:space="preserve"> (2017) ‘Natural Experiments: An overview of methods, approaches, and contributions to public health intervention research.’, </w:t>
      </w:r>
      <w:r w:rsidRPr="00EF1E43">
        <w:rPr>
          <w:rFonts w:cs="Arial"/>
          <w:i/>
          <w:iCs/>
          <w:noProof/>
          <w:szCs w:val="24"/>
        </w:rPr>
        <w:t>Annual review of public health</w:t>
      </w:r>
      <w:r w:rsidRPr="00EF1E43">
        <w:rPr>
          <w:rFonts w:cs="Arial"/>
          <w:noProof/>
          <w:szCs w:val="24"/>
        </w:rPr>
        <w:t>, 38(1), pp. 39–56. doi: 10.1146/annurev-publhealth-031816-044327.</w:t>
      </w:r>
    </w:p>
    <w:p w14:paraId="614672A6"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Craig, P. </w:t>
      </w:r>
      <w:r w:rsidRPr="00EF1E43">
        <w:rPr>
          <w:rFonts w:cs="Arial"/>
          <w:i/>
          <w:iCs/>
          <w:noProof/>
          <w:szCs w:val="24"/>
        </w:rPr>
        <w:t>et al.</w:t>
      </w:r>
      <w:r w:rsidRPr="00EF1E43">
        <w:rPr>
          <w:rFonts w:cs="Arial"/>
          <w:noProof/>
          <w:szCs w:val="24"/>
        </w:rPr>
        <w:t xml:space="preserve"> (2019) </w:t>
      </w:r>
      <w:r w:rsidRPr="00EF1E43">
        <w:rPr>
          <w:rFonts w:cs="Arial"/>
          <w:i/>
          <w:iCs/>
          <w:noProof/>
          <w:szCs w:val="24"/>
        </w:rPr>
        <w:t>Developing and evaluating complex interventions: new guidance</w:t>
      </w:r>
      <w:r w:rsidRPr="00EF1E43">
        <w:rPr>
          <w:rFonts w:cs="Arial"/>
          <w:noProof/>
          <w:szCs w:val="24"/>
        </w:rPr>
        <w:t>. Medical Research Council. Available at: www.mrc.ac.uk/complexinterventionsguidance.</w:t>
      </w:r>
    </w:p>
    <w:p w14:paraId="66A93620"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Craig, P. </w:t>
      </w:r>
      <w:r w:rsidRPr="00EF1E43">
        <w:rPr>
          <w:rFonts w:cs="Arial"/>
          <w:i/>
          <w:iCs/>
          <w:noProof/>
          <w:szCs w:val="24"/>
        </w:rPr>
        <w:t>et al.</w:t>
      </w:r>
      <w:r w:rsidRPr="00EF1E43">
        <w:rPr>
          <w:rFonts w:cs="Arial"/>
          <w:noProof/>
          <w:szCs w:val="24"/>
        </w:rPr>
        <w:t xml:space="preserve"> (2022) ‘Evaluation of the mental health impacts of Universal Credit: protocol for a mixed methods study’, </w:t>
      </w:r>
      <w:r w:rsidRPr="00EF1E43">
        <w:rPr>
          <w:rFonts w:cs="Arial"/>
          <w:i/>
          <w:iCs/>
          <w:noProof/>
          <w:szCs w:val="24"/>
        </w:rPr>
        <w:t>BMJ Open</w:t>
      </w:r>
      <w:r w:rsidRPr="00EF1E43">
        <w:rPr>
          <w:rFonts w:cs="Arial"/>
          <w:noProof/>
          <w:szCs w:val="24"/>
        </w:rPr>
        <w:t>, 12(4), p. e061340. doi: 10.1136/BMJOPEN-2022-061340.</w:t>
      </w:r>
    </w:p>
    <w:p w14:paraId="048E5214"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Department for Work &amp; Pensions (2018a) </w:t>
      </w:r>
      <w:r w:rsidRPr="00EF1E43">
        <w:rPr>
          <w:rFonts w:cs="Arial"/>
          <w:i/>
          <w:iCs/>
          <w:noProof/>
          <w:szCs w:val="24"/>
        </w:rPr>
        <w:t>Universal Credit Full Service Survey</w:t>
      </w:r>
      <w:r w:rsidRPr="00EF1E43">
        <w:rPr>
          <w:rFonts w:cs="Arial"/>
          <w:noProof/>
          <w:szCs w:val="24"/>
        </w:rPr>
        <w:t xml:space="preserve">. Available </w:t>
      </w:r>
      <w:r w:rsidRPr="00EF1E43">
        <w:rPr>
          <w:rFonts w:cs="Arial"/>
          <w:noProof/>
          <w:szCs w:val="24"/>
        </w:rPr>
        <w:lastRenderedPageBreak/>
        <w:t>at: https://www.gov.uk/government/publications/universal-credit-full-service-claimant-survey (Accessed: 13 December 2022).</w:t>
      </w:r>
    </w:p>
    <w:p w14:paraId="62EF84AF"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Department for Work &amp; Pensions (2018b) </w:t>
      </w:r>
      <w:r w:rsidRPr="00EF1E43">
        <w:rPr>
          <w:rFonts w:cs="Arial"/>
          <w:i/>
          <w:iCs/>
          <w:noProof/>
          <w:szCs w:val="24"/>
        </w:rPr>
        <w:t>Universal Credit transition rollout schedule March 2018 to December 2018</w:t>
      </w:r>
      <w:r w:rsidRPr="00EF1E43">
        <w:rPr>
          <w:rFonts w:cs="Arial"/>
          <w:noProof/>
          <w:szCs w:val="24"/>
        </w:rPr>
        <w:t>. Available at: https://www.gov.uk/government/publications/universal-credit-transition-to-full-service/universal-credit-transition-rollout-schedule-march-2018-to-december-2018 (Accessed: 16 February 2022).</w:t>
      </w:r>
    </w:p>
    <w:p w14:paraId="19C208FD"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Department for Work &amp; Pensions (2022a) </w:t>
      </w:r>
      <w:r w:rsidRPr="00EF1E43">
        <w:rPr>
          <w:rFonts w:cs="Arial"/>
          <w:i/>
          <w:iCs/>
          <w:noProof/>
          <w:szCs w:val="24"/>
        </w:rPr>
        <w:t>Completing the move to Universal Credit</w:t>
      </w:r>
      <w:r w:rsidRPr="00EF1E43">
        <w:rPr>
          <w:rFonts w:cs="Arial"/>
          <w:noProof/>
          <w:szCs w:val="24"/>
        </w:rPr>
        <w:t>. London. Available at: https://www.gov.uk/government/publications/completing-the-move-to-universal-credit/completing-the-move-to-universal-credit--2 (Accessed: 15 June 2022).</w:t>
      </w:r>
    </w:p>
    <w:p w14:paraId="43DF9C77"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Department for Work &amp; Pensions (2022b) </w:t>
      </w:r>
      <w:r w:rsidRPr="00EF1E43">
        <w:rPr>
          <w:rFonts w:cs="Arial"/>
          <w:i/>
          <w:iCs/>
          <w:noProof/>
          <w:szCs w:val="24"/>
        </w:rPr>
        <w:t>Universal Credit and your claimant commitment</w:t>
      </w:r>
      <w:r w:rsidRPr="00EF1E43">
        <w:rPr>
          <w:rFonts w:cs="Arial"/>
          <w:noProof/>
          <w:szCs w:val="24"/>
        </w:rPr>
        <w:t xml:space="preserve">, </w:t>
      </w:r>
      <w:r w:rsidRPr="00EF1E43">
        <w:rPr>
          <w:rFonts w:cs="Arial"/>
          <w:i/>
          <w:iCs/>
          <w:noProof/>
          <w:szCs w:val="24"/>
        </w:rPr>
        <w:t>GOV.UK Guidance</w:t>
      </w:r>
      <w:r w:rsidRPr="00EF1E43">
        <w:rPr>
          <w:rFonts w:cs="Arial"/>
          <w:noProof/>
          <w:szCs w:val="24"/>
        </w:rPr>
        <w:t>. Available at: https://www.gov.uk/government/publications/universal-credit-and-your-claimant-commitment-quick-guide/universal-credit-and-your-claimant-commitment (Accessed: 21 December 2022).</w:t>
      </w:r>
    </w:p>
    <w:p w14:paraId="748250CD"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Department for Work &amp; Pensions (2023) </w:t>
      </w:r>
      <w:r w:rsidRPr="00EF1E43">
        <w:rPr>
          <w:rFonts w:cs="Arial"/>
          <w:i/>
          <w:iCs/>
          <w:noProof/>
          <w:szCs w:val="24"/>
        </w:rPr>
        <w:t>Universal Credit statistics: background information and methodology</w:t>
      </w:r>
      <w:r w:rsidRPr="00EF1E43">
        <w:rPr>
          <w:rFonts w:cs="Arial"/>
          <w:noProof/>
          <w:szCs w:val="24"/>
        </w:rPr>
        <w:t>. London. Available at: https://www.gov.uk/government/publications/universal-credit-statistics-background-information-and-methodology/universal-credit-statistics-background-information-and-methodology (Accessed: 17 March 2023).</w:t>
      </w:r>
    </w:p>
    <w:p w14:paraId="4662C4EE"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Gardner, J. (2021) ‘Two-stage differences in differences’, </w:t>
      </w:r>
      <w:r w:rsidRPr="00EF1E43">
        <w:rPr>
          <w:rFonts w:cs="Arial"/>
          <w:i/>
          <w:iCs/>
          <w:noProof/>
          <w:szCs w:val="24"/>
        </w:rPr>
        <w:t>Working Paper</w:t>
      </w:r>
      <w:r w:rsidRPr="00EF1E43">
        <w:rPr>
          <w:rFonts w:cs="Arial"/>
          <w:noProof/>
          <w:szCs w:val="24"/>
        </w:rPr>
        <w:t>, (April).</w:t>
      </w:r>
    </w:p>
    <w:p w14:paraId="5629AD0F"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Goodman-Bacon, A. (2021) ‘Difference-in-differences with variation in treatment timing’, </w:t>
      </w:r>
      <w:r w:rsidRPr="00EF1E43">
        <w:rPr>
          <w:rFonts w:cs="Arial"/>
          <w:i/>
          <w:iCs/>
          <w:noProof/>
          <w:szCs w:val="24"/>
        </w:rPr>
        <w:t>Journal of Econometrics</w:t>
      </w:r>
      <w:r w:rsidRPr="00EF1E43">
        <w:rPr>
          <w:rFonts w:cs="Arial"/>
          <w:noProof/>
          <w:szCs w:val="24"/>
        </w:rPr>
        <w:t>, 225(2), pp. 254–277. doi: 10.1016/J.JECONOM.2021.03.014.</w:t>
      </w:r>
    </w:p>
    <w:p w14:paraId="17E1070C"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Hernán, M. A. and Robins, J. M. (2016) ‘Using Big Data to Emulate a Target Trial When a Randomized Trial Is Not Available’, </w:t>
      </w:r>
      <w:r w:rsidRPr="00EF1E43">
        <w:rPr>
          <w:rFonts w:cs="Arial"/>
          <w:i/>
          <w:iCs/>
          <w:noProof/>
          <w:szCs w:val="24"/>
        </w:rPr>
        <w:t>American Journal of Epidemiology</w:t>
      </w:r>
      <w:r w:rsidRPr="00EF1E43">
        <w:rPr>
          <w:rFonts w:cs="Arial"/>
          <w:noProof/>
          <w:szCs w:val="24"/>
        </w:rPr>
        <w:t>, 183(8), pp. 758–764. doi: 10.1093/aje/kwv254.</w:t>
      </w:r>
    </w:p>
    <w:p w14:paraId="2ED80EBC"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Matthews, A. A. </w:t>
      </w:r>
      <w:r w:rsidRPr="00EF1E43">
        <w:rPr>
          <w:rFonts w:cs="Arial"/>
          <w:i/>
          <w:iCs/>
          <w:noProof/>
          <w:szCs w:val="24"/>
        </w:rPr>
        <w:t>et al.</w:t>
      </w:r>
      <w:r w:rsidRPr="00EF1E43">
        <w:rPr>
          <w:rFonts w:cs="Arial"/>
          <w:noProof/>
          <w:szCs w:val="24"/>
        </w:rPr>
        <w:t xml:space="preserve"> (2022) ‘Target trial emulation: applying principles of randomised trials to observational studies’, </w:t>
      </w:r>
      <w:r w:rsidRPr="00EF1E43">
        <w:rPr>
          <w:rFonts w:cs="Arial"/>
          <w:i/>
          <w:iCs/>
          <w:noProof/>
          <w:szCs w:val="24"/>
        </w:rPr>
        <w:t>BMJ</w:t>
      </w:r>
      <w:r w:rsidRPr="00EF1E43">
        <w:rPr>
          <w:rFonts w:cs="Arial"/>
          <w:noProof/>
          <w:szCs w:val="24"/>
        </w:rPr>
        <w:t>, 378. doi: 10.1136/BMJ-2022-071108.</w:t>
      </w:r>
    </w:p>
    <w:p w14:paraId="31B9FEB1"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National Audit Office (2018) </w:t>
      </w:r>
      <w:r w:rsidRPr="00EF1E43">
        <w:rPr>
          <w:rFonts w:cs="Arial"/>
          <w:i/>
          <w:iCs/>
          <w:noProof/>
          <w:szCs w:val="24"/>
        </w:rPr>
        <w:t>Rolling out Universal Credit</w:t>
      </w:r>
      <w:r w:rsidRPr="00EF1E43">
        <w:rPr>
          <w:rFonts w:cs="Arial"/>
          <w:noProof/>
          <w:szCs w:val="24"/>
        </w:rPr>
        <w:t xml:space="preserve">. London. Available at: </w:t>
      </w:r>
      <w:r w:rsidRPr="00EF1E43">
        <w:rPr>
          <w:rFonts w:cs="Arial"/>
          <w:noProof/>
          <w:szCs w:val="24"/>
        </w:rPr>
        <w:lastRenderedPageBreak/>
        <w:t>https://www.nao.org.uk/wp-content/uploads/2018/06/Rolling-out-Universal-Credit.pdf (Accessed: 17 August 2021).</w:t>
      </w:r>
    </w:p>
    <w:p w14:paraId="476C8F36"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Office for National Statistics (2012) </w:t>
      </w:r>
      <w:r w:rsidRPr="00EF1E43">
        <w:rPr>
          <w:rFonts w:cs="Arial"/>
          <w:i/>
          <w:iCs/>
          <w:noProof/>
          <w:szCs w:val="24"/>
        </w:rPr>
        <w:t>Annual population survey (APS) QMI</w:t>
      </w:r>
      <w:r w:rsidRPr="00EF1E43">
        <w:rPr>
          <w:rFonts w:cs="Arial"/>
          <w:noProof/>
          <w:szCs w:val="24"/>
        </w:rPr>
        <w:t>. Available at: https://www.ons.gov.uk/employmentandlabourmarket/peopleinwork/employmentandemployeetypes/methodologies/annualpopulationsurveyapsqmi (Accessed: 11 February 2022).</w:t>
      </w:r>
    </w:p>
    <w:p w14:paraId="2ABEEC53"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Office for National Statistics (2018) </w:t>
      </w:r>
      <w:r w:rsidRPr="00EF1E43">
        <w:rPr>
          <w:rFonts w:cs="Arial"/>
          <w:i/>
          <w:iCs/>
          <w:noProof/>
          <w:szCs w:val="24"/>
        </w:rPr>
        <w:t>Personal well-being user guidance</w:t>
      </w:r>
      <w:r w:rsidRPr="00EF1E43">
        <w:rPr>
          <w:rFonts w:cs="Arial"/>
          <w:noProof/>
          <w:szCs w:val="24"/>
        </w:rPr>
        <w:t>. Available at: https://www.ons.gov.uk/peoplepopulationandcommunity/wellbeing/methodologies/personalwellbeingsurveyuserguide (Accessed: 17 March 2023).</w:t>
      </w:r>
    </w:p>
    <w:p w14:paraId="797D0098"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Office for National Statistics - Social Survey Division (2022) ‘Annual Population Survey, 2004-2021: Secure Access’. UK Data Service. doi: 10.5255/UKDA-SN-6721-22.</w:t>
      </w:r>
    </w:p>
    <w:p w14:paraId="4B8CBC42"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Roth, J. </w:t>
      </w:r>
      <w:r w:rsidRPr="00EF1E43">
        <w:rPr>
          <w:rFonts w:cs="Arial"/>
          <w:i/>
          <w:iCs/>
          <w:noProof/>
          <w:szCs w:val="24"/>
        </w:rPr>
        <w:t>et al.</w:t>
      </w:r>
      <w:r w:rsidRPr="00EF1E43">
        <w:rPr>
          <w:rFonts w:cs="Arial"/>
          <w:noProof/>
          <w:szCs w:val="24"/>
        </w:rPr>
        <w:t xml:space="preserve"> (2022) ‘What’s Trending in Difference-in-Differences? A Synthesis of the Recent Econometrics Literature’, </w:t>
      </w:r>
      <w:r w:rsidRPr="00EF1E43">
        <w:rPr>
          <w:rFonts w:cs="Arial"/>
          <w:i/>
          <w:iCs/>
          <w:noProof/>
          <w:szCs w:val="24"/>
        </w:rPr>
        <w:t>Papers</w:t>
      </w:r>
      <w:r w:rsidRPr="00EF1E43">
        <w:rPr>
          <w:rFonts w:cs="Arial"/>
          <w:noProof/>
          <w:szCs w:val="24"/>
        </w:rPr>
        <w:t>, 8(2), pp. 235–275. doi: 10.1086/711509.</w:t>
      </w:r>
    </w:p>
    <w:p w14:paraId="711EFF53" w14:textId="77777777" w:rsidR="00EF1E43" w:rsidRPr="00EF1E43" w:rsidRDefault="00EF1E43" w:rsidP="00EF1E43">
      <w:pPr>
        <w:widowControl w:val="0"/>
        <w:autoSpaceDE w:val="0"/>
        <w:autoSpaceDN w:val="0"/>
        <w:adjustRightInd w:val="0"/>
        <w:spacing w:after="240"/>
        <w:rPr>
          <w:rFonts w:cs="Arial"/>
          <w:noProof/>
          <w:szCs w:val="24"/>
        </w:rPr>
      </w:pPr>
      <w:r w:rsidRPr="00EF1E43">
        <w:rPr>
          <w:rFonts w:cs="Arial"/>
          <w:noProof/>
          <w:szCs w:val="24"/>
        </w:rPr>
        <w:t xml:space="preserve">Sun, L. and Abraham, S. (2021) ‘Estimating dynamic treatment effects in event studies with heterogeneous treatment effects’, </w:t>
      </w:r>
      <w:r w:rsidRPr="00EF1E43">
        <w:rPr>
          <w:rFonts w:cs="Arial"/>
          <w:i/>
          <w:iCs/>
          <w:noProof/>
          <w:szCs w:val="24"/>
        </w:rPr>
        <w:t>Journal of Econometrics</w:t>
      </w:r>
      <w:r w:rsidRPr="00EF1E43">
        <w:rPr>
          <w:rFonts w:cs="Arial"/>
          <w:noProof/>
          <w:szCs w:val="24"/>
        </w:rPr>
        <w:t>, 225(2), pp. 175–199. doi: 10.1016/J.JECONOM.2020.09.006.</w:t>
      </w:r>
    </w:p>
    <w:p w14:paraId="4D35FAB4" w14:textId="77777777" w:rsidR="00EF1E43" w:rsidRPr="00EF1E43" w:rsidRDefault="00EF1E43" w:rsidP="00EF1E43">
      <w:pPr>
        <w:widowControl w:val="0"/>
        <w:autoSpaceDE w:val="0"/>
        <w:autoSpaceDN w:val="0"/>
        <w:adjustRightInd w:val="0"/>
        <w:spacing w:after="240"/>
        <w:rPr>
          <w:rFonts w:cs="Arial"/>
          <w:noProof/>
        </w:rPr>
      </w:pPr>
      <w:r w:rsidRPr="00EF1E43">
        <w:rPr>
          <w:rFonts w:cs="Arial"/>
          <w:noProof/>
          <w:szCs w:val="24"/>
        </w:rPr>
        <w:t xml:space="preserve">Wickham, S. </w:t>
      </w:r>
      <w:r w:rsidRPr="00EF1E43">
        <w:rPr>
          <w:rFonts w:cs="Arial"/>
          <w:i/>
          <w:iCs/>
          <w:noProof/>
          <w:szCs w:val="24"/>
        </w:rPr>
        <w:t>et al.</w:t>
      </w:r>
      <w:r w:rsidRPr="00EF1E43">
        <w:rPr>
          <w:rFonts w:cs="Arial"/>
          <w:noProof/>
          <w:szCs w:val="24"/>
        </w:rPr>
        <w:t xml:space="preserve"> (2020) ‘Effects on mental health of a UK welfare reform, Universal Credit: a longitudinal controlled study’, </w:t>
      </w:r>
      <w:r w:rsidRPr="00EF1E43">
        <w:rPr>
          <w:rFonts w:cs="Arial"/>
          <w:i/>
          <w:iCs/>
          <w:noProof/>
          <w:szCs w:val="24"/>
        </w:rPr>
        <w:t>The Lancet Public Health</w:t>
      </w:r>
      <w:r w:rsidRPr="00EF1E43">
        <w:rPr>
          <w:rFonts w:cs="Arial"/>
          <w:noProof/>
          <w:szCs w:val="24"/>
        </w:rPr>
        <w:t>, 5(3), pp. e157–e164. doi: 10.1016/S2468-2667(20)30026-8.</w:t>
      </w:r>
    </w:p>
    <w:p w14:paraId="79CB1FE9" w14:textId="61009809" w:rsidR="00EF1E43" w:rsidRPr="00EF1E43" w:rsidRDefault="00EF1E43" w:rsidP="00EF1E43">
      <w:pPr>
        <w:pStyle w:val="Body"/>
        <w:rPr>
          <w:lang w:eastAsia="ko-KR"/>
        </w:rPr>
      </w:pPr>
      <w:r>
        <w:rPr>
          <w:lang w:eastAsia="ko-KR"/>
        </w:rPr>
        <w:fldChar w:fldCharType="end"/>
      </w:r>
    </w:p>
    <w:sectPr w:rsidR="00EF1E43" w:rsidRPr="00EF1E43" w:rsidSect="00342103">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y Baxter" w:date="2023-04-24T15:34:00Z" w:initials="AB">
    <w:p w14:paraId="7F960D41" w14:textId="77777777" w:rsidR="006268BB" w:rsidRDefault="000A6D5B" w:rsidP="0041783F">
      <w:pPr>
        <w:pStyle w:val="CommentText"/>
      </w:pPr>
      <w:r>
        <w:rPr>
          <w:rStyle w:val="CommentReference"/>
        </w:rPr>
        <w:annotationRef/>
      </w:r>
      <w:r w:rsidR="006268BB">
        <w:t>A largely copied declaration of the overall study design. It's a clear heading, but most elements are repeated</w:t>
      </w:r>
    </w:p>
  </w:comment>
  <w:comment w:id="2" w:author="Andy Baxter" w:date="2023-07-11T11:36:00Z" w:initials="AB">
    <w:p w14:paraId="1AA8B365" w14:textId="77777777" w:rsidR="003017F9" w:rsidRDefault="003017F9">
      <w:pPr>
        <w:pStyle w:val="CommentText"/>
      </w:pPr>
      <w:r>
        <w:rPr>
          <w:rStyle w:val="CommentReference"/>
        </w:rPr>
        <w:annotationRef/>
      </w:r>
      <w:r>
        <w:t>Change:</w:t>
      </w:r>
    </w:p>
    <w:p w14:paraId="54F6F764" w14:textId="77777777" w:rsidR="003017F9" w:rsidRDefault="003017F9">
      <w:pPr>
        <w:pStyle w:val="CommentText"/>
      </w:pPr>
      <w:r>
        <w:t>- we first replicated Wickham, using single, childless claimants set as exposed at time of first rollout</w:t>
      </w:r>
    </w:p>
    <w:p w14:paraId="217D9F08" w14:textId="77777777" w:rsidR="003017F9" w:rsidRDefault="003017F9">
      <w:pPr>
        <w:pStyle w:val="CommentText"/>
      </w:pPr>
      <w:r>
        <w:t>- control here: not-yet-exposed single, childless</w:t>
      </w:r>
    </w:p>
    <w:p w14:paraId="6B4AB85E" w14:textId="77777777" w:rsidR="003017F9" w:rsidRDefault="003017F9">
      <w:pPr>
        <w:pStyle w:val="CommentText"/>
      </w:pPr>
      <w:r>
        <w:t>- we then did whole pop at natural migration rollout date (or filter off single, childless?)</w:t>
      </w:r>
    </w:p>
    <w:p w14:paraId="1DF4C8B9" w14:textId="77777777" w:rsidR="003017F9" w:rsidRDefault="003017F9" w:rsidP="00426004">
      <w:pPr>
        <w:pStyle w:val="CommentText"/>
      </w:pPr>
      <w:r>
        <w:t>- or we did whole population with own rollout dates based 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60D41" w15:done="0"/>
  <w15:commentEx w15:paraId="1DF4C8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11FE8" w16cex:dateUtc="2023-04-24T14:34:00Z"/>
  <w16cex:commentExtensible w16cex:durableId="2857BD32" w16cex:dateUtc="2023-07-11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60D41" w16cid:durableId="27F11FE8"/>
  <w16cid:commentId w16cid:paraId="1DF4C8B9" w16cid:durableId="2857BD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DC88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B267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AE3B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C8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4E01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1028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F46C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D035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7874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483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526AB"/>
    <w:multiLevelType w:val="hybridMultilevel"/>
    <w:tmpl w:val="6928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7449F4"/>
    <w:multiLevelType w:val="hybridMultilevel"/>
    <w:tmpl w:val="2D1CC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B7170"/>
    <w:multiLevelType w:val="hybridMultilevel"/>
    <w:tmpl w:val="4AF4E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E319D8"/>
    <w:multiLevelType w:val="hybridMultilevel"/>
    <w:tmpl w:val="14A46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403A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854286E"/>
    <w:multiLevelType w:val="hybridMultilevel"/>
    <w:tmpl w:val="2E6C4E64"/>
    <w:lvl w:ilvl="0" w:tplc="C45CB80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DD766A"/>
    <w:multiLevelType w:val="hybridMultilevel"/>
    <w:tmpl w:val="11BA8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FA49ED"/>
    <w:multiLevelType w:val="hybridMultilevel"/>
    <w:tmpl w:val="7920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0921681">
    <w:abstractNumId w:val="9"/>
  </w:num>
  <w:num w:numId="2" w16cid:durableId="1218006411">
    <w:abstractNumId w:val="7"/>
  </w:num>
  <w:num w:numId="3" w16cid:durableId="1442653545">
    <w:abstractNumId w:val="6"/>
  </w:num>
  <w:num w:numId="4" w16cid:durableId="1764649229">
    <w:abstractNumId w:val="5"/>
  </w:num>
  <w:num w:numId="5" w16cid:durableId="54358525">
    <w:abstractNumId w:val="4"/>
  </w:num>
  <w:num w:numId="6" w16cid:durableId="217789545">
    <w:abstractNumId w:val="8"/>
  </w:num>
  <w:num w:numId="7" w16cid:durableId="1675372781">
    <w:abstractNumId w:val="3"/>
  </w:num>
  <w:num w:numId="8" w16cid:durableId="948314653">
    <w:abstractNumId w:val="2"/>
  </w:num>
  <w:num w:numId="9" w16cid:durableId="1759138056">
    <w:abstractNumId w:val="1"/>
  </w:num>
  <w:num w:numId="10" w16cid:durableId="1798180000">
    <w:abstractNumId w:val="0"/>
  </w:num>
  <w:num w:numId="11" w16cid:durableId="420611140">
    <w:abstractNumId w:val="14"/>
  </w:num>
  <w:num w:numId="12" w16cid:durableId="1818262772">
    <w:abstractNumId w:val="12"/>
  </w:num>
  <w:num w:numId="13" w16cid:durableId="1062099936">
    <w:abstractNumId w:val="13"/>
  </w:num>
  <w:num w:numId="14" w16cid:durableId="574511803">
    <w:abstractNumId w:val="11"/>
  </w:num>
  <w:num w:numId="15" w16cid:durableId="1560439426">
    <w:abstractNumId w:val="10"/>
  </w:num>
  <w:num w:numId="16" w16cid:durableId="1575046469">
    <w:abstractNumId w:val="16"/>
  </w:num>
  <w:num w:numId="17" w16cid:durableId="53822931">
    <w:abstractNumId w:val="17"/>
  </w:num>
  <w:num w:numId="18" w16cid:durableId="8225072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Baxter">
    <w15:presenceInfo w15:providerId="AD" w15:userId="S::Andy.Baxter@glasgow.ac.uk::f2c91b8a-6c10-44fd-9477-2edb7c1101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8B"/>
    <w:rsid w:val="00000495"/>
    <w:rsid w:val="000019D2"/>
    <w:rsid w:val="000078C7"/>
    <w:rsid w:val="0001323E"/>
    <w:rsid w:val="000163AB"/>
    <w:rsid w:val="00021285"/>
    <w:rsid w:val="00022851"/>
    <w:rsid w:val="00024B8E"/>
    <w:rsid w:val="00026DB9"/>
    <w:rsid w:val="000323F6"/>
    <w:rsid w:val="000328E2"/>
    <w:rsid w:val="00037579"/>
    <w:rsid w:val="00040A52"/>
    <w:rsid w:val="00040D60"/>
    <w:rsid w:val="00042CA0"/>
    <w:rsid w:val="000431DD"/>
    <w:rsid w:val="000445FA"/>
    <w:rsid w:val="00044E60"/>
    <w:rsid w:val="000464CC"/>
    <w:rsid w:val="00050B29"/>
    <w:rsid w:val="000541D4"/>
    <w:rsid w:val="00061FB5"/>
    <w:rsid w:val="00066835"/>
    <w:rsid w:val="00080D40"/>
    <w:rsid w:val="00082526"/>
    <w:rsid w:val="00084F9F"/>
    <w:rsid w:val="00086B1E"/>
    <w:rsid w:val="00087460"/>
    <w:rsid w:val="000A1894"/>
    <w:rsid w:val="000A5276"/>
    <w:rsid w:val="000A540B"/>
    <w:rsid w:val="000A6D5B"/>
    <w:rsid w:val="000B00DA"/>
    <w:rsid w:val="000B2883"/>
    <w:rsid w:val="000B5D5D"/>
    <w:rsid w:val="000B5E5F"/>
    <w:rsid w:val="000B7F40"/>
    <w:rsid w:val="000D22CA"/>
    <w:rsid w:val="000D2E9C"/>
    <w:rsid w:val="000E44A2"/>
    <w:rsid w:val="000E712A"/>
    <w:rsid w:val="000F05F6"/>
    <w:rsid w:val="000F0AF6"/>
    <w:rsid w:val="000F6A84"/>
    <w:rsid w:val="00116009"/>
    <w:rsid w:val="00121E83"/>
    <w:rsid w:val="00123482"/>
    <w:rsid w:val="00127CD9"/>
    <w:rsid w:val="001332F5"/>
    <w:rsid w:val="0013473D"/>
    <w:rsid w:val="00143E80"/>
    <w:rsid w:val="00157564"/>
    <w:rsid w:val="00157F62"/>
    <w:rsid w:val="0016052E"/>
    <w:rsid w:val="00164A9F"/>
    <w:rsid w:val="0017507F"/>
    <w:rsid w:val="001810F4"/>
    <w:rsid w:val="00181D96"/>
    <w:rsid w:val="00191ABF"/>
    <w:rsid w:val="001A0291"/>
    <w:rsid w:val="001A4CD2"/>
    <w:rsid w:val="001A615B"/>
    <w:rsid w:val="001A6A3B"/>
    <w:rsid w:val="001A7E07"/>
    <w:rsid w:val="001C040F"/>
    <w:rsid w:val="001D107F"/>
    <w:rsid w:val="001D1EB9"/>
    <w:rsid w:val="001D388D"/>
    <w:rsid w:val="001E2F5E"/>
    <w:rsid w:val="001F0D13"/>
    <w:rsid w:val="001F3E4D"/>
    <w:rsid w:val="002046C6"/>
    <w:rsid w:val="00211F03"/>
    <w:rsid w:val="002146BE"/>
    <w:rsid w:val="00220AB2"/>
    <w:rsid w:val="00225BC5"/>
    <w:rsid w:val="00233A67"/>
    <w:rsid w:val="00234AAC"/>
    <w:rsid w:val="00235C1E"/>
    <w:rsid w:val="00236177"/>
    <w:rsid w:val="002413CD"/>
    <w:rsid w:val="00243093"/>
    <w:rsid w:val="002470D0"/>
    <w:rsid w:val="00247887"/>
    <w:rsid w:val="00253B1B"/>
    <w:rsid w:val="002549F6"/>
    <w:rsid w:val="0027308B"/>
    <w:rsid w:val="00275F48"/>
    <w:rsid w:val="002770DD"/>
    <w:rsid w:val="002833BD"/>
    <w:rsid w:val="002A1734"/>
    <w:rsid w:val="002A3F88"/>
    <w:rsid w:val="002A4DE7"/>
    <w:rsid w:val="002A5167"/>
    <w:rsid w:val="002B014B"/>
    <w:rsid w:val="002B0255"/>
    <w:rsid w:val="002B45A8"/>
    <w:rsid w:val="002B5B86"/>
    <w:rsid w:val="002C16F4"/>
    <w:rsid w:val="002C17D4"/>
    <w:rsid w:val="002C6759"/>
    <w:rsid w:val="002C6F29"/>
    <w:rsid w:val="002C7369"/>
    <w:rsid w:val="002D1A4E"/>
    <w:rsid w:val="002D1B32"/>
    <w:rsid w:val="002D1E15"/>
    <w:rsid w:val="002D4918"/>
    <w:rsid w:val="002D641E"/>
    <w:rsid w:val="002E0F67"/>
    <w:rsid w:val="002E64F7"/>
    <w:rsid w:val="002F084F"/>
    <w:rsid w:val="002F485A"/>
    <w:rsid w:val="002F5BCC"/>
    <w:rsid w:val="002F6702"/>
    <w:rsid w:val="003017F9"/>
    <w:rsid w:val="003077F0"/>
    <w:rsid w:val="00312F3A"/>
    <w:rsid w:val="00320287"/>
    <w:rsid w:val="00323DFB"/>
    <w:rsid w:val="00334DB8"/>
    <w:rsid w:val="00342103"/>
    <w:rsid w:val="003475C8"/>
    <w:rsid w:val="003544E6"/>
    <w:rsid w:val="003619D6"/>
    <w:rsid w:val="00361DC8"/>
    <w:rsid w:val="0036749D"/>
    <w:rsid w:val="003714E3"/>
    <w:rsid w:val="00386D1E"/>
    <w:rsid w:val="003905D0"/>
    <w:rsid w:val="00396FAF"/>
    <w:rsid w:val="003A2864"/>
    <w:rsid w:val="003A4259"/>
    <w:rsid w:val="003A6396"/>
    <w:rsid w:val="003A6AB0"/>
    <w:rsid w:val="003B2CAB"/>
    <w:rsid w:val="003B329A"/>
    <w:rsid w:val="003B3F99"/>
    <w:rsid w:val="003C0592"/>
    <w:rsid w:val="003C24CE"/>
    <w:rsid w:val="003D0705"/>
    <w:rsid w:val="003D34A0"/>
    <w:rsid w:val="003F2B2D"/>
    <w:rsid w:val="003F43C9"/>
    <w:rsid w:val="004058BC"/>
    <w:rsid w:val="00407E2D"/>
    <w:rsid w:val="00413603"/>
    <w:rsid w:val="004216D6"/>
    <w:rsid w:val="004230DE"/>
    <w:rsid w:val="00426573"/>
    <w:rsid w:val="004268FB"/>
    <w:rsid w:val="0043597E"/>
    <w:rsid w:val="00437D20"/>
    <w:rsid w:val="00446CD0"/>
    <w:rsid w:val="004612E2"/>
    <w:rsid w:val="0048342E"/>
    <w:rsid w:val="00490AE6"/>
    <w:rsid w:val="00493B65"/>
    <w:rsid w:val="004A7922"/>
    <w:rsid w:val="004B0E38"/>
    <w:rsid w:val="004B2DC4"/>
    <w:rsid w:val="004B3A13"/>
    <w:rsid w:val="004B3F4D"/>
    <w:rsid w:val="004C068C"/>
    <w:rsid w:val="004C093C"/>
    <w:rsid w:val="004C167F"/>
    <w:rsid w:val="004E1D1E"/>
    <w:rsid w:val="004E1D40"/>
    <w:rsid w:val="004F068B"/>
    <w:rsid w:val="004F4D15"/>
    <w:rsid w:val="00502986"/>
    <w:rsid w:val="00504395"/>
    <w:rsid w:val="00510B11"/>
    <w:rsid w:val="0053138B"/>
    <w:rsid w:val="005319A0"/>
    <w:rsid w:val="005433E6"/>
    <w:rsid w:val="00547D9F"/>
    <w:rsid w:val="00550C56"/>
    <w:rsid w:val="0055348B"/>
    <w:rsid w:val="00573CA5"/>
    <w:rsid w:val="005769E3"/>
    <w:rsid w:val="00577C10"/>
    <w:rsid w:val="005851B4"/>
    <w:rsid w:val="00595DB9"/>
    <w:rsid w:val="005A4B7E"/>
    <w:rsid w:val="005A6CE0"/>
    <w:rsid w:val="005B0AA2"/>
    <w:rsid w:val="005B22B9"/>
    <w:rsid w:val="005B4C27"/>
    <w:rsid w:val="005B6FE9"/>
    <w:rsid w:val="005B7627"/>
    <w:rsid w:val="005C158D"/>
    <w:rsid w:val="005C4E97"/>
    <w:rsid w:val="005D4248"/>
    <w:rsid w:val="005D59D1"/>
    <w:rsid w:val="005D732A"/>
    <w:rsid w:val="005D7E06"/>
    <w:rsid w:val="005E0570"/>
    <w:rsid w:val="005E35FA"/>
    <w:rsid w:val="005E75FC"/>
    <w:rsid w:val="005F1331"/>
    <w:rsid w:val="005F33B5"/>
    <w:rsid w:val="005F5F25"/>
    <w:rsid w:val="005F6051"/>
    <w:rsid w:val="005F6BF8"/>
    <w:rsid w:val="00604EA7"/>
    <w:rsid w:val="00616A3A"/>
    <w:rsid w:val="006202E0"/>
    <w:rsid w:val="006205B9"/>
    <w:rsid w:val="00623FF8"/>
    <w:rsid w:val="00626188"/>
    <w:rsid w:val="006268BB"/>
    <w:rsid w:val="00630E0A"/>
    <w:rsid w:val="0063655F"/>
    <w:rsid w:val="006378BF"/>
    <w:rsid w:val="00645696"/>
    <w:rsid w:val="00646CCE"/>
    <w:rsid w:val="006558EF"/>
    <w:rsid w:val="006571E2"/>
    <w:rsid w:val="00667368"/>
    <w:rsid w:val="00667400"/>
    <w:rsid w:val="00667779"/>
    <w:rsid w:val="006722DF"/>
    <w:rsid w:val="00674CF0"/>
    <w:rsid w:val="006844D0"/>
    <w:rsid w:val="00685D40"/>
    <w:rsid w:val="00686EC6"/>
    <w:rsid w:val="00690B86"/>
    <w:rsid w:val="00693C8F"/>
    <w:rsid w:val="0069647B"/>
    <w:rsid w:val="00697438"/>
    <w:rsid w:val="006A5009"/>
    <w:rsid w:val="006B0CD1"/>
    <w:rsid w:val="006B1624"/>
    <w:rsid w:val="006B1DC8"/>
    <w:rsid w:val="006B7FA2"/>
    <w:rsid w:val="006C169F"/>
    <w:rsid w:val="006C2886"/>
    <w:rsid w:val="006C4C56"/>
    <w:rsid w:val="006C511D"/>
    <w:rsid w:val="006C5BD8"/>
    <w:rsid w:val="006E3C13"/>
    <w:rsid w:val="00707A15"/>
    <w:rsid w:val="00707B6A"/>
    <w:rsid w:val="007120FF"/>
    <w:rsid w:val="00713141"/>
    <w:rsid w:val="00716B1D"/>
    <w:rsid w:val="007172F3"/>
    <w:rsid w:val="00721C02"/>
    <w:rsid w:val="007313F8"/>
    <w:rsid w:val="00740A1F"/>
    <w:rsid w:val="00742418"/>
    <w:rsid w:val="00752E4A"/>
    <w:rsid w:val="00754329"/>
    <w:rsid w:val="00754557"/>
    <w:rsid w:val="0076002C"/>
    <w:rsid w:val="007654F0"/>
    <w:rsid w:val="00767080"/>
    <w:rsid w:val="007673FF"/>
    <w:rsid w:val="007708C5"/>
    <w:rsid w:val="00785AED"/>
    <w:rsid w:val="0078652B"/>
    <w:rsid w:val="00787045"/>
    <w:rsid w:val="00794045"/>
    <w:rsid w:val="0079591D"/>
    <w:rsid w:val="007A32A6"/>
    <w:rsid w:val="007B152C"/>
    <w:rsid w:val="007C6B5A"/>
    <w:rsid w:val="007C7DC3"/>
    <w:rsid w:val="007F18E5"/>
    <w:rsid w:val="0080580A"/>
    <w:rsid w:val="00807026"/>
    <w:rsid w:val="00812EE9"/>
    <w:rsid w:val="008173CC"/>
    <w:rsid w:val="008234ED"/>
    <w:rsid w:val="00823A1B"/>
    <w:rsid w:val="00836D1E"/>
    <w:rsid w:val="0083726A"/>
    <w:rsid w:val="0084000D"/>
    <w:rsid w:val="008400EE"/>
    <w:rsid w:val="0084031D"/>
    <w:rsid w:val="00852B13"/>
    <w:rsid w:val="008631F0"/>
    <w:rsid w:val="00864085"/>
    <w:rsid w:val="00871DFC"/>
    <w:rsid w:val="00881A72"/>
    <w:rsid w:val="00884167"/>
    <w:rsid w:val="00892BBB"/>
    <w:rsid w:val="008A364E"/>
    <w:rsid w:val="008A608D"/>
    <w:rsid w:val="008A673F"/>
    <w:rsid w:val="008B5C24"/>
    <w:rsid w:val="008B5F5B"/>
    <w:rsid w:val="008C7EEC"/>
    <w:rsid w:val="008D1272"/>
    <w:rsid w:val="008D2CAA"/>
    <w:rsid w:val="008D43BC"/>
    <w:rsid w:val="008D7F64"/>
    <w:rsid w:val="008E301D"/>
    <w:rsid w:val="008F0289"/>
    <w:rsid w:val="008F1140"/>
    <w:rsid w:val="009211DB"/>
    <w:rsid w:val="00930EB4"/>
    <w:rsid w:val="00931708"/>
    <w:rsid w:val="00931AD6"/>
    <w:rsid w:val="00943587"/>
    <w:rsid w:val="009527DF"/>
    <w:rsid w:val="00957264"/>
    <w:rsid w:val="00960C99"/>
    <w:rsid w:val="0097257D"/>
    <w:rsid w:val="009822A0"/>
    <w:rsid w:val="009868D8"/>
    <w:rsid w:val="00990D20"/>
    <w:rsid w:val="0099531D"/>
    <w:rsid w:val="009963E7"/>
    <w:rsid w:val="00997159"/>
    <w:rsid w:val="009B758E"/>
    <w:rsid w:val="009C36AB"/>
    <w:rsid w:val="009E0174"/>
    <w:rsid w:val="009E3AEA"/>
    <w:rsid w:val="009F31DE"/>
    <w:rsid w:val="009F46D8"/>
    <w:rsid w:val="009F51B5"/>
    <w:rsid w:val="009F5253"/>
    <w:rsid w:val="00A0690F"/>
    <w:rsid w:val="00A1238F"/>
    <w:rsid w:val="00A1243D"/>
    <w:rsid w:val="00A16AAE"/>
    <w:rsid w:val="00A34F0A"/>
    <w:rsid w:val="00A47870"/>
    <w:rsid w:val="00A50C99"/>
    <w:rsid w:val="00A56F06"/>
    <w:rsid w:val="00A66140"/>
    <w:rsid w:val="00A669CA"/>
    <w:rsid w:val="00A77FFC"/>
    <w:rsid w:val="00A86188"/>
    <w:rsid w:val="00A86DA8"/>
    <w:rsid w:val="00A91B62"/>
    <w:rsid w:val="00A9372B"/>
    <w:rsid w:val="00AB154A"/>
    <w:rsid w:val="00AB2A68"/>
    <w:rsid w:val="00AB3E18"/>
    <w:rsid w:val="00AB78A4"/>
    <w:rsid w:val="00AC072D"/>
    <w:rsid w:val="00B02429"/>
    <w:rsid w:val="00B104EE"/>
    <w:rsid w:val="00B23342"/>
    <w:rsid w:val="00B24DB9"/>
    <w:rsid w:val="00B2612C"/>
    <w:rsid w:val="00B2686F"/>
    <w:rsid w:val="00B3387B"/>
    <w:rsid w:val="00B36218"/>
    <w:rsid w:val="00B36966"/>
    <w:rsid w:val="00B41884"/>
    <w:rsid w:val="00B42ED1"/>
    <w:rsid w:val="00B54AD1"/>
    <w:rsid w:val="00B67F2D"/>
    <w:rsid w:val="00B71BB3"/>
    <w:rsid w:val="00B916A2"/>
    <w:rsid w:val="00B94CF6"/>
    <w:rsid w:val="00BA3E9F"/>
    <w:rsid w:val="00BB020D"/>
    <w:rsid w:val="00BB688A"/>
    <w:rsid w:val="00BC2A2D"/>
    <w:rsid w:val="00BC2CC5"/>
    <w:rsid w:val="00BC4FC2"/>
    <w:rsid w:val="00BE3C96"/>
    <w:rsid w:val="00BE7C10"/>
    <w:rsid w:val="00BF03F2"/>
    <w:rsid w:val="00BF25AB"/>
    <w:rsid w:val="00BF7FA7"/>
    <w:rsid w:val="00C05E9C"/>
    <w:rsid w:val="00C07315"/>
    <w:rsid w:val="00C136EB"/>
    <w:rsid w:val="00C13A96"/>
    <w:rsid w:val="00C31756"/>
    <w:rsid w:val="00C350A2"/>
    <w:rsid w:val="00C35F19"/>
    <w:rsid w:val="00C4108A"/>
    <w:rsid w:val="00C475BE"/>
    <w:rsid w:val="00C54013"/>
    <w:rsid w:val="00C54776"/>
    <w:rsid w:val="00C574B7"/>
    <w:rsid w:val="00C622DD"/>
    <w:rsid w:val="00C64899"/>
    <w:rsid w:val="00C706AE"/>
    <w:rsid w:val="00C75027"/>
    <w:rsid w:val="00C81646"/>
    <w:rsid w:val="00C90A4C"/>
    <w:rsid w:val="00C91BD8"/>
    <w:rsid w:val="00C97405"/>
    <w:rsid w:val="00CA7F72"/>
    <w:rsid w:val="00CC4CA3"/>
    <w:rsid w:val="00CC7233"/>
    <w:rsid w:val="00CD015F"/>
    <w:rsid w:val="00CD050A"/>
    <w:rsid w:val="00CD2461"/>
    <w:rsid w:val="00CD38A4"/>
    <w:rsid w:val="00CD3BF2"/>
    <w:rsid w:val="00CD796C"/>
    <w:rsid w:val="00CE69A1"/>
    <w:rsid w:val="00CE7169"/>
    <w:rsid w:val="00CF0085"/>
    <w:rsid w:val="00D0508B"/>
    <w:rsid w:val="00D233B2"/>
    <w:rsid w:val="00D32517"/>
    <w:rsid w:val="00D32D91"/>
    <w:rsid w:val="00D33B17"/>
    <w:rsid w:val="00D42040"/>
    <w:rsid w:val="00D4727E"/>
    <w:rsid w:val="00D472E7"/>
    <w:rsid w:val="00D53A19"/>
    <w:rsid w:val="00D74FC2"/>
    <w:rsid w:val="00D850A4"/>
    <w:rsid w:val="00D8519F"/>
    <w:rsid w:val="00D851AF"/>
    <w:rsid w:val="00D90E71"/>
    <w:rsid w:val="00D97CEE"/>
    <w:rsid w:val="00DB422B"/>
    <w:rsid w:val="00DB714A"/>
    <w:rsid w:val="00DB7CD3"/>
    <w:rsid w:val="00DC6833"/>
    <w:rsid w:val="00DD69F8"/>
    <w:rsid w:val="00DE3629"/>
    <w:rsid w:val="00DE7A89"/>
    <w:rsid w:val="00DF2BA8"/>
    <w:rsid w:val="00E0322D"/>
    <w:rsid w:val="00E03BBF"/>
    <w:rsid w:val="00E13415"/>
    <w:rsid w:val="00E13B49"/>
    <w:rsid w:val="00E2268B"/>
    <w:rsid w:val="00E2682F"/>
    <w:rsid w:val="00E26EFE"/>
    <w:rsid w:val="00E319BB"/>
    <w:rsid w:val="00E42FD9"/>
    <w:rsid w:val="00E730D9"/>
    <w:rsid w:val="00E740AA"/>
    <w:rsid w:val="00E9387F"/>
    <w:rsid w:val="00EA2F48"/>
    <w:rsid w:val="00EB091C"/>
    <w:rsid w:val="00EC04E5"/>
    <w:rsid w:val="00EC1853"/>
    <w:rsid w:val="00ED45AD"/>
    <w:rsid w:val="00ED557D"/>
    <w:rsid w:val="00ED562A"/>
    <w:rsid w:val="00ED7CCD"/>
    <w:rsid w:val="00EE2A8B"/>
    <w:rsid w:val="00EE43A0"/>
    <w:rsid w:val="00EE4F61"/>
    <w:rsid w:val="00EF1E43"/>
    <w:rsid w:val="00EF6734"/>
    <w:rsid w:val="00F028C9"/>
    <w:rsid w:val="00F040DF"/>
    <w:rsid w:val="00F04708"/>
    <w:rsid w:val="00F05201"/>
    <w:rsid w:val="00F10577"/>
    <w:rsid w:val="00F16076"/>
    <w:rsid w:val="00F172DA"/>
    <w:rsid w:val="00F200DE"/>
    <w:rsid w:val="00F2530E"/>
    <w:rsid w:val="00F256E3"/>
    <w:rsid w:val="00F30754"/>
    <w:rsid w:val="00F313C0"/>
    <w:rsid w:val="00F343FF"/>
    <w:rsid w:val="00F3707B"/>
    <w:rsid w:val="00F377BC"/>
    <w:rsid w:val="00F417BC"/>
    <w:rsid w:val="00F477A3"/>
    <w:rsid w:val="00F52867"/>
    <w:rsid w:val="00F66700"/>
    <w:rsid w:val="00F73CCD"/>
    <w:rsid w:val="00F73EE7"/>
    <w:rsid w:val="00F76270"/>
    <w:rsid w:val="00F801A1"/>
    <w:rsid w:val="00F829C2"/>
    <w:rsid w:val="00F92A38"/>
    <w:rsid w:val="00F93103"/>
    <w:rsid w:val="00F96385"/>
    <w:rsid w:val="00F96675"/>
    <w:rsid w:val="00F97EDA"/>
    <w:rsid w:val="00FA7856"/>
    <w:rsid w:val="00FB7A0E"/>
    <w:rsid w:val="00FC07D5"/>
    <w:rsid w:val="00FC68E0"/>
    <w:rsid w:val="00FC7A2D"/>
    <w:rsid w:val="00FC7B01"/>
    <w:rsid w:val="00FD1049"/>
    <w:rsid w:val="00FD1F17"/>
    <w:rsid w:val="00FD3DC7"/>
    <w:rsid w:val="00FE2CF7"/>
    <w:rsid w:val="00FE31E4"/>
    <w:rsid w:val="00FE3C41"/>
    <w:rsid w:val="00FE79A8"/>
    <w:rsid w:val="00FF3D92"/>
    <w:rsid w:val="00FF5E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EE6"/>
  <w15:chartTrackingRefBased/>
  <w15:docId w15:val="{D9E26C65-4645-4AD7-AE3B-7D3F4A3F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88D"/>
    <w:pPr>
      <w:spacing w:line="360" w:lineRule="auto"/>
    </w:pPr>
    <w:rPr>
      <w:rFonts w:ascii="Arial" w:hAnsi="Arial"/>
      <w:kern w:val="0"/>
      <w:sz w:val="24"/>
      <w14:ligatures w14:val="none"/>
    </w:rPr>
  </w:style>
  <w:style w:type="paragraph" w:styleId="Heading1">
    <w:name w:val="heading 1"/>
    <w:basedOn w:val="Normal"/>
    <w:next w:val="Body"/>
    <w:link w:val="Heading1Char"/>
    <w:uiPriority w:val="2"/>
    <w:qFormat/>
    <w:rsid w:val="001D388D"/>
    <w:pPr>
      <w:keepNext/>
      <w:keepLines/>
      <w:spacing w:before="360" w:after="240"/>
      <w:outlineLvl w:val="0"/>
    </w:pPr>
    <w:rPr>
      <w:rFonts w:eastAsiaTheme="majorEastAsia" w:cstheme="majorBidi"/>
      <w:b/>
      <w:sz w:val="36"/>
      <w:szCs w:val="32"/>
    </w:rPr>
  </w:style>
  <w:style w:type="paragraph" w:styleId="Heading2">
    <w:name w:val="heading 2"/>
    <w:basedOn w:val="Normal"/>
    <w:next w:val="Body"/>
    <w:link w:val="Heading2Char"/>
    <w:uiPriority w:val="3"/>
    <w:qFormat/>
    <w:rsid w:val="001D388D"/>
    <w:pPr>
      <w:keepNext/>
      <w:keepLines/>
      <w:spacing w:before="120" w:after="120"/>
      <w:outlineLvl w:val="1"/>
    </w:pPr>
    <w:rPr>
      <w:rFonts w:eastAsiaTheme="majorEastAsia" w:cstheme="majorBidi"/>
      <w:b/>
      <w:sz w:val="32"/>
      <w:szCs w:val="26"/>
    </w:rPr>
  </w:style>
  <w:style w:type="paragraph" w:styleId="Heading3">
    <w:name w:val="heading 3"/>
    <w:basedOn w:val="Normal"/>
    <w:next w:val="Body"/>
    <w:link w:val="Heading3Char"/>
    <w:uiPriority w:val="4"/>
    <w:qFormat/>
    <w:rsid w:val="001D388D"/>
    <w:pPr>
      <w:keepNext/>
      <w:keepLines/>
      <w:spacing w:before="120" w:after="120"/>
      <w:outlineLvl w:val="2"/>
    </w:pPr>
    <w:rPr>
      <w:rFonts w:eastAsiaTheme="majorEastAsia" w:cstheme="majorBidi"/>
      <w:b/>
      <w:sz w:val="28"/>
      <w:szCs w:val="24"/>
    </w:rPr>
  </w:style>
  <w:style w:type="paragraph" w:styleId="Heading4">
    <w:name w:val="heading 4"/>
    <w:basedOn w:val="Normal"/>
    <w:next w:val="Body"/>
    <w:link w:val="Heading4Char"/>
    <w:uiPriority w:val="5"/>
    <w:unhideWhenUsed/>
    <w:qFormat/>
    <w:rsid w:val="001D388D"/>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1D388D"/>
    <w:pPr>
      <w:keepNext/>
      <w:keepLines/>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1D38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D38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38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38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D3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388D"/>
  </w:style>
  <w:style w:type="paragraph" w:styleId="Title">
    <w:name w:val="Title"/>
    <w:basedOn w:val="Normal"/>
    <w:next w:val="Body"/>
    <w:link w:val="TitleChar"/>
    <w:uiPriority w:val="4"/>
    <w:qFormat/>
    <w:rsid w:val="001D388D"/>
    <w:pPr>
      <w:spacing w:after="36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4"/>
    <w:rsid w:val="001D388D"/>
    <w:rPr>
      <w:rFonts w:ascii="Arial" w:eastAsiaTheme="majorEastAsia" w:hAnsi="Arial" w:cstheme="majorBidi"/>
      <w:b/>
      <w:spacing w:val="-10"/>
      <w:kern w:val="28"/>
      <w:sz w:val="36"/>
      <w:szCs w:val="56"/>
      <w14:ligatures w14:val="none"/>
    </w:rPr>
  </w:style>
  <w:style w:type="paragraph" w:styleId="NoSpacing">
    <w:name w:val="No Spacing"/>
    <w:uiPriority w:val="1"/>
    <w:qFormat/>
    <w:rsid w:val="001D388D"/>
    <w:pPr>
      <w:spacing w:after="0" w:line="240" w:lineRule="auto"/>
    </w:pPr>
    <w:rPr>
      <w:rFonts w:ascii="Arial" w:hAnsi="Arial"/>
      <w:sz w:val="24"/>
    </w:rPr>
  </w:style>
  <w:style w:type="character" w:customStyle="1" w:styleId="Heading1Char">
    <w:name w:val="Heading 1 Char"/>
    <w:basedOn w:val="DefaultParagraphFont"/>
    <w:link w:val="Heading1"/>
    <w:uiPriority w:val="2"/>
    <w:rsid w:val="001D388D"/>
    <w:rPr>
      <w:rFonts w:ascii="Arial" w:eastAsiaTheme="majorEastAsia" w:hAnsi="Arial" w:cstheme="majorBidi"/>
      <w:b/>
      <w:kern w:val="0"/>
      <w:sz w:val="36"/>
      <w:szCs w:val="32"/>
      <w14:ligatures w14:val="none"/>
    </w:rPr>
  </w:style>
  <w:style w:type="character" w:customStyle="1" w:styleId="Heading2Char">
    <w:name w:val="Heading 2 Char"/>
    <w:basedOn w:val="DefaultParagraphFont"/>
    <w:link w:val="Heading2"/>
    <w:uiPriority w:val="3"/>
    <w:rsid w:val="001D388D"/>
    <w:rPr>
      <w:rFonts w:ascii="Arial" w:eastAsiaTheme="majorEastAsia" w:hAnsi="Arial" w:cstheme="majorBidi"/>
      <w:b/>
      <w:kern w:val="0"/>
      <w:sz w:val="32"/>
      <w:szCs w:val="26"/>
      <w14:ligatures w14:val="none"/>
    </w:rPr>
  </w:style>
  <w:style w:type="character" w:customStyle="1" w:styleId="Heading3Char">
    <w:name w:val="Heading 3 Char"/>
    <w:basedOn w:val="DefaultParagraphFont"/>
    <w:link w:val="Heading3"/>
    <w:uiPriority w:val="4"/>
    <w:rsid w:val="001D388D"/>
    <w:rPr>
      <w:rFonts w:ascii="Arial" w:eastAsiaTheme="majorEastAsia" w:hAnsi="Arial" w:cstheme="majorBidi"/>
      <w:b/>
      <w:kern w:val="0"/>
      <w:sz w:val="28"/>
      <w:szCs w:val="24"/>
      <w14:ligatures w14:val="none"/>
    </w:rPr>
  </w:style>
  <w:style w:type="paragraph" w:styleId="Caption">
    <w:name w:val="caption"/>
    <w:basedOn w:val="Normal"/>
    <w:next w:val="Caption2"/>
    <w:uiPriority w:val="7"/>
    <w:qFormat/>
    <w:rsid w:val="001D388D"/>
    <w:pPr>
      <w:spacing w:before="120" w:after="0" w:line="240" w:lineRule="auto"/>
    </w:pPr>
    <w:rPr>
      <w:b/>
      <w:iCs/>
      <w:sz w:val="20"/>
      <w:szCs w:val="18"/>
    </w:rPr>
  </w:style>
  <w:style w:type="paragraph" w:customStyle="1" w:styleId="Caption2">
    <w:name w:val="Caption 2"/>
    <w:basedOn w:val="Caption"/>
    <w:uiPriority w:val="7"/>
    <w:qFormat/>
    <w:rsid w:val="001D388D"/>
    <w:pPr>
      <w:spacing w:before="0" w:after="360"/>
    </w:pPr>
    <w:rPr>
      <w:b w:val="0"/>
    </w:rPr>
  </w:style>
  <w:style w:type="paragraph" w:customStyle="1" w:styleId="Captionspace">
    <w:name w:val="Caption space"/>
    <w:basedOn w:val="Caption"/>
    <w:next w:val="Body"/>
    <w:uiPriority w:val="8"/>
    <w:qFormat/>
    <w:rsid w:val="001D388D"/>
    <w:pPr>
      <w:spacing w:before="0" w:after="160"/>
    </w:pPr>
    <w:rPr>
      <w:b w:val="0"/>
    </w:rPr>
  </w:style>
  <w:style w:type="character" w:customStyle="1" w:styleId="Heading4Char">
    <w:name w:val="Heading 4 Char"/>
    <w:basedOn w:val="DefaultParagraphFont"/>
    <w:link w:val="Heading4"/>
    <w:uiPriority w:val="5"/>
    <w:rsid w:val="001D388D"/>
    <w:rPr>
      <w:rFonts w:ascii="Arial" w:eastAsiaTheme="majorEastAsia" w:hAnsi="Arial" w:cstheme="majorBidi"/>
      <w:b/>
      <w:iCs/>
      <w:kern w:val="0"/>
      <w:sz w:val="24"/>
      <w14:ligatures w14:val="none"/>
    </w:rPr>
  </w:style>
  <w:style w:type="character" w:customStyle="1" w:styleId="Heading5Char">
    <w:name w:val="Heading 5 Char"/>
    <w:basedOn w:val="DefaultParagraphFont"/>
    <w:link w:val="Heading5"/>
    <w:uiPriority w:val="9"/>
    <w:rsid w:val="001D388D"/>
    <w:rPr>
      <w:rFonts w:ascii="Arial" w:eastAsiaTheme="majorEastAsia" w:hAnsi="Arial" w:cstheme="majorBidi"/>
      <w:i/>
      <w:kern w:val="0"/>
      <w:sz w:val="24"/>
      <w14:ligatures w14:val="none"/>
    </w:rPr>
  </w:style>
  <w:style w:type="paragraph" w:customStyle="1" w:styleId="Body">
    <w:name w:val="Body"/>
    <w:basedOn w:val="Normal"/>
    <w:qFormat/>
    <w:rsid w:val="001D388D"/>
    <w:pPr>
      <w:spacing w:after="240"/>
    </w:pPr>
  </w:style>
  <w:style w:type="paragraph" w:customStyle="1" w:styleId="HiddenHeading">
    <w:name w:val="Hidden Heading"/>
    <w:basedOn w:val="Heading3"/>
    <w:next w:val="Body"/>
    <w:uiPriority w:val="6"/>
    <w:unhideWhenUsed/>
    <w:qFormat/>
    <w:rsid w:val="001D388D"/>
    <w:rPr>
      <w:vanish/>
    </w:rPr>
  </w:style>
  <w:style w:type="character" w:customStyle="1" w:styleId="Heading6Char">
    <w:name w:val="Heading 6 Char"/>
    <w:basedOn w:val="DefaultParagraphFont"/>
    <w:link w:val="Heading6"/>
    <w:uiPriority w:val="9"/>
    <w:semiHidden/>
    <w:rsid w:val="001D388D"/>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1D388D"/>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1D388D"/>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D388D"/>
    <w:rPr>
      <w:rFonts w:asciiTheme="majorHAnsi" w:eastAsiaTheme="majorEastAsia" w:hAnsiTheme="majorHAnsi" w:cstheme="majorBidi"/>
      <w:i/>
      <w:iCs/>
      <w:color w:val="272727" w:themeColor="text1" w:themeTint="D8"/>
      <w:kern w:val="0"/>
      <w:sz w:val="21"/>
      <w:szCs w:val="21"/>
      <w14:ligatures w14:val="none"/>
    </w:rPr>
  </w:style>
  <w:style w:type="paragraph" w:styleId="NormalWeb">
    <w:name w:val="Normal (Web)"/>
    <w:basedOn w:val="Normal"/>
    <w:uiPriority w:val="99"/>
    <w:semiHidden/>
    <w:unhideWhenUsed/>
    <w:rsid w:val="001D388D"/>
    <w:pPr>
      <w:spacing w:before="100" w:beforeAutospacing="1" w:after="100" w:afterAutospacing="1" w:line="240" w:lineRule="auto"/>
    </w:pPr>
    <w:rPr>
      <w:rFonts w:ascii="Times New Roman" w:eastAsia="Times New Roman" w:hAnsi="Times New Roman" w:cs="Times New Roman"/>
      <w:szCs w:val="24"/>
    </w:rPr>
  </w:style>
  <w:style w:type="table" w:styleId="PlainTable2">
    <w:name w:val="Plain Table 2"/>
    <w:basedOn w:val="TableNormal"/>
    <w:uiPriority w:val="42"/>
    <w:rsid w:val="001D38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D388D"/>
    <w:rPr>
      <w:color w:val="808080"/>
    </w:rPr>
  </w:style>
  <w:style w:type="table" w:styleId="TableGrid">
    <w:name w:val="Table Grid"/>
    <w:basedOn w:val="TableNormal"/>
    <w:uiPriority w:val="39"/>
    <w:rsid w:val="00F96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963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A608D"/>
    <w:rPr>
      <w:color w:val="0563C1" w:themeColor="hyperlink"/>
      <w:u w:val="single"/>
    </w:rPr>
  </w:style>
  <w:style w:type="character" w:styleId="UnresolvedMention">
    <w:name w:val="Unresolved Mention"/>
    <w:basedOn w:val="DefaultParagraphFont"/>
    <w:uiPriority w:val="99"/>
    <w:semiHidden/>
    <w:unhideWhenUsed/>
    <w:rsid w:val="008A608D"/>
    <w:rPr>
      <w:color w:val="605E5C"/>
      <w:shd w:val="clear" w:color="auto" w:fill="E1DFDD"/>
    </w:rPr>
  </w:style>
  <w:style w:type="character" w:styleId="CommentReference">
    <w:name w:val="annotation reference"/>
    <w:basedOn w:val="DefaultParagraphFont"/>
    <w:uiPriority w:val="99"/>
    <w:semiHidden/>
    <w:unhideWhenUsed/>
    <w:rsid w:val="002C16F4"/>
    <w:rPr>
      <w:sz w:val="16"/>
      <w:szCs w:val="16"/>
    </w:rPr>
  </w:style>
  <w:style w:type="paragraph" w:styleId="CommentText">
    <w:name w:val="annotation text"/>
    <w:basedOn w:val="Normal"/>
    <w:link w:val="CommentTextChar"/>
    <w:uiPriority w:val="99"/>
    <w:unhideWhenUsed/>
    <w:rsid w:val="002C16F4"/>
    <w:pPr>
      <w:spacing w:line="240" w:lineRule="auto"/>
    </w:pPr>
    <w:rPr>
      <w:sz w:val="20"/>
      <w:szCs w:val="20"/>
    </w:rPr>
  </w:style>
  <w:style w:type="character" w:customStyle="1" w:styleId="CommentTextChar">
    <w:name w:val="Comment Text Char"/>
    <w:basedOn w:val="DefaultParagraphFont"/>
    <w:link w:val="CommentText"/>
    <w:uiPriority w:val="99"/>
    <w:rsid w:val="002C16F4"/>
    <w:rPr>
      <w:rFonts w:ascii="Arial" w:hAnsi="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C16F4"/>
    <w:rPr>
      <w:b/>
      <w:bCs/>
    </w:rPr>
  </w:style>
  <w:style w:type="character" w:customStyle="1" w:styleId="CommentSubjectChar">
    <w:name w:val="Comment Subject Char"/>
    <w:basedOn w:val="CommentTextChar"/>
    <w:link w:val="CommentSubject"/>
    <w:uiPriority w:val="99"/>
    <w:semiHidden/>
    <w:rsid w:val="002C16F4"/>
    <w:rPr>
      <w:rFonts w:ascii="Arial" w:hAnsi="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7902">
      <w:bodyDiv w:val="1"/>
      <w:marLeft w:val="0"/>
      <w:marRight w:val="0"/>
      <w:marTop w:val="0"/>
      <w:marBottom w:val="0"/>
      <w:divBdr>
        <w:top w:val="none" w:sz="0" w:space="0" w:color="auto"/>
        <w:left w:val="none" w:sz="0" w:space="0" w:color="auto"/>
        <w:bottom w:val="none" w:sz="0" w:space="0" w:color="auto"/>
        <w:right w:val="none" w:sz="0" w:space="0" w:color="auto"/>
      </w:divBdr>
      <w:divsChild>
        <w:div w:id="1316225907">
          <w:marLeft w:val="0"/>
          <w:marRight w:val="0"/>
          <w:marTop w:val="0"/>
          <w:marBottom w:val="0"/>
          <w:divBdr>
            <w:top w:val="none" w:sz="0" w:space="0" w:color="auto"/>
            <w:left w:val="none" w:sz="0" w:space="0" w:color="auto"/>
            <w:bottom w:val="none" w:sz="0" w:space="0" w:color="auto"/>
            <w:right w:val="none" w:sz="0" w:space="0" w:color="auto"/>
          </w:divBdr>
          <w:divsChild>
            <w:div w:id="1280449036">
              <w:marLeft w:val="0"/>
              <w:marRight w:val="0"/>
              <w:marTop w:val="0"/>
              <w:marBottom w:val="0"/>
              <w:divBdr>
                <w:top w:val="none" w:sz="0" w:space="0" w:color="auto"/>
                <w:left w:val="none" w:sz="0" w:space="0" w:color="auto"/>
                <w:bottom w:val="none" w:sz="0" w:space="0" w:color="auto"/>
                <w:right w:val="none" w:sz="0" w:space="0" w:color="auto"/>
              </w:divBdr>
              <w:divsChild>
                <w:div w:id="243144918">
                  <w:marLeft w:val="0"/>
                  <w:marRight w:val="0"/>
                  <w:marTop w:val="0"/>
                  <w:marBottom w:val="0"/>
                  <w:divBdr>
                    <w:top w:val="none" w:sz="0" w:space="0" w:color="auto"/>
                    <w:left w:val="none" w:sz="0" w:space="0" w:color="auto"/>
                    <w:bottom w:val="none" w:sz="0" w:space="0" w:color="auto"/>
                    <w:right w:val="none" w:sz="0" w:space="0" w:color="auto"/>
                  </w:divBdr>
                  <w:divsChild>
                    <w:div w:id="1749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s://osf.io/knajb/"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My%20Documents\Custom%20Office%20Templates\Normal%20-%20no%20numbe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fc37e71-6ceb-4805-8d82-a5133c1b297a">
      <Terms xmlns="http://schemas.microsoft.com/office/infopath/2007/PartnerControls"/>
    </lcf76f155ced4ddcb4097134ff3c332f>
    <TaxCatchAll xmlns="3e226327-9260-42c8-a426-3418972299b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7361F34151AD4CB4937C35094C3086" ma:contentTypeVersion="16" ma:contentTypeDescription="Create a new document." ma:contentTypeScope="" ma:versionID="56e925be9e533fd96456808a7bde2a66">
  <xsd:schema xmlns:xsd="http://www.w3.org/2001/XMLSchema" xmlns:xs="http://www.w3.org/2001/XMLSchema" xmlns:p="http://schemas.microsoft.com/office/2006/metadata/properties" xmlns:ns2="dfc37e71-6ceb-4805-8d82-a5133c1b297a" xmlns:ns3="3e226327-9260-42c8-a426-3418972299bd" targetNamespace="http://schemas.microsoft.com/office/2006/metadata/properties" ma:root="true" ma:fieldsID="5dfed0227e5268795af403c2a89ca829" ns2:_="" ns3:_="">
    <xsd:import namespace="dfc37e71-6ceb-4805-8d82-a5133c1b297a"/>
    <xsd:import namespace="3e226327-9260-42c8-a426-3418972299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37e71-6ceb-4805-8d82-a5133c1b2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26327-9260-42c8-a426-3418972299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d7e00c-764f-4549-9653-673e97245d2c}" ma:internalName="TaxCatchAll" ma:showField="CatchAllData" ma:web="3e226327-9260-42c8-a426-3418972299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73AD8-BFE4-45F6-B845-0C07472DEED2}">
  <ds:schemaRefs>
    <ds:schemaRef ds:uri="http://schemas.microsoft.com/office/2006/metadata/properties"/>
    <ds:schemaRef ds:uri="http://schemas.microsoft.com/office/infopath/2007/PartnerControls"/>
    <ds:schemaRef ds:uri="dfc37e71-6ceb-4805-8d82-a5133c1b297a"/>
    <ds:schemaRef ds:uri="3e226327-9260-42c8-a426-3418972299bd"/>
  </ds:schemaRefs>
</ds:datastoreItem>
</file>

<file path=customXml/itemProps2.xml><?xml version="1.0" encoding="utf-8"?>
<ds:datastoreItem xmlns:ds="http://schemas.openxmlformats.org/officeDocument/2006/customXml" ds:itemID="{464CF269-ECC7-4299-A8AA-77BF6D44A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37e71-6ceb-4805-8d82-a5133c1b297a"/>
    <ds:schemaRef ds:uri="3e226327-9260-42c8-a426-341897229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910BB5-AFEB-4397-B91C-251494920F42}">
  <ds:schemaRefs>
    <ds:schemaRef ds:uri="http://schemas.microsoft.com/sharepoint/v3/contenttype/forms"/>
  </ds:schemaRefs>
</ds:datastoreItem>
</file>

<file path=customXml/itemProps4.xml><?xml version="1.0" encoding="utf-8"?>
<ds:datastoreItem xmlns:ds="http://schemas.openxmlformats.org/officeDocument/2006/customXml" ds:itemID="{802C8065-92E9-4601-8620-9D5235BE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no numbers.dotm</Template>
  <TotalTime>14</TotalTime>
  <Pages>11</Pages>
  <Words>12372</Words>
  <Characters>70526</Characters>
  <Application>Microsoft Office Word</Application>
  <DocSecurity>0</DocSecurity>
  <Lines>587</Lines>
  <Paragraphs>165</Paragraphs>
  <ScaleCrop>false</ScaleCrop>
  <Company/>
  <LinksUpToDate>false</LinksUpToDate>
  <CharactersWithSpaces>82733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Baxter</dc:creator>
  <cp:keywords/>
  <dc:description/>
  <cp:lastModifiedBy>Andy Baxter</cp:lastModifiedBy>
  <cp:revision>3</cp:revision>
  <dcterms:created xsi:type="dcterms:W3CDTF">2023-09-07T10:32:00Z</dcterms:created>
  <dcterms:modified xsi:type="dcterms:W3CDTF">2023-10-11T11:36:00Z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http://csl.mendeley.com/styles/481764751/harvard-cite-them-right</vt:lpwstr>
  </property>
  <property fmtid="{D5CDD505-2E9C-101B-9397-08002B2CF9AE}" pid="9" name="Mendeley Recent Style Name 3_1">
    <vt:lpwstr>Cite Them Right 10th edition - Harvard - Andrew Baxter</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Citation Style_1">
    <vt:lpwstr>http://csl.mendeley.com/styles/481764751/harvard-cite-them-right</vt:lpwstr>
  </property>
  <property fmtid="{D5CDD505-2E9C-101B-9397-08002B2CF9AE}" pid="24" name="Mendeley Unique User Id_1">
    <vt:lpwstr>f0d5138d-1ac7-397c-94b7-3b1ff177732f</vt:lpwstr>
  </property>
  <property fmtid="{D5CDD505-2E9C-101B-9397-08002B2CF9AE}" pid="25" name="MediaServiceImageTags">
    <vt:lpwstr/>
  </property>
  <property fmtid="{D5CDD505-2E9C-101B-9397-08002B2CF9AE}" pid="26" name="ContentTypeId">
    <vt:lpwstr>0x010100FC7361F34151AD4CB4937C35094C3086</vt:lpwstr>
  </property>
</Properties>
</file>