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37B2" w14:textId="5E8D3F0B" w:rsidR="005D7E06" w:rsidRDefault="0027308B" w:rsidP="0027308B">
      <w:pPr>
        <w:pStyle w:val="Title"/>
      </w:pPr>
      <w:r>
        <w:t>Examining the mental health impacts of Universal Credit, treating phased rollout as a natural experiment</w:t>
      </w:r>
    </w:p>
    <w:p w14:paraId="1AB37CB2" w14:textId="77777777" w:rsidR="0027308B" w:rsidRDefault="0027308B" w:rsidP="0027308B">
      <w:pPr>
        <w:pStyle w:val="Body"/>
      </w:pPr>
      <w:r>
        <w:t xml:space="preserve">Andy Baxter, </w:t>
      </w:r>
      <w:r w:rsidRPr="007433CF">
        <w:t>Sophie Wickham</w:t>
      </w:r>
      <w:r>
        <w:t xml:space="preserve">, Mandy Cheetham, Emma Coombes, Clare Bambra, David Taylor-Robinson, Luke Munford, </w:t>
      </w:r>
      <w:r w:rsidRPr="00D16943">
        <w:t>Huasheng Xiang</w:t>
      </w:r>
      <w:r>
        <w:t>, Mattheo Richiardi, Heather Brown, Matthew Sutton, Benjamin Barr, Vittal Katikireddi, Peter Craig</w:t>
      </w:r>
      <w:r w:rsidRPr="007433CF">
        <w:t xml:space="preserve"> </w:t>
      </w:r>
    </w:p>
    <w:p w14:paraId="46DDA31F" w14:textId="5C15026D" w:rsidR="006268BB" w:rsidRDefault="006268BB" w:rsidP="006268BB">
      <w:pPr>
        <w:pStyle w:val="Heading1"/>
      </w:pPr>
      <w:r>
        <w:t>Abstract</w:t>
      </w:r>
    </w:p>
    <w:p w14:paraId="1B394ADB" w14:textId="5A47B399" w:rsidR="006268BB" w:rsidRDefault="007708C5" w:rsidP="008E301D">
      <w:pPr>
        <w:pStyle w:val="Heading4"/>
      </w:pPr>
      <w:r>
        <w:t>Background</w:t>
      </w:r>
    </w:p>
    <w:p w14:paraId="50FB9865" w14:textId="79E004A3" w:rsidR="008E301D" w:rsidRPr="008E301D" w:rsidRDefault="003475C8" w:rsidP="008E301D">
      <w:pPr>
        <w:pStyle w:val="Body"/>
      </w:pPr>
      <w:r>
        <w:t xml:space="preserve">Universal Credit was rolled out across the UK as a benefit system to </w:t>
      </w:r>
      <w:r w:rsidR="00234AAC">
        <w:t xml:space="preserve">replace six existing benefits. </w:t>
      </w:r>
      <w:r w:rsidR="0036749D">
        <w:t xml:space="preserve">It aimed to consolidate </w:t>
      </w:r>
      <w:r w:rsidR="00E26EFE">
        <w:t xml:space="preserve">and simplify </w:t>
      </w:r>
      <w:r w:rsidR="0036749D">
        <w:t>benefit claim systems</w:t>
      </w:r>
      <w:r w:rsidR="00E26EFE">
        <w:t xml:space="preserve"> and</w:t>
      </w:r>
      <w:r w:rsidR="0036749D">
        <w:t xml:space="preserve"> encourage more claimants into work</w:t>
      </w:r>
      <w:r w:rsidR="00E26EFE">
        <w:t xml:space="preserve">. </w:t>
      </w:r>
      <w:r w:rsidR="00DC6833">
        <w:t xml:space="preserve">Key changes from legacy benefit systems may be </w:t>
      </w:r>
      <w:r w:rsidR="008D7F64">
        <w:t xml:space="preserve">harmful to the mental health of claimants, or conversely, the </w:t>
      </w:r>
      <w:r w:rsidR="005A4B7E">
        <w:t xml:space="preserve">push towards work may have beneficial effects. We aimed to test the causal effects of Universal Credit compared to legacy benefit systems, treating the phased rollout as a </w:t>
      </w:r>
      <w:r w:rsidR="00707B6A">
        <w:t>natural experiment.</w:t>
      </w:r>
    </w:p>
    <w:p w14:paraId="28B0AD86" w14:textId="6A639AF8" w:rsidR="007708C5" w:rsidRDefault="007708C5" w:rsidP="008E301D">
      <w:pPr>
        <w:pStyle w:val="Heading4"/>
      </w:pPr>
      <w:r>
        <w:t>Methods</w:t>
      </w:r>
    </w:p>
    <w:p w14:paraId="741363A9" w14:textId="669D5B38" w:rsidR="003475C8" w:rsidRPr="003475C8" w:rsidRDefault="00707B6A" w:rsidP="003475C8">
      <w:pPr>
        <w:pStyle w:val="Body"/>
      </w:pPr>
      <w:r>
        <w:t xml:space="preserve">We used difference-in-differences methods to test for changes in mental health and well-being using the measures of life satisfaction, happiness, anxiety and </w:t>
      </w:r>
      <w:r w:rsidR="00FC07D5">
        <w:t>whether respondents felt their lives were worthwhile</w:t>
      </w:r>
      <w:r w:rsidR="00AC072D">
        <w:t xml:space="preserve"> reported in the Annual Population Survey. We compared as-yet-untreated areas with UC-rollout areas by month across the </w:t>
      </w:r>
      <w:r w:rsidR="00C05E9C">
        <w:t xml:space="preserve">natural migration phase. We conducted subgroup analyses to test for </w:t>
      </w:r>
      <w:r w:rsidR="00E03BBF">
        <w:t>differential harms by claimant types and other vulnerabilities.</w:t>
      </w:r>
    </w:p>
    <w:p w14:paraId="60AAD85F" w14:textId="27440356" w:rsidR="007708C5" w:rsidRDefault="007708C5" w:rsidP="008E301D">
      <w:pPr>
        <w:pStyle w:val="Heading4"/>
      </w:pPr>
      <w:r>
        <w:t>Findings</w:t>
      </w:r>
    </w:p>
    <w:p w14:paraId="78AEC188" w14:textId="77777777" w:rsidR="003475C8" w:rsidRPr="003475C8" w:rsidRDefault="003475C8" w:rsidP="003475C8">
      <w:pPr>
        <w:pStyle w:val="Body"/>
      </w:pPr>
    </w:p>
    <w:p w14:paraId="0C1246F2" w14:textId="61A2075F" w:rsidR="007708C5" w:rsidRDefault="007708C5" w:rsidP="008E301D">
      <w:pPr>
        <w:pStyle w:val="Heading4"/>
      </w:pPr>
      <w:r>
        <w:t>Interpretation</w:t>
      </w:r>
    </w:p>
    <w:p w14:paraId="2C40BC52" w14:textId="77777777" w:rsidR="003475C8" w:rsidRPr="003475C8" w:rsidRDefault="003475C8" w:rsidP="003475C8">
      <w:pPr>
        <w:pStyle w:val="Body"/>
      </w:pPr>
    </w:p>
    <w:p w14:paraId="7C102EEA" w14:textId="25BAEC88" w:rsidR="007708C5" w:rsidRDefault="007708C5" w:rsidP="008E301D">
      <w:pPr>
        <w:pStyle w:val="Heading4"/>
      </w:pPr>
      <w:r>
        <w:t>Funding</w:t>
      </w:r>
    </w:p>
    <w:p w14:paraId="6A9F6A18" w14:textId="47A171FF" w:rsidR="008E301D" w:rsidRPr="006268BB" w:rsidRDefault="008E301D" w:rsidP="006268BB">
      <w:pPr>
        <w:pStyle w:val="Body"/>
      </w:pPr>
      <w:r w:rsidRPr="008E301D">
        <w:t>This research is supported by the UK National Institute of Health Research Public Health Research Programme, grant number NIHR131709.</w:t>
      </w:r>
    </w:p>
    <w:p w14:paraId="1F2135F9" w14:textId="036344FE" w:rsidR="0027308B" w:rsidRDefault="000323F6" w:rsidP="0027308B">
      <w:pPr>
        <w:pStyle w:val="Heading1"/>
      </w:pPr>
      <w:r>
        <w:lastRenderedPageBreak/>
        <w:t>Introduction</w:t>
      </w:r>
    </w:p>
    <w:p w14:paraId="7C4B91EC" w14:textId="08392CFE" w:rsidR="00386D1E" w:rsidRDefault="000F6A84" w:rsidP="000F6A84">
      <w:pPr>
        <w:pStyle w:val="Body"/>
      </w:pPr>
      <w:r>
        <w:t xml:space="preserve">Universal Credit </w:t>
      </w:r>
      <w:r w:rsidR="00E0322D">
        <w:t xml:space="preserve">(UC) </w:t>
      </w:r>
      <w:r w:rsidR="00667400">
        <w:t>was introduced as a</w:t>
      </w:r>
      <w:r w:rsidR="003544E6">
        <w:t xml:space="preserve"> new,</w:t>
      </w:r>
      <w:r w:rsidR="00667400">
        <w:t xml:space="preserve"> replacement benefit system, combining multiple </w:t>
      </w:r>
      <w:r w:rsidR="00CA7F72">
        <w:t>prior benefits into a single application and award scheme.</w:t>
      </w:r>
      <w:r w:rsidR="00E2682F">
        <w:t xml:space="preserve"> Rollout began in 2013 </w:t>
      </w:r>
      <w:r w:rsidR="009963E7">
        <w:t xml:space="preserve">and aimed to gradually migrate all claimants of a ‘legacy benefit’ </w:t>
      </w:r>
      <w:r w:rsidR="00B36966">
        <w:t>–</w:t>
      </w:r>
      <w:r w:rsidR="009963E7">
        <w:t xml:space="preserve"> </w:t>
      </w:r>
      <w:r w:rsidR="00B36966">
        <w:t xml:space="preserve">Job Seekers Allowance, Working Tax Credit, Child Tax Credit, Housing Benefit, </w:t>
      </w:r>
      <w:r w:rsidR="00FE31E4">
        <w:t>Income Support Allowance</w:t>
      </w:r>
      <w:r w:rsidR="00864085">
        <w:t>,</w:t>
      </w:r>
      <w:r w:rsidR="00FE31E4">
        <w:t xml:space="preserve"> </w:t>
      </w:r>
      <w:r w:rsidR="003544E6">
        <w:t>or</w:t>
      </w:r>
      <w:r w:rsidR="00FE31E4">
        <w:t xml:space="preserve"> Income-based </w:t>
      </w:r>
      <w:r w:rsidR="00B36966">
        <w:t>Employment Support Allowance</w:t>
      </w:r>
      <w:r w:rsidR="00A50C99">
        <w:t xml:space="preserve"> – to </w:t>
      </w:r>
      <w:r w:rsidR="0099531D">
        <w:t xml:space="preserve">the new claims system </w:t>
      </w:r>
      <w:r w:rsidR="00123482">
        <w:fldChar w:fldCharType="begin" w:fldLock="1"/>
      </w:r>
      <w:r w:rsidR="003F2B2D">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Credit","type":"report"},"uris":["http://www.mendeley.com/documents/?uuid=b3bab0e1-0a93-3537-b130-204372703eb3"]}],"mendeley":{"formattedCitation":"(National Audit Office, 2018; Department for Work &amp; Pensions, 2022a)","plainTextFormattedCitation":"(National Audit Office, 2018; Department for Work &amp; Pensions, 2022a)","previouslyFormattedCitation":"(National Audit Office, 2018; Department for Work &amp; Pensions, 2022a)"},"properties":{"noteIndex":0},"schema":"https://github.com/citation-style-language/schema/raw/master/csl-citation.json"}</w:instrText>
      </w:r>
      <w:r w:rsidR="00123482">
        <w:fldChar w:fldCharType="separate"/>
      </w:r>
      <w:r w:rsidR="00E740AA" w:rsidRPr="00E740AA">
        <w:rPr>
          <w:noProof/>
        </w:rPr>
        <w:t>(National Audit Office, 2018; Department for Work &amp; Pensions, 2022a)</w:t>
      </w:r>
      <w:r w:rsidR="00123482">
        <w:fldChar w:fldCharType="end"/>
      </w:r>
      <w:r w:rsidR="009868D8">
        <w:t>.</w:t>
      </w:r>
      <w:r w:rsidR="00E0322D">
        <w:t xml:space="preserve"> The UC system, in comparison wit</w:t>
      </w:r>
      <w:r w:rsidR="008C7EEC">
        <w:t>h the legacy systems, is</w:t>
      </w:r>
      <w:r w:rsidR="00AB2A68">
        <w:t xml:space="preserve"> designed as a fully online application and claim-handling sy</w:t>
      </w:r>
      <w:r w:rsidR="002F5BCC">
        <w:t>stem</w:t>
      </w:r>
      <w:r w:rsidR="002C16F4">
        <w:t>. It</w:t>
      </w:r>
      <w:r w:rsidR="001332F5">
        <w:t xml:space="preserve"> aims to encourage more claimants into work by setting </w:t>
      </w:r>
      <w:r w:rsidR="00785AED">
        <w:t>eligibility criteria</w:t>
      </w:r>
      <w:r w:rsidR="002C16F4">
        <w:t>,</w:t>
      </w:r>
      <w:r w:rsidR="00785AED">
        <w:t xml:space="preserve"> introducing a </w:t>
      </w:r>
      <w:r w:rsidR="002D1E15">
        <w:t>single ‘taper’ on awards as income increases</w:t>
      </w:r>
      <w:r w:rsidR="004B3F4D">
        <w:t>, and mak</w:t>
      </w:r>
      <w:r w:rsidR="003A2864">
        <w:t>ing</w:t>
      </w:r>
      <w:r w:rsidR="004B3F4D">
        <w:t xml:space="preserve"> payments in lieu of each claim month, mimicking</w:t>
      </w:r>
      <w:r w:rsidR="00D32D91">
        <w:t xml:space="preserve"> salary payments</w:t>
      </w:r>
      <w:r w:rsidR="00E740AA">
        <w:t xml:space="preserve"> </w:t>
      </w:r>
      <w:r w:rsidR="00E740AA">
        <w:fldChar w:fldCharType="begin" w:fldLock="1"/>
      </w:r>
      <w:r w:rsidR="009B758E">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id":"ITEM-2","itemData":{"URL":"https://www.gov.uk/government/publications/universal-credit-and-your-claimant-commitment-quick-guide/universal-credit-and-your-claimant-commitment","accessed":{"date-parts":[["2022","12","21"]]},"author":[{"dropping-particle":"","family":"Department for Work &amp; Pensions","given":"","non-dropping-particle":"","parse-names":false,"suffix":""}],"container-title":"GOV.UK Guidance","id":"ITEM-2","issued":{"date-parts":[["2022","4","4"]]},"title":"Universal Credit and your claimant commitment","type":"webpage"},"uris":["http://www.mendeley.com/documents/?uuid=75ab6c82-433c-3e09-8cdb-c8197704d367"]},{"id":"ITEM-3","itemData":{"DOI":"10.1016/S2468-2667(20)30026-8","ISSN":"24682667","PMID":"32113519","abstract":"Background: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Health","id":"ITEM-3","issue":"3","issued":{"date-parts":[["2020","3","1"]]},"page":"e157-e164","publisher":"Elsevier Ltd","title":"Effects on mental health of a UK welfare reform, Universal Credit: a longitudinal controlled study","type":"article-journal","volume":"5"},"uris":["http://www.mendeley.com/documents/?uuid=f9507852-a501-359c-9116-ef463108e547"]}],"mendeley":{"formattedCitation":"(Wickham &lt;i&gt;et al.&lt;/i&gt;, 2020; Department for Work &amp; Pensions, 2022a, 2022b)","plainTextFormattedCitation":"(Wickham et al., 2020; Department for Work &amp; Pensions, 2022a, 2022b)","previouslyFormattedCitation":"(Wickham &lt;i&gt;et al.&lt;/i&gt;, 2020; Department for Work &amp; Pensions, 2022a, 2022b)"},"properties":{"noteIndex":0},"schema":"https://github.com/citation-style-language/schema/raw/master/csl-citation.json"}</w:instrText>
      </w:r>
      <w:r w:rsidR="00E740AA">
        <w:fldChar w:fldCharType="separate"/>
      </w:r>
      <w:r w:rsidR="00E740AA" w:rsidRPr="00E740AA">
        <w:rPr>
          <w:noProof/>
        </w:rPr>
        <w:t xml:space="preserve">(Wickham </w:t>
      </w:r>
      <w:r w:rsidR="00E740AA" w:rsidRPr="00E740AA">
        <w:rPr>
          <w:i/>
          <w:noProof/>
        </w:rPr>
        <w:t>et al.</w:t>
      </w:r>
      <w:r w:rsidR="00E740AA" w:rsidRPr="00E740AA">
        <w:rPr>
          <w:noProof/>
        </w:rPr>
        <w:t>, 2020; Department for Work &amp; Pensions, 2022a, 2022b)</w:t>
      </w:r>
      <w:r w:rsidR="00E740AA">
        <w:fldChar w:fldCharType="end"/>
      </w:r>
      <w:r w:rsidR="00B23342">
        <w:t>.</w:t>
      </w:r>
    </w:p>
    <w:p w14:paraId="50B8D1A7" w14:textId="7D377116" w:rsidR="00CA7F72" w:rsidRDefault="00B2686F" w:rsidP="000F6A84">
      <w:pPr>
        <w:pStyle w:val="Body"/>
      </w:pPr>
      <w:r>
        <w:t xml:space="preserve">The change to </w:t>
      </w:r>
      <w:r w:rsidR="00CA7F72">
        <w:t xml:space="preserve">Universal Credit may have </w:t>
      </w:r>
      <w:r w:rsidR="00CE7169">
        <w:t xml:space="preserve">negatively </w:t>
      </w:r>
      <w:r w:rsidR="00CA7F72">
        <w:t xml:space="preserve">affected the health and wellbeing of </w:t>
      </w:r>
      <w:r w:rsidR="009E0174">
        <w:t>some benefit recipients</w:t>
      </w:r>
      <w:r w:rsidR="00BE7C10">
        <w:t xml:space="preserve"> </w:t>
      </w:r>
      <w:r w:rsidR="003F2B2D">
        <w:fldChar w:fldCharType="begin" w:fldLock="1"/>
      </w:r>
      <w:r w:rsidR="009B758E">
        <w:instrText>ADDIN CSL_CITATION {"citationItems":[{"id":"ITEM-1","itemData":{"DOI":"10.1016/S2468-2667(20)30026-8","ISSN":"24682667","PMID":"32113519","abstract":"Background: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Health","id":"ITEM-1","issue":"3","issued":{"date-parts":[["2020","3","1"]]},"page":"e157-e164","publisher":"Elsevier Ltd","title":"Effects on mental health of a UK welfare reform, Universal Credit: a longitudinal controlled study","type":"article-journal","volume":"5"},"uris":["http://www.mendeley.com/documents/?uuid=f9507852-a501-359c-9116-ef463108e547"]},{"id":"ITEM-2","itemData":{"abstract":"The UK Universal Credit (UC) welfare reform simplified the benefits system whilst strongly incentivising a return to sustainable employment. Exploiting a staggered roll-out, we estimate the differential effect of entering unemployment under UC versus the former system on mental health. Groups with fewer insurance possibilities - single adults and lone parents – experience a mental health deterioration of 8.4-13.9\\% sd. For couples, UC partially or fully mitigates mental health consequences of unemployment. Exploring mechanisms, for single adults and lone parents, reduced benefit income and strict job search requirements dominate any positive welfare effects of the reduced administrative burden of claiming benefits.","author":[{"dropping-particle":"","family":"Brewer","given":"Mike","non-dropping-particle":"","parse-names":false,"suffix":""},{"dropping-particle":"","family":"Dang","given":"Thang","non-dropping-particle":"","parse-names":false,"suffix":""},{"dropping-particle":"","family":"Tominey","given":"Emma","non-dropping-particle":"","parse-names":false,"suffix":""}],"id":"ITEM-2","issue":"15178","issued":{"date-parts":[["2022","3"]]},"title":"Universal Credit: Welfare Reform and Mental Health","type":"report"},"uris":["http://www.mendeley.com/documents/?uuid=2b368ddc-1818-48f6-8735-0398cb2f2bb0"]}],"mendeley":{"formattedCitation":"(Wickham &lt;i&gt;et al.&lt;/i&gt;, 2020; Brewer, Dang and Tominey, 2022)","plainTextFormattedCitation":"(Wickham et al., 2020; Brewer, Dang and Tominey, 2022)","previouslyFormattedCitation":"(Wickham &lt;i&gt;et al.&lt;/i&gt;, 2020; Brewer, Dang and Tominey, 2022)"},"properties":{"noteIndex":0},"schema":"https://github.com/citation-style-language/schema/raw/master/csl-citation.json"}</w:instrText>
      </w:r>
      <w:r w:rsidR="003F2B2D">
        <w:fldChar w:fldCharType="separate"/>
      </w:r>
      <w:r w:rsidR="003F2B2D" w:rsidRPr="003F2B2D">
        <w:rPr>
          <w:noProof/>
        </w:rPr>
        <w:t xml:space="preserve">(Wickham </w:t>
      </w:r>
      <w:r w:rsidR="003F2B2D" w:rsidRPr="003F2B2D">
        <w:rPr>
          <w:i/>
          <w:noProof/>
        </w:rPr>
        <w:t>et al.</w:t>
      </w:r>
      <w:r w:rsidR="003F2B2D" w:rsidRPr="003F2B2D">
        <w:rPr>
          <w:noProof/>
        </w:rPr>
        <w:t>, 2020; Brewer, Dang and Tominey, 2022)</w:t>
      </w:r>
      <w:r w:rsidR="003F2B2D">
        <w:fldChar w:fldCharType="end"/>
      </w:r>
      <w:r>
        <w:t>.</w:t>
      </w:r>
      <w:r w:rsidR="00BE7C10">
        <w:t xml:space="preserve"> </w:t>
      </w:r>
      <w:r w:rsidR="00CF0085">
        <w:t>Waits</w:t>
      </w:r>
      <w:r w:rsidR="007C6B5A">
        <w:t xml:space="preserve"> for</w:t>
      </w:r>
      <w:r w:rsidR="00547D9F">
        <w:t xml:space="preserve"> first payments</w:t>
      </w:r>
      <w:r w:rsidR="00C13A96">
        <w:t xml:space="preserve"> –</w:t>
      </w:r>
      <w:r w:rsidR="00836D1E">
        <w:t xml:space="preserve"> </w:t>
      </w:r>
      <w:r w:rsidR="006378BF">
        <w:t>with</w:t>
      </w:r>
      <w:r w:rsidR="00836D1E">
        <w:t xml:space="preserve"> the minimum 5-week assessment period</w:t>
      </w:r>
      <w:r w:rsidR="00F66700">
        <w:t xml:space="preserve"> plus </w:t>
      </w:r>
      <w:r w:rsidR="00871DFC">
        <w:t>administrative delay</w:t>
      </w:r>
      <w:r w:rsidR="00F93103">
        <w:t>s</w:t>
      </w:r>
      <w:r w:rsidR="006378BF">
        <w:t xml:space="preserve"> resulting in up to a 12-week wait </w:t>
      </w:r>
      <w:r w:rsidR="006378BF">
        <w:fldChar w:fldCharType="begin" w:fldLock="1"/>
      </w:r>
      <w:r w:rsidR="00A1238F">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staff","type":"article-journal","volume":"9"},"uris":["http://www.mendeley.com/documents/?uuid=8301028f-0e0f-3679-a1db-d8a094d5113f"]}],"mendeley":{"formattedCitation":"(National Audit Office, 2018; Cheetham &lt;i&gt;et al.&lt;/i&gt;, 2019)","plainTextFormattedCitation":"(National Audit Office, 2018; Cheetham et al., 2019)","previouslyFormattedCitation":"(National Audit Office, 2018; Cheetham &lt;i&gt;et al.&lt;/i&gt;, 2019)"},"properties":{"noteIndex":0},"schema":"https://github.com/citation-style-language/schema/raw/master/csl-citation.json"}</w:instrText>
      </w:r>
      <w:r w:rsidR="006378BF">
        <w:fldChar w:fldCharType="separate"/>
      </w:r>
      <w:r w:rsidR="006378BF" w:rsidRPr="006378BF">
        <w:rPr>
          <w:noProof/>
        </w:rPr>
        <w:t xml:space="preserve">(National Audit Office, 2018; Cheetham </w:t>
      </w:r>
      <w:r w:rsidR="006378BF" w:rsidRPr="006378BF">
        <w:rPr>
          <w:i/>
          <w:noProof/>
        </w:rPr>
        <w:t>et al.</w:t>
      </w:r>
      <w:r w:rsidR="006378BF" w:rsidRPr="006378BF">
        <w:rPr>
          <w:noProof/>
        </w:rPr>
        <w:t>, 2019)</w:t>
      </w:r>
      <w:r w:rsidR="006378BF">
        <w:fldChar w:fldCharType="end"/>
      </w:r>
      <w:r w:rsidR="00836D1E">
        <w:t xml:space="preserve"> – </w:t>
      </w:r>
      <w:r w:rsidR="00713141">
        <w:t>may be a potential cause of distre</w:t>
      </w:r>
      <w:r w:rsidR="00C13A96">
        <w:t>ss</w:t>
      </w:r>
      <w:r w:rsidR="00D33B17">
        <w:t xml:space="preserve"> in low-income households</w:t>
      </w:r>
      <w:r w:rsidR="00931AD6">
        <w:t xml:space="preserve">. Incurred debt and ongoing </w:t>
      </w:r>
      <w:r w:rsidR="00A1238F">
        <w:t xml:space="preserve">struggles to keep up with payments may prolong this effect beyond the initial months </w:t>
      </w:r>
      <w:r w:rsidR="00A1238F">
        <w:fldChar w:fldCharType="begin" w:fldLock="1"/>
      </w:r>
      <w:r w:rsidR="00740A1F">
        <w:instrText>ADDIN CSL_CITATION {"citationItems":[{"id":"ITEM-1","itemData":{"ISBN":"978-1-5286-0490-1","abstract":"Research Report 958.","author":[{"dropping-particle":"","family":"Department for Work &amp; Pensions","given":"","non-dropping-particle":"","parse-names":false,"suffix":""}],"id":"ITEM-1","issued":{"date-parts":[["2018","6"]]},"title":"Universal Credit Full Service Survey","type":"report"},"uris":["http://www.mendeley.com/documents/?uuid=fe568d15-bca8-3c79-94b3-50bdd7d56ea9"]}],"mendeley":{"formattedCitation":"(Department for Work &amp; Pensions, 2018a)","plainTextFormattedCitation":"(Department for Work &amp; Pensions, 2018a)","previouslyFormattedCitation":"(Department for Work &amp; Pensions, 2018a)"},"properties":{"noteIndex":0},"schema":"https://github.com/citation-style-language/schema/raw/master/csl-citation.json"}</w:instrText>
      </w:r>
      <w:r w:rsidR="00A1238F">
        <w:fldChar w:fldCharType="separate"/>
      </w:r>
      <w:r w:rsidR="00A1238F" w:rsidRPr="00A1238F">
        <w:rPr>
          <w:noProof/>
        </w:rPr>
        <w:t>(Department for Work &amp; Pensions, 2018a)</w:t>
      </w:r>
      <w:r w:rsidR="00A1238F">
        <w:fldChar w:fldCharType="end"/>
      </w:r>
      <w:r w:rsidR="00CD050A">
        <w:t>.</w:t>
      </w:r>
      <w:r w:rsidR="003077F0" w:rsidRPr="003077F0">
        <w:t xml:space="preserve"> </w:t>
      </w:r>
      <w:r w:rsidR="00233A67">
        <w:t xml:space="preserve">Increased work-search requirements might similarly impact mental health across the term of benefit receipt, potentially requiring action beyond claimants’ capabilities or being perceived as ‘hostile’ and ‘uncaring’ in demanding justification for inaction </w:t>
      </w:r>
      <w:r w:rsidR="00233A67">
        <w:fldChar w:fldCharType="begin" w:fldLock="1"/>
      </w:r>
      <w:r w:rsidR="00D0508B">
        <w:instrText>ADDIN CSL_CITATION {"citationItems":[{"id":"ITEM-1","itemData":{"author":[{"dropping-particle":"","family":"Department for Work &amp; Pensions","given":"","non-dropping-particle":"","parse-names":false,"suffix":""}],"id":"ITEM-1","issued":{"date-parts":[["2023"]]},"publisher-place":"London","title":"Universal Credit statistics: background information and methodology","type":"report"},"uris":["http://www.mendeley.com/documents/?uuid=4d886dcb-9894-3d5c-9266-a345ab6fce7e"]},{"id":"ITEM-2","itemData":{"DOI":"10.1136/BMJOPEN-2019-029611","ISSN":"2044-6055","PMID":"31272984","abstract":"Objectives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 Department for Work &amp; Pensions, 2023)","plainTextFormattedCitation":"(Cheetham et al., 2019; Department for Work &amp; Pensions, 2023)","previouslyFormattedCitation":"(Cheetham &lt;i&gt;et al.&lt;/i&gt;, 2019; Department for Work &amp; Pensions, 2023)"},"properties":{"noteIndex":0},"schema":"https://github.com/citation-style-language/schema/raw/master/csl-citation.json"}</w:instrText>
      </w:r>
      <w:r w:rsidR="00233A67">
        <w:fldChar w:fldCharType="separate"/>
      </w:r>
      <w:r w:rsidR="00740A1F" w:rsidRPr="00740A1F">
        <w:rPr>
          <w:noProof/>
        </w:rPr>
        <w:t xml:space="preserve">(Cheetham </w:t>
      </w:r>
      <w:r w:rsidR="00740A1F" w:rsidRPr="00740A1F">
        <w:rPr>
          <w:i/>
          <w:noProof/>
        </w:rPr>
        <w:t>et al.</w:t>
      </w:r>
      <w:r w:rsidR="00740A1F" w:rsidRPr="00740A1F">
        <w:rPr>
          <w:noProof/>
        </w:rPr>
        <w:t>, 2019; Department for Work &amp; Pensions, 2023)</w:t>
      </w:r>
      <w:r w:rsidR="00233A67">
        <w:fldChar w:fldCharType="end"/>
      </w:r>
      <w:r w:rsidR="00233A67">
        <w:t xml:space="preserve">. </w:t>
      </w:r>
      <w:r w:rsidR="003077F0">
        <w:t>The switch to fully-online claims system</w:t>
      </w:r>
      <w:r w:rsidR="00510B11">
        <w:t xml:space="preserve">, </w:t>
      </w:r>
      <w:r w:rsidR="003077F0">
        <w:t xml:space="preserve">perceived as “complicated, disorientating, impersonal, hostile and demeaning” </w:t>
      </w:r>
      <w:r w:rsidR="003077F0">
        <w:fldChar w:fldCharType="begin" w:fldLock="1"/>
      </w:r>
      <w:r w:rsidR="003077F0">
        <w:instrText>ADDIN CSL_CITATION {"citationItems":[{"id":"ITEM-1","itemData":{"DOI":"10.1136/BMJOPEN-2019-029611","ISSN":"2044-6055","PMID":"31272984","abstract":"Objectives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Open","id":"ITEM-1","issue":"7","issued":{"date-parts":[["2019","7","1"]]},"page":"e029611","publisher":"British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2019)","plainTextFormattedCitation":"(Cheetham et al., 2019)","previouslyFormattedCitation":"(Cheetham &lt;i&gt;et al.&lt;/i&gt;, 2019)"},"properties":{"noteIndex":0},"schema":"https://github.com/citation-style-language/schema/raw/master/csl-citation.json"}</w:instrText>
      </w:r>
      <w:r w:rsidR="003077F0">
        <w:fldChar w:fldCharType="separate"/>
      </w:r>
      <w:r w:rsidR="003077F0" w:rsidRPr="6CEFB61D">
        <w:rPr>
          <w:noProof/>
        </w:rPr>
        <w:t xml:space="preserve">(Cheetham </w:t>
      </w:r>
      <w:r w:rsidR="003077F0" w:rsidRPr="6CEFB61D">
        <w:rPr>
          <w:i/>
          <w:iCs/>
          <w:noProof/>
        </w:rPr>
        <w:t>et al.</w:t>
      </w:r>
      <w:r w:rsidR="003077F0" w:rsidRPr="6CEFB61D">
        <w:rPr>
          <w:noProof/>
        </w:rPr>
        <w:t>, 2019)</w:t>
      </w:r>
      <w:r w:rsidR="003077F0">
        <w:fldChar w:fldCharType="end"/>
      </w:r>
      <w:r w:rsidR="003077F0">
        <w:t>, may additionally have contributed to worsening mental health.</w:t>
      </w:r>
      <w:r w:rsidR="00F3707B">
        <w:t xml:space="preserve"> Conversely, the aim to increased employment of benefit claimants may lead to improved mental health outcome</w:t>
      </w:r>
      <w:r w:rsidR="005B6FE9">
        <w:t>s</w:t>
      </w:r>
      <w:r w:rsidR="00B67F2D">
        <w:t xml:space="preserve">, both through support in applying for jobs and </w:t>
      </w:r>
      <w:r w:rsidR="00F200DE">
        <w:t xml:space="preserve">in less punitive reductions in benefits </w:t>
      </w:r>
      <w:r w:rsidR="00740A1F">
        <w:t xml:space="preserve">with increases in earned income </w:t>
      </w:r>
      <w:r w:rsidR="00740A1F">
        <w:fldChar w:fldCharType="begin" w:fldLock="1"/>
      </w:r>
      <w:r w:rsidR="00D0508B">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Credit","type":"report"},"uris":["http://www.mendeley.com/documents/?uuid=b3bab0e1-0a93-3537-b130-204372703eb3"]}],"mendeley":{"formattedCitation":"(Department for Work &amp; Pensions, 2022a)","plainTextFormattedCitation":"(Department for Work &amp; Pensions, 2022a)","previouslyFormattedCitation":"(Department for Work &amp; Pensions, 2022a)"},"properties":{"noteIndex":0},"schema":"https://github.com/citation-style-language/schema/raw/master/csl-citation.json"}</w:instrText>
      </w:r>
      <w:r w:rsidR="00740A1F">
        <w:fldChar w:fldCharType="separate"/>
      </w:r>
      <w:r w:rsidR="00740A1F" w:rsidRPr="00740A1F">
        <w:rPr>
          <w:noProof/>
        </w:rPr>
        <w:t>(Department for Work &amp; Pensions, 2022a)</w:t>
      </w:r>
      <w:r w:rsidR="00740A1F">
        <w:fldChar w:fldCharType="end"/>
      </w:r>
      <w:r w:rsidR="00740A1F">
        <w:t>.</w:t>
      </w:r>
    </w:p>
    <w:p w14:paraId="0BE709C3" w14:textId="31E24BDE" w:rsidR="003A6AB0" w:rsidRDefault="003A6AB0" w:rsidP="00040D60">
      <w:pPr>
        <w:pStyle w:val="Body"/>
      </w:pPr>
      <w:r>
        <w:t>Treating the phased rollout as a stepped-wedge natural experiment</w:t>
      </w:r>
      <w:r w:rsidR="00C64899">
        <w:t xml:space="preserve">, </w:t>
      </w:r>
      <w:r w:rsidR="00FE3C41">
        <w:t xml:space="preserve">the </w:t>
      </w:r>
      <w:r w:rsidR="00C64899">
        <w:t>causal effects</w:t>
      </w:r>
      <w:r w:rsidR="00FE3C41">
        <w:t xml:space="preserve"> of UC on mental health</w:t>
      </w:r>
      <w:r w:rsidR="00C64899">
        <w:t xml:space="preserve"> may be estimable using as-yet-unexposed areas as controls.</w:t>
      </w:r>
      <w:r w:rsidR="002413CD">
        <w:t xml:space="preserve"> Natural experimental methods divide populations into exposed and unexposed comparison groups using events outside of the control of the </w:t>
      </w:r>
      <w:r w:rsidR="00D0508B">
        <w:t xml:space="preserve">researcher </w:t>
      </w:r>
      <w:r w:rsidR="00D0508B">
        <w:fldChar w:fldCharType="begin" w:fldLock="1"/>
      </w:r>
      <w:r w:rsidR="00960C99">
        <w:instrText>ADDIN CSL_CITATION {"citationItems":[{"id":"ITEM-1","itemData":{"DOI":"10.1146/annurev-publhealth-031816-044327","ISSN":"1545-2093","PMID":"28125392","abstract":"Population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realized.","author":[{"dropping-particle":"","family":"Craig","given":"Peter","non-dropping-particle":"","parse-names":false,"suffix":""},{"dropping-particle":"","family":"Katikireddi","given":"Srinivasa Vittal","non-dropping-particle":"","parse-names":false,"suffix":""},{"dropping-particle":"","family":"Leyland","given":"Alastair","non-dropping-particle":"","parse-names":false,"suffix":""},{"dropping-particle":"","family":"Popham","given":"Frank","non-dropping-particle":"","parse-names":false,"suffix":""}],"container-title":"Annual review of public health","id":"ITEM-1","issue":"1","issued":{"date-parts":[["2017","3","20"]]},"page":"39-56","title":"Natural Experiments: An overview of methods, approaches, and contributions to public health intervention research.","type":"article-journal","volume":"38"},"uris":["http://www.mendeley.com/documents/?uuid=f65598d1-046d-3af4-acef-49707f23442f"]}],"mendeley":{"formattedCitation":"(Craig &lt;i&gt;et al.&lt;/i&gt;, 2017)","plainTextFormattedCitation":"(Craig et al., 2017)","previouslyFormattedCitation":"(Craig &lt;i&gt;et al.&lt;/i&gt;, 2017)"},"properties":{"noteIndex":0},"schema":"https://github.com/citation-style-language/schema/raw/master/csl-citation.json"}</w:instrText>
      </w:r>
      <w:r w:rsidR="00D0508B">
        <w:fldChar w:fldCharType="separate"/>
      </w:r>
      <w:r w:rsidR="00D0508B" w:rsidRPr="00D0508B">
        <w:rPr>
          <w:noProof/>
        </w:rPr>
        <w:t xml:space="preserve">(Craig </w:t>
      </w:r>
      <w:r w:rsidR="00D0508B" w:rsidRPr="00D0508B">
        <w:rPr>
          <w:i/>
          <w:noProof/>
        </w:rPr>
        <w:t>et al.</w:t>
      </w:r>
      <w:r w:rsidR="00D0508B" w:rsidRPr="00D0508B">
        <w:rPr>
          <w:noProof/>
        </w:rPr>
        <w:t>, 2017)</w:t>
      </w:r>
      <w:r w:rsidR="00D0508B">
        <w:fldChar w:fldCharType="end"/>
      </w:r>
      <w:r w:rsidR="00D0508B">
        <w:t>.</w:t>
      </w:r>
      <w:r w:rsidR="007313F8">
        <w:t xml:space="preserve"> Using the planned </w:t>
      </w:r>
      <w:r w:rsidR="007313F8">
        <w:lastRenderedPageBreak/>
        <w:t xml:space="preserve">UC ‘natural migration’ rollout timetable, </w:t>
      </w:r>
      <w:r w:rsidR="005C4E97">
        <w:t>potential benefit claimants</w:t>
      </w:r>
      <w:r w:rsidR="00812EE9">
        <w:t xml:space="preserve"> can be classified</w:t>
      </w:r>
      <w:r w:rsidR="005C4E97">
        <w:t xml:space="preserve"> as ‘exposed’ and ‘unexposed’ </w:t>
      </w:r>
      <w:r w:rsidR="00D850A4">
        <w:t>by determining whether UC had</w:t>
      </w:r>
      <w:r w:rsidR="00040D60">
        <w:t>,</w:t>
      </w:r>
      <w:r w:rsidR="00D850A4">
        <w:t xml:space="preserve"> at date of data collection</w:t>
      </w:r>
      <w:r w:rsidR="00040D60">
        <w:t>,</w:t>
      </w:r>
      <w:r w:rsidR="00D850A4">
        <w:t xml:space="preserve"> been implemented in </w:t>
      </w:r>
      <w:r w:rsidR="00BB688A">
        <w:t>the local authority area or not.</w:t>
      </w:r>
      <w:r w:rsidR="00FE3C41" w:rsidRPr="00FE3C41">
        <w:t xml:space="preserve"> </w:t>
      </w:r>
      <w:r w:rsidR="00FE3C41">
        <w:t>Quantifying these effects would give a clearer picture of how much observed differences in mental health are attributable to the switch to a new benefit system</w:t>
      </w:r>
      <w:r w:rsidR="00BB020D">
        <w:t xml:space="preserve"> and give an estimate of</w:t>
      </w:r>
      <w:r w:rsidR="004C093C">
        <w:t xml:space="preserve"> whether UC </w:t>
      </w:r>
      <w:r w:rsidR="00990D20">
        <w:t>causes</w:t>
      </w:r>
      <w:r w:rsidR="004C093C">
        <w:t xml:space="preserve"> overall benefits or harms to </w:t>
      </w:r>
      <w:r w:rsidR="00752E4A">
        <w:t>claimants</w:t>
      </w:r>
      <w:r w:rsidR="00FE3C41">
        <w:t>.</w:t>
      </w:r>
      <w:r w:rsidR="00752E4A">
        <w:t xml:space="preserve"> Subgroup analyses of claimant types and other vulnerabilities </w:t>
      </w:r>
      <w:r w:rsidR="00F313C0">
        <w:t>can also identify at-risk groups and areas for preventative action.</w:t>
      </w:r>
      <w:r w:rsidR="009211DB">
        <w:t xml:space="preserve"> These findings could inform future changes to benefit systems to improve mental health outcomes.</w:t>
      </w:r>
    </w:p>
    <w:p w14:paraId="1E0BC743" w14:textId="6CCB9B8F" w:rsidR="00D0508B" w:rsidRDefault="00D0508B" w:rsidP="000F6A84">
      <w:pPr>
        <w:pStyle w:val="Body"/>
      </w:pPr>
      <w:r>
        <w:t xml:space="preserve">This study is </w:t>
      </w:r>
      <w:r w:rsidR="004F068B">
        <w:t xml:space="preserve">part of Work Package 1 of </w:t>
      </w:r>
      <w:r w:rsidR="00960C99">
        <w:t>an</w:t>
      </w:r>
      <w:r w:rsidR="004F068B">
        <w:t xml:space="preserve"> NIHR-funded study </w:t>
      </w:r>
      <w:r w:rsidR="00960C99">
        <w:t xml:space="preserve">on evaluating the mental health impacts of Universal Credit </w:t>
      </w:r>
      <w:r w:rsidR="00960C99">
        <w:fldChar w:fldCharType="begin" w:fldLock="1"/>
      </w:r>
      <w:r w:rsidR="00577C10">
        <w:instrText>ADDIN CSL_CITATION {"citationItems":[{"id":"ITEM-1","itemData":{"DOI":"10.1136/BMJOPEN-2022-061340","ISSN":"2044-6055","PMID":"35396318","abstract":"Introduction The UK social security system is being transformed by the implementation of Universal Credit (UC), which combines six existing benefits and tax credits into a single payment for low-income households. Despite extensive reports of hardship associated with the introduction of UC, no previous studies have comprehensively evaluated its impact on mental health. Because payments are targeted at low-income households, impacts on mental health will have important consequences for health inequalities.\n\nMethods and analysis We will conduct a mixed methods study. Work package (WP) 1 will compare health outcomes for new recipients of UC with outcomes for legacy benefit recipients in two large population surveys, using the phased rollout of UC as a natural experiment. We will also analyse the relationship between the proportion of UC claimants in small areas and a composite measure of mental health. WP2 will use data collected by Citizen’s Advice to explore the sociodemographic and health characteristics of people who seek advice when claiming UC and identify features of the claim process that prompt advice-seeking. WP3 will conduct longitudinal in-depth interviews with up to 80 UC claimants in England and Scotland to explore reasons for claiming and experiences of the claim process. Up to 30 staff supporting claimants will also be interviewed. WP4 will use a dynamic microsimulation model to simulate the long-term health impacts of different implementation scenarios. WP5 will undertake cost–consequence analysis of the potential costs and outcomes of introducing UC and cost–benefit analyses of mitigating actions.\n\nEthics and dissemination We obtained ethical approval for the primary data gathering from the University of Glasgow, College of Social Sciences Research Ethics Committee, application number 400200244. We will use our networks to actively disseminate findings to UC claimants, the public, practitioners and policy-makers, using a range of methods and formats.\n\nTrial registration number The study is registered with the Research Registry: researchregistry6697.","author":[{"dropping-particle":"","family":"Craig","given":"Peter","non-dropping-particle":"","parse-names":false,"suffix":""},{"dropping-particle":"","family":"Barr","given":"Benjamin","non-dropping-particle":"","parse-names":false,"suffix":""},{"dropping-particle":"","family":"Baxter","given":"Andrew J.","non-dropping-particle":"","parse-names":false,"suffix":""},{"dropping-particle":"","family":"Brown","given":"Heather","non-dropping-particle":"","parse-names":false,"suffix":""},{"dropping-particle":"","family":"Cheetham","given":"Mandy","non-dropping-particle":"","parse-names":false,"suffix":""},{"dropping-particle":"","family":"Gibson","given":"Marcia","non-dropping-particle":"","parse-names":false,"suffix":""},{"dropping-particle":"","family":"Katikireddi","given":"Srinivasa Vittal","non-dropping-particle":"","parse-names":false,"suffix":""},{"dropping-particle":"","family":"Moffatt","given":"Suzanne","non-dropping-particle":"","parse-names":false,"suffix":""},{"dropping-particle":"","family":"Morris","given":"Steph","non-dropping-particle":"","parse-names":false,"suffix":""},{"dropping-particle":"","family":"Munford","given":"Luke Aaron","non-dropping-particle":"","parse-names":false,"suffix":""},{"dropping-particle":"","family":"Richiardi","given":"Matteo","non-dropping-particle":"","parse-names":false,"suffix":""},{"dropping-particle":"","family":"Sutton","given":"Matt","non-dropping-particle":"","parse-names":false,"suffix":""},{"dropping-particle":"","family":"Taylor-Robinson","given":"David","non-dropping-particle":"","parse-names":false,"suffix":""},{"dropping-particle":"","family":"Wickham","given":"Sophie","non-dropping-particle":"","parse-names":false,"suffix":""},{"dropping-particle":"","family":"Xiang","given":"Huasheng","non-dropping-particle":"","parse-names":false,"suffix":""},{"dropping-particle":"","family":"Bambra","given":"Clare","non-dropping-particle":"","parse-names":false,"suffix":""}],"container-title":"BMJ Open","id":"ITEM-1","issue":"4","issued":{"date-parts":[["2022","4","1"]]},"page":"e061340","publisher":"British Medical Journal Publishing Group","title":"Evaluation of the mental health impacts of Universal Credit: protocol for a mixed methods study","type":"article-journal","volume":"12"},"prefix":"grant number NIHR131709; ","uris":["http://www.mendeley.com/documents/?uuid=86d0e13c-d834-3b44-a624-820eed927970"]}],"mendeley":{"formattedCitation":"(grant number NIHR131709; Craig &lt;i&gt;et al.&lt;/i&gt;, 2022)","plainTextFormattedCitation":"(grant number NIHR131709; Craig et al., 2022)","previouslyFormattedCitation":"(grant number NIHR131709; Craig &lt;i&gt;et al.&lt;/i&gt;, 2022)"},"properties":{"noteIndex":0},"schema":"https://github.com/citation-style-language/schema/raw/master/csl-citation.json"}</w:instrText>
      </w:r>
      <w:r w:rsidR="00960C99">
        <w:fldChar w:fldCharType="separate"/>
      </w:r>
      <w:r w:rsidR="00686EC6" w:rsidRPr="00686EC6">
        <w:rPr>
          <w:noProof/>
        </w:rPr>
        <w:t xml:space="preserve">(grant number NIHR131709; Craig </w:t>
      </w:r>
      <w:r w:rsidR="00686EC6" w:rsidRPr="00686EC6">
        <w:rPr>
          <w:i/>
          <w:noProof/>
        </w:rPr>
        <w:t>et al.</w:t>
      </w:r>
      <w:r w:rsidR="00686EC6" w:rsidRPr="00686EC6">
        <w:rPr>
          <w:noProof/>
        </w:rPr>
        <w:t>, 2022)</w:t>
      </w:r>
      <w:r w:rsidR="00960C99">
        <w:fldChar w:fldCharType="end"/>
      </w:r>
      <w:r w:rsidR="00960C99">
        <w:t>.</w:t>
      </w:r>
    </w:p>
    <w:p w14:paraId="4A1FAAEB" w14:textId="0BAE5E2B" w:rsidR="00C64899" w:rsidRDefault="008234ED" w:rsidP="008234ED">
      <w:pPr>
        <w:pStyle w:val="Heading1"/>
      </w:pPr>
      <w:r>
        <w:t>Methods</w:t>
      </w:r>
    </w:p>
    <w:p w14:paraId="53592E1A" w14:textId="3A968796" w:rsidR="008234ED" w:rsidRDefault="00C622DD" w:rsidP="00C622DD">
      <w:pPr>
        <w:pStyle w:val="Heading2"/>
      </w:pPr>
      <w:r>
        <w:t>Aim and research questions</w:t>
      </w:r>
    </w:p>
    <w:p w14:paraId="11E888BA" w14:textId="03D3770A" w:rsidR="00C622DD" w:rsidRDefault="009822A0" w:rsidP="00C622DD">
      <w:pPr>
        <w:pStyle w:val="Body"/>
      </w:pPr>
      <w:r>
        <w:t>We aim</w:t>
      </w:r>
      <w:r w:rsidR="002046C6">
        <w:t>ed</w:t>
      </w:r>
      <w:r>
        <w:t xml:space="preserve"> to estimate the Average Treatment Effects across Local Authority areas of Universal Credit on the mental health of people eligible to claim benefits. </w:t>
      </w:r>
      <w:r w:rsidR="002B014B">
        <w:t>Additionally, we aim</w:t>
      </w:r>
      <w:r w:rsidR="002046C6">
        <w:t>ed</w:t>
      </w:r>
      <w:r w:rsidR="002B014B">
        <w:t xml:space="preserve"> to test differences in effect sizes </w:t>
      </w:r>
      <w:r w:rsidR="001A6A3B">
        <w:t>across markers of vulnerability</w:t>
      </w:r>
      <w:r w:rsidR="002046C6">
        <w:t>.</w:t>
      </w:r>
    </w:p>
    <w:p w14:paraId="43554055" w14:textId="77777777" w:rsidR="00550C56" w:rsidRPr="00550C56" w:rsidRDefault="00550C56" w:rsidP="00550C56">
      <w:pPr>
        <w:pStyle w:val="Body"/>
        <w:rPr>
          <w:b/>
        </w:rPr>
      </w:pPr>
      <w:r w:rsidRPr="00550C56">
        <w:rPr>
          <w:b/>
        </w:rPr>
        <w:t>Research questions</w:t>
      </w:r>
    </w:p>
    <w:p w14:paraId="3891E781" w14:textId="73A0DC8F" w:rsidR="00550C56" w:rsidRPr="00550C56" w:rsidRDefault="00550C56" w:rsidP="006B1DC8">
      <w:pPr>
        <w:pStyle w:val="Body"/>
        <w:numPr>
          <w:ilvl w:val="0"/>
          <w:numId w:val="12"/>
        </w:numPr>
        <w:tabs>
          <w:tab w:val="left" w:pos="993"/>
        </w:tabs>
        <w:ind w:left="993" w:hanging="633"/>
      </w:pPr>
      <w:bookmarkStart w:id="0" w:name="_Ref115868900"/>
      <w:r w:rsidRPr="00550C56">
        <w:t xml:space="preserve">What is the impact of UC rollout on </w:t>
      </w:r>
      <w:r w:rsidR="000A1894">
        <w:t xml:space="preserve">the </w:t>
      </w:r>
      <w:r w:rsidRPr="00550C56">
        <w:t>mental health and wellbeing of working age adults?</w:t>
      </w:r>
      <w:bookmarkEnd w:id="0"/>
    </w:p>
    <w:p w14:paraId="34C0A2DA" w14:textId="77777777" w:rsidR="00550C56" w:rsidRPr="00550C56" w:rsidRDefault="00550C56" w:rsidP="006B1DC8">
      <w:pPr>
        <w:pStyle w:val="Body"/>
        <w:numPr>
          <w:ilvl w:val="0"/>
          <w:numId w:val="12"/>
        </w:numPr>
        <w:tabs>
          <w:tab w:val="left" w:pos="993"/>
        </w:tabs>
        <w:ind w:left="993" w:hanging="633"/>
      </w:pPr>
      <w:r w:rsidRPr="00550C56">
        <w:t>Do effects vary across sex, age of claimant, pre-UC employment status, household structure, disability and health status, and country?</w:t>
      </w:r>
    </w:p>
    <w:p w14:paraId="5D345A9D" w14:textId="77777777" w:rsidR="00550C56" w:rsidRPr="000078C7" w:rsidRDefault="00550C56" w:rsidP="006B1DC8">
      <w:pPr>
        <w:pStyle w:val="Body"/>
        <w:numPr>
          <w:ilvl w:val="0"/>
          <w:numId w:val="12"/>
        </w:numPr>
        <w:tabs>
          <w:tab w:val="left" w:pos="993"/>
        </w:tabs>
        <w:ind w:left="993" w:hanging="633"/>
      </w:pPr>
      <w:r w:rsidRPr="00550C56">
        <w:t>How does this effect vary in the time periods immediately before and immediately following a switch to Universal Credit? Are there anticipatory effects in the immediate pre-rollout period? Do post-exposure effects change as time from rollout increases?</w:t>
      </w:r>
    </w:p>
    <w:p w14:paraId="5336BF67" w14:textId="2E89E839" w:rsidR="00E13415" w:rsidRPr="000078C7" w:rsidRDefault="00E13415" w:rsidP="00E13415">
      <w:pPr>
        <w:pStyle w:val="Heading2"/>
      </w:pPr>
      <w:r w:rsidRPr="000078C7">
        <w:t>Protocol</w:t>
      </w:r>
    </w:p>
    <w:p w14:paraId="112BCA16" w14:textId="5CBFFBE0" w:rsidR="00E13415" w:rsidRPr="000078C7" w:rsidRDefault="00E13415" w:rsidP="00E13415">
      <w:pPr>
        <w:pStyle w:val="Body"/>
      </w:pPr>
      <w:r w:rsidRPr="000078C7">
        <w:t>Th</w:t>
      </w:r>
      <w:r w:rsidR="00D74FC2">
        <w:t xml:space="preserve">e analysis plan, along with </w:t>
      </w:r>
      <w:r w:rsidR="008173CC">
        <w:t xml:space="preserve">code used in analysis, is archived at </w:t>
      </w:r>
      <w:hyperlink r:id="rId9" w:history="1">
        <w:r w:rsidR="008A608D">
          <w:rPr>
            <w:rStyle w:val="Hyperlink"/>
          </w:rPr>
          <w:t>osf.io/knajb</w:t>
        </w:r>
      </w:hyperlink>
      <w:r w:rsidR="008A608D">
        <w:t xml:space="preserve"> </w:t>
      </w:r>
      <w:r w:rsidR="008A608D">
        <w:fldChar w:fldCharType="begin" w:fldLock="1"/>
      </w:r>
      <w:r w:rsidR="00123482">
        <w:instrText>ADDIN CSL_CITATION {"citationItems":[{"id":"ITEM-1","itemData":{"DOI":"10.17605/OSF.IO/KNAJB","author":[{"dropping-particle":"","family":"Baxter","given":"Andrew","non-dropping-particle":"","parse-names":false,"suffix":""},{"dropping-particle":"","family":"Wickham","given":"Sophie","non-dropping-particle":"","parse-names":false,"suffix":""},{"dropping-particle":"","family":"Cheetham","given":"Mandy","non-dropping-particle":"","parse-names":false,"suffix":""},{"dropping-particle":"","family":"Coombes","given":"Emma","non-dropping-particle":"","parse-names":false,"suffix":""},{"dropping-particle":"","family":"Taylor-Robinson","given":"David","non-dropping-particle":"","parse-names":false,"suffix":""},{"dropping-particle":"","family":"Munford","given":"Luke","non-dropping-particle":"","parse-names":false,"suffix":""},{"dropping-particle":"","family":"Xiang","given":"Huasheng","non-dropping-particle":"","parse-names":false,"suffix":""},{"dropping-particle":"","family":"Richiardi","given":"Mattheo","non-dropping-particle":"","parse-names":false,"suffix":""},{"dropping-particle":"","family":"Brown","given":"Heather","non-dropping-particle":"","parse-names":false,"suffix":""},{"dropping-particle":"","family":"Sutton","given":"Matthew","non-dropping-particle":"","parse-names":false,"suffix":""}],"container-title":"OSF","id":"ITEM-1","issued":{"date-parts":[["2022"]]},"publisher":"OSF","title":"Difference-in-difference effect estimates of the mental health impacts of the implementation of Universal Credit using Annual Population Survey data (2013-2018 rollout period) - Protocol and documentation","type":"article-journal"},"uris":["http://www.mendeley.com/documents/?uuid=ff0ea75f-aab0-3066-ab1e-14ef59390f46"]}],"mendeley":{"formattedCitation":"(Baxter &lt;i&gt;et al.&lt;/i&gt;, 2022)","plainTextFormattedCitation":"(Baxter et al., 2022)","previouslyFormattedCitation":"(Baxter &lt;i&gt;et al.&lt;/i&gt;, 2022)"},"properties":{"noteIndex":0},"schema":"https://github.com/citation-style-language/schema/raw/master/csl-citation.json"}</w:instrText>
      </w:r>
      <w:r w:rsidR="008A608D">
        <w:fldChar w:fldCharType="separate"/>
      </w:r>
      <w:r w:rsidR="008A608D" w:rsidRPr="008A608D">
        <w:rPr>
          <w:noProof/>
        </w:rPr>
        <w:t xml:space="preserve">(Baxter </w:t>
      </w:r>
      <w:r w:rsidR="008A608D" w:rsidRPr="008A608D">
        <w:rPr>
          <w:i/>
          <w:noProof/>
        </w:rPr>
        <w:t>et al.</w:t>
      </w:r>
      <w:r w:rsidR="008A608D" w:rsidRPr="008A608D">
        <w:rPr>
          <w:noProof/>
        </w:rPr>
        <w:t>, 2022)</w:t>
      </w:r>
      <w:r w:rsidR="008A608D">
        <w:fldChar w:fldCharType="end"/>
      </w:r>
      <w:r w:rsidR="008A608D">
        <w:t>.</w:t>
      </w:r>
    </w:p>
    <w:p w14:paraId="25E8F78C" w14:textId="0A3719BB" w:rsidR="002833BD" w:rsidRPr="000078C7" w:rsidRDefault="002833BD" w:rsidP="002046C6">
      <w:pPr>
        <w:pStyle w:val="Heading2"/>
      </w:pPr>
      <w:r w:rsidRPr="000078C7">
        <w:t>Data</w:t>
      </w:r>
    </w:p>
    <w:p w14:paraId="1361BDCB" w14:textId="77777777" w:rsidR="00E2268B" w:rsidRDefault="002833BD" w:rsidP="002833BD">
      <w:pPr>
        <w:pStyle w:val="Body"/>
      </w:pPr>
      <w:r w:rsidRPr="000078C7">
        <w:t>We used data</w:t>
      </w:r>
      <w:r>
        <w:t xml:space="preserve"> from the Annual Population Survey</w:t>
      </w:r>
      <w:r w:rsidR="002B5B86">
        <w:t xml:space="preserve"> (APS)</w:t>
      </w:r>
      <w:r>
        <w:t xml:space="preserve"> </w:t>
      </w:r>
      <w:r w:rsidR="002C6759">
        <w:t xml:space="preserve">secure-access version </w:t>
      </w:r>
      <w:r>
        <w:t xml:space="preserve">collected </w:t>
      </w:r>
      <w:r w:rsidR="00997159">
        <w:t>between</w:t>
      </w:r>
      <w:r>
        <w:t xml:space="preserve"> 2013-2019</w:t>
      </w:r>
      <w:r w:rsidR="00F2530E">
        <w:t xml:space="preserve"> </w:t>
      </w:r>
      <w:r w:rsidR="00C90A4C">
        <w:fldChar w:fldCharType="begin" w:fldLock="1"/>
      </w:r>
      <w:r w:rsidR="004268FB">
        <w:instrText>ADDIN CSL_CITATION {"citationItems":[{"id":"ITEM-1","itemData":{"DOI":"10.5255/UKDA-SN-6721-22","author":[{"dropping-particle":"","family":"Office for National Statistics - Social Survey Division","given":"","non-dropping-particle":"","parse-names":false,"suffix":""}],"edition":"23rd Editi","id":"ITEM-1","issued":{"date-parts":[["2022"]]},"publisher":"UK Data Service","title":"Annual Population Survey, 2004-2021: Secure Access","type":"article"},"uris":["http://www.mendeley.com/documents/?uuid=af6c0521-ae41-4716-b7b0-baf08d8e50c5"]}],"mendeley":{"formattedCitation":"(Office for National Statistics - Social Survey Division, 2022)","plainTextFormattedCitation":"(Office for National Statistics - Social Survey Division, 2022)","previouslyFormattedCitation":"(Office for National Statistics - Social Survey Division, 2022)"},"properties":{"noteIndex":0},"schema":"https://github.com/citation-style-language/schema/raw/master/csl-citation.json"}</w:instrText>
      </w:r>
      <w:r w:rsidR="00C90A4C">
        <w:fldChar w:fldCharType="separate"/>
      </w:r>
      <w:r w:rsidR="00C90A4C" w:rsidRPr="00C90A4C">
        <w:rPr>
          <w:noProof/>
        </w:rPr>
        <w:t>(Office for National Statistics - Social Survey Division, 2022)</w:t>
      </w:r>
      <w:r w:rsidR="00C90A4C">
        <w:fldChar w:fldCharType="end"/>
      </w:r>
      <w:r w:rsidR="00997159">
        <w:t>.</w:t>
      </w:r>
      <w:r w:rsidR="00042CA0">
        <w:t xml:space="preserve"> These data</w:t>
      </w:r>
      <w:r w:rsidR="00121E83">
        <w:t xml:space="preserve"> are released as annual cross-sectional datasets, produced from the Labour Force Survey</w:t>
      </w:r>
      <w:r w:rsidR="002B5B86">
        <w:t xml:space="preserve"> data collection</w:t>
      </w:r>
      <w:r w:rsidR="002C17D4">
        <w:t xml:space="preserve"> </w:t>
      </w:r>
      <w:r w:rsidR="002C17D4">
        <w:fldChar w:fldCharType="begin" w:fldLock="1"/>
      </w:r>
      <w:r w:rsidR="008A608D">
        <w:instrText>ADDIN CSL_CITATION {"citationItems":[{"id":"ITEM-1","itemData":{"URL":"https://www.ons.gov.uk/employmentandlabourmarket/peopleinwork/employmentandemployeetypes/methodologies/annualpopulationsurveyapsqmi","accessed":{"date-parts":[["2022","2","11"]]},"author":[{"dropping-particle":"","family":"Office for National Statistics","given":"","non-dropping-particle":"","parse-names":false,"suffix":""}],"id":"ITEM-1","issued":{"date-parts":[["2012","9","14"]]},"title":"Annual population survey (APS) QMI","type":"webpage"},"uris":["http://www.mendeley.com/documents/?uuid=be3640ed-5ff6-3201-8db9-a71dc858e3d8"]}],"mendeley":{"formattedCitation":"(Office for National Statistics, 2012)","plainTextFormattedCitation":"(Office for National Statistics, 2012)","previouslyFormattedCitation":"(Office for National Statistics, 2012)"},"properties":{"noteIndex":0},"schema":"https://github.com/citation-style-language/schema/raw/master/csl-citation.json"}</w:instrText>
      </w:r>
      <w:r w:rsidR="002C17D4">
        <w:fldChar w:fldCharType="separate"/>
      </w:r>
      <w:r w:rsidR="002C17D4" w:rsidRPr="002C17D4">
        <w:rPr>
          <w:noProof/>
        </w:rPr>
        <w:t>(Office for National Statistics, 2012)</w:t>
      </w:r>
      <w:r w:rsidR="002C17D4">
        <w:fldChar w:fldCharType="end"/>
      </w:r>
      <w:r w:rsidR="002C17D4">
        <w:t>.</w:t>
      </w:r>
      <w:r w:rsidR="002B0255">
        <w:t xml:space="preserve"> </w:t>
      </w:r>
      <w:r w:rsidR="002B5B86">
        <w:t>APS</w:t>
      </w:r>
      <w:r w:rsidR="002B0255">
        <w:t xml:space="preserve"> responses record </w:t>
      </w:r>
      <w:r w:rsidR="00066835">
        <w:t xml:space="preserve">demographics, </w:t>
      </w:r>
      <w:r w:rsidR="002B0255">
        <w:t xml:space="preserve">household and employment conditions, </w:t>
      </w:r>
      <w:r w:rsidR="00066835">
        <w:t>benefit receipt</w:t>
      </w:r>
      <w:r w:rsidR="004268FB">
        <w:t xml:space="preserve"> and the ‘ONS4’ well-being outcomes </w:t>
      </w:r>
      <w:r w:rsidR="004268FB">
        <w:fldChar w:fldCharType="begin" w:fldLock="1"/>
      </w:r>
      <w:r w:rsidR="004E1D1E">
        <w:instrText>ADDIN CSL_CITATION {"citationItems":[{"id":"ITEM-1","itemData":{"URL":"https://www.ons.gov.uk/peoplepopulationandcommunity/wellbeing/methodologies/personalwellbeingsurveyuserguide","accessed":{"date-parts":[["2023","3","17"]]},"author":[{"dropping-particle":"","family":"Office for National Statistics","given":"","non-dropping-particle":"","parse-names":false,"suffix":""}],"id":"ITEM-1","issued":{"date-parts":[["2018"]]},"title":"Personal well-being user guidance","type":"webpage"},"prefix":"'Life Satisfaction', 'Worthwhile', 'Happiness' and 'Anxiety'; ","uris":["http://www.mendeley.com/documents/?uuid=874a1ec1-6fac-34e4-b99a-5167f324e149"]}],"mendeley":{"formattedCitation":"(‘Life Satisfaction’, ‘Worthwhile’, ‘Happiness’ and ‘Anxiety’; Office for National Statistics, 2018)","plainTextFormattedCitation":"(‘Life Satisfaction’, ‘Worthwhile’, ‘Happiness’ and ‘Anxiety’; Office for National Statistics, 2018)","previouslyFormattedCitation":"(‘Life Satisfaction’, ‘Worthwhile’, ‘Happiness’ and ‘Anxiety’; Office for National Statistics, 2018)"},"properties":{"noteIndex":0},"schema":"https://github.com/citation-style-language/schema/raw/master/csl-citation.json"}</w:instrText>
      </w:r>
      <w:r w:rsidR="004268FB">
        <w:fldChar w:fldCharType="separate"/>
      </w:r>
      <w:r w:rsidR="006C511D" w:rsidRPr="006C511D">
        <w:rPr>
          <w:noProof/>
        </w:rPr>
        <w:t>(‘Life Satisfaction’, ‘Worthwhile’, ‘Happiness’ and ‘Anxiety’; Office for National Statistics, 2018)</w:t>
      </w:r>
      <w:r w:rsidR="004268FB">
        <w:fldChar w:fldCharType="end"/>
      </w:r>
      <w:r w:rsidR="004268FB">
        <w:t>.</w:t>
      </w:r>
      <w:r w:rsidR="00A66140">
        <w:t xml:space="preserve"> </w:t>
      </w:r>
      <w:r w:rsidR="00A669CA">
        <w:t>D</w:t>
      </w:r>
      <w:r w:rsidR="00A66140">
        <w:t xml:space="preserve">ata are collected </w:t>
      </w:r>
      <w:r w:rsidR="003A4259">
        <w:t xml:space="preserve">using area-based quotas and </w:t>
      </w:r>
      <w:r w:rsidR="006B0CD1">
        <w:t>record</w:t>
      </w:r>
      <w:r w:rsidR="00DD69F8">
        <w:t xml:space="preserve"> </w:t>
      </w:r>
      <w:r w:rsidR="005F6BF8">
        <w:t>each observation’s area of residence</w:t>
      </w:r>
      <w:r w:rsidR="00A669CA">
        <w:t>;</w:t>
      </w:r>
      <w:r w:rsidR="004E1D1E">
        <w:t xml:space="preserve"> </w:t>
      </w:r>
      <w:r w:rsidR="00A669CA">
        <w:t>t</w:t>
      </w:r>
      <w:r w:rsidR="004E1D1E">
        <w:t xml:space="preserve">his allows grouping of observations by Local Authority District, which match the area-wise Universal Credit rollouts announced for the 2015–2018 period </w:t>
      </w:r>
      <w:r w:rsidR="004E1D1E">
        <w:fldChar w:fldCharType="begin" w:fldLock="1"/>
      </w:r>
      <w:r w:rsidR="00740A1F">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4E1D1E">
        <w:fldChar w:fldCharType="separate"/>
      </w:r>
      <w:r w:rsidR="00A1238F" w:rsidRPr="00A1238F">
        <w:rPr>
          <w:noProof/>
        </w:rPr>
        <w:t>(Department for Work &amp; Pensions, 2018b)</w:t>
      </w:r>
      <w:r w:rsidR="004E1D1E">
        <w:fldChar w:fldCharType="end"/>
      </w:r>
      <w:r w:rsidR="004E1D1E">
        <w:t>.</w:t>
      </w:r>
    </w:p>
    <w:p w14:paraId="3ED146F6" w14:textId="0CA1FCAA" w:rsidR="009822A0" w:rsidRDefault="00F96385" w:rsidP="002046C6">
      <w:pPr>
        <w:pStyle w:val="Heading2"/>
      </w:pPr>
      <w:commentRangeStart w:id="1"/>
      <w:r>
        <w:t>Study design</w:t>
      </w:r>
      <w:commentRangeEnd w:id="1"/>
      <w:r w:rsidR="000A6D5B">
        <w:rPr>
          <w:rStyle w:val="CommentReference"/>
          <w:rFonts w:eastAsiaTheme="minorEastAsia" w:cstheme="minorBidi"/>
          <w:b w:val="0"/>
        </w:rPr>
        <w:commentReference w:id="1"/>
      </w:r>
    </w:p>
    <w:p w14:paraId="6665FC21" w14:textId="2BDE0219" w:rsidR="003F43C9" w:rsidRDefault="00EC04E5" w:rsidP="00707A15">
      <w:pPr>
        <w:pStyle w:val="Body"/>
      </w:pPr>
      <w:r>
        <w:t>We used natural experimental methods t</w:t>
      </w:r>
      <w:r w:rsidR="0078652B">
        <w:t xml:space="preserve">o estimate the effects of the rollout of Universal Credit on mental health across all claimants and potential claimants. We treated the differences in treatment timing as a ‘target trial’, evaluating how closely the phased rollout emulates a stepped wedge randomised controlled trial to assess the potential for bias in these comparisons </w:t>
      </w:r>
      <w:r w:rsidR="0078652B">
        <w:fldChar w:fldCharType="begin" w:fldLock="1"/>
      </w:r>
      <w:r w:rsidR="0078652B">
        <w:instrText>ADDIN CSL_CITATION {"citationItems":[{"id":"ITEM-1","itemData":{"DOI":"10.1093/aje/kwv254","ISSN":"14766256","PMID":"26994063","abstract":"Ideally,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 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Epidemiology","id":"ITEM-1","issue":"8","issued":{"date-parts":[["2016","4","15"]]},"page":"758-764","publisher":"Oxford University Press","title":"Using Big Data to Emulate a Target Trial When a Randomized Trial Is Not Available","type":"article-journal","volume":"183"},"uris":["http://www.mendeley.com/documents/?uuid=89ec3db5-3865-39cf-8f17-ca9dfa9dd338"]},{"id":"ITEM-2","itemData":{"DOI":"10.1136/BMJ-2022-071108","ISBN":"0b013e3181875e61","ISSN":"1756-1833","PMID":"36041749","abstract":"The randomised trial is the preferred study design for evaluating the effectiveness and safety of interventions. Yet such trials can be prohibitively expensive, unethical, or take too long. When it is not possible to carry out a randomised trial, observational data can be used to answer similar questions. Here, we describe the process of using observational data to emulate a target trial, which applies the study design principles of randomised trials to observational studies that aim to estimate the causal effect of an intervention. The target trial provides a formal framework to help avoid self-inflicted biases common to observational studies.\n\nObservational studies can provide evidence on the effectiveness of interventions when randomised trials are not feasible because they are expensive, unethical, or take too long. Causal inference using observational data is, however, challenging; not only are observational studies prone to confounding bias due to the lack of randomisation, but incorrect study design choices (such as the specification of the start of follow-up) can also cause self-inflicted biases.1 Such study design flaws can be overcome by first designing a hypothetical randomised trial—the target trial—that would answer the question of interest, then emulating this target trial using the available observational data and appropriate methodology.23\n\nThe first step is to specify the protocol of the trial that ideally would have been conducted, within the constraints of the available observational data. Several elements are considered at this stage245: eligibility criteria, treatment strategies, assignment procedures, outcome(s), follow-up, causal contrasts of interest (eg, …","author":[{"dropping-particle":"","family":"Matthews","given":"Anthony A.","non-dropping-particle":"","parse-names":false,"suffix":""},{"dropping-particle":"","family":"Danaei","given":"Goodarz","non-dropping-particle":"","parse-names":false,"suffix":""},{"dropping-particle":"","family":"Islam","given":"Nazrul","non-dropping-particle":"","parse-names":false,"suffix":""},{"dropping-particle":"","family":"Kurth","given":"Tobias","non-dropping-particle":"","parse-names":false,"suffix":""}],"container-title":"BMJ","id":"ITEM-2","issued":{"date-parts":[["2022","8","30"]]},"publisher":"British Medical Journal Publishing Group","title":"Target trial emulation: applying principles of randomised trials to observational studies","type":"article-journal","volume":"378"},"uris":["http://www.mendeley.com/documents/?uuid=8a95140c-285f-3a54-a110-1b7f19cf4c35"]},{"id":"ITEM-3","itemData":{"abstract":"This document provides guidance on the development, evaluation and implementation of complex interventions to improve health. It updates the advice provided in the 2000 MRC Framework for the Development and Evaluation of RCTs for Complex Interventions to Improve Health, taking account of the valuable experience that has accumulated since then, and extending the coverage in the guidance of non-experimental methods, and of complex interventions outside the health service. It is intended to help researchers to choose appropriate methods, research funders to understand the constraints on evaluation design, and users of evaluation to weigh up the available evidence in the light of these methodological and practical constraints. Box 1 summarises the main elements of the process, and the key questions that researchers should ask themselves as they work through it.","author":[{"dropping-particle":"","family":"Craig","given":"Peter","non-dropping-particle":"","parse-names":false,"suffix":""},{"dropping-particle":"","family":"Dieppe","given":"Paul","non-dropping-particle":"","parse-names":false,"suffix":""},{"dropping-particle":"","family":"Macintyre","given":"Sally","non-dropping-particle":"","parse-names":false,"suffix":""},{"dropping-particle":"","family":"Michie","given":"Susan","non-dropping-particle":"","parse-names":false,"suffix":""},{"dropping-particle":"","family":"Nazareth","given":"Irwin","non-dropping-particle":"","parse-names":false,"suffix":""},{"dropping-particle":"","family":"Petticrew","given":"Mark","non-dropping-particle":"","parse-names":false,"suffix":""}],"id":"ITEM-3","issued":{"date-parts":[["2019"]]},"publisher":"Medical Research Council","title":"Developing and evaluating complex interventions: new guidance","type":"report"},"uris":["http://www.mendeley.com/documents/?uuid=4a8b39e6-8f58-4aa4-9093-0faf8a4fa470"]}],"mendeley":{"formattedCitation":"(Hernán and Robins, 2016; Craig &lt;i&gt;et al.&lt;/i&gt;, 2019; Matthews &lt;i&gt;et al.&lt;/i&gt;, 2022)","plainTextFormattedCitation":"(Hernán and Robins, 2016; Craig et al., 2019; Matthews et al., 2022)","previouslyFormattedCitation":"(Hernán and Robins, 2016; Craig &lt;i&gt;et al.&lt;/i&gt;, 2019; Matthews &lt;i&gt;et al.&lt;/i&gt;, 2022)"},"properties":{"noteIndex":0},"schema":"https://github.com/citation-style-language/schema/raw/master/csl-citation.json"}</w:instrText>
      </w:r>
      <w:r w:rsidR="0078652B">
        <w:fldChar w:fldCharType="separate"/>
      </w:r>
      <w:r w:rsidR="0078652B" w:rsidRPr="6CEFB61D">
        <w:rPr>
          <w:noProof/>
        </w:rPr>
        <w:t xml:space="preserve">(Hernán and Robins, 2016; Craig </w:t>
      </w:r>
      <w:r w:rsidR="0078652B" w:rsidRPr="6CEFB61D">
        <w:rPr>
          <w:i/>
          <w:iCs/>
          <w:noProof/>
        </w:rPr>
        <w:t>et al.</w:t>
      </w:r>
      <w:r w:rsidR="0078652B" w:rsidRPr="6CEFB61D">
        <w:rPr>
          <w:noProof/>
        </w:rPr>
        <w:t xml:space="preserve">, 2019; Matthews </w:t>
      </w:r>
      <w:r w:rsidR="0078652B" w:rsidRPr="6CEFB61D">
        <w:rPr>
          <w:i/>
          <w:iCs/>
          <w:noProof/>
        </w:rPr>
        <w:t>et al.</w:t>
      </w:r>
      <w:r w:rsidR="0078652B" w:rsidRPr="6CEFB61D">
        <w:rPr>
          <w:noProof/>
        </w:rPr>
        <w:t>, 2022)</w:t>
      </w:r>
      <w:r w:rsidR="0078652B">
        <w:fldChar w:fldCharType="end"/>
      </w:r>
      <w:r w:rsidR="0078652B">
        <w:t xml:space="preserve">. We determined the eligible population using two methods – observation of any benefit receipt at any time point, and a logistic regression prediction of UC uptake under a simulated full-UC-rollout scenario using UKMOD </w:t>
      </w:r>
      <w:r w:rsidR="0078652B">
        <w:fldChar w:fldCharType="begin" w:fldLock="1"/>
      </w:r>
      <w:r w:rsidR="0078652B">
        <w:instrText>ADDIN CSL_CITATION {"citationItems":[{"id":"ITEM-1","itemData":{"URL":"https://www.microsimulation.ac.uk/ukmod/","accessed":{"date-parts":[["2022","12","7"]]},"author":[{"dropping-particle":"","family":"Centre for Microsimulation and Policy Analysis","given":"","non-dropping-particle":"","parse-names":false,"suffix":""}],"id":"ITEM-1","issued":{"date-parts":[["2022"]]},"title":"UKMOD - Tax-benefit microsimulation model for the UK","type":"webpage"},"uris":["http://www.mendeley.com/documents/?uuid=8ee74303-f07b-3a33-8dd8-2f8545ba0444"]}],"mendeley":{"formattedCitation":"(Centre for Microsimulation and Policy Analysis, 2022)","plainTextFormattedCitation":"(Centre for Microsimulation and Policy Analysis, 2022)","previouslyFormattedCitation":"(Centre for Microsimulation and Policy Analysis, 2022)"},"properties":{"noteIndex":0},"schema":"https://github.com/citation-style-language/schema/raw/master/csl-citation.json"}</w:instrText>
      </w:r>
      <w:r w:rsidR="0078652B">
        <w:fldChar w:fldCharType="separate"/>
      </w:r>
      <w:r w:rsidR="0078652B" w:rsidRPr="6CEFB61D">
        <w:rPr>
          <w:noProof/>
        </w:rPr>
        <w:t>(Centre for Microsimulation and Policy Analysis, 2022)</w:t>
      </w:r>
      <w:r w:rsidR="0078652B">
        <w:fldChar w:fldCharType="end"/>
      </w:r>
      <w:r w:rsidR="0078652B">
        <w:t>.</w:t>
      </w:r>
      <w:r w:rsidR="00BA3E9F">
        <w:t xml:space="preserve"> W</w:t>
      </w:r>
      <w:r w:rsidR="0078652B">
        <w:t>e conduct</w:t>
      </w:r>
      <w:r w:rsidR="00BA3E9F">
        <w:t>ed</w:t>
      </w:r>
      <w:r w:rsidR="0078652B">
        <w:t xml:space="preserve"> a staggered difference-in-differences analysis, treating the UC ‘natural migration’ phased rollout period as a marker defining exposed and unexposed comparators </w:t>
      </w:r>
      <w:r w:rsidR="0078652B">
        <w:fldChar w:fldCharType="begin" w:fldLock="1"/>
      </w:r>
      <w:r w:rsidR="008A608D">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periods","type":"article-journal","volume":"225"},"uris":["http://www.mendeley.com/documents/?uuid=b06db115-6296-429d-ad95-50fac728fb5a"]},{"id":"ITEM-2","itemData":{"DOI":"10.1016/J.JECONOM.2021.03.014","ISSN":"0304-4076","abstract":"The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Econometrics","id":"ITEM-2","issue":"2","issued":{"date-parts":[["2021","12","1"]]},"page":"254-277","publisher":"North-Holland","title":"Difference-in-differences with variation in treatment timing","type":"article-journal","volume":"225"},"uris":["http://www.mendeley.com/documents/?uuid=32aaae27-e56e-3f37-9e02-706b45f6a6a1"]},{"id":"ITEM-3","itemData":{"DOI":"10.1016/J.JECONOM.2020.09.006","ISSN":"0304-4076","abstract":"To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author":[{"dropping-particle":"","family":"Sun","given":"Liyang","non-dropping-particle":"","parse-names":false,"suffix":""},{"dropping-particle":"","family":"Abraham","given":"Sarah","non-dropping-particle":"","parse-names":false,"suffix":""}],"container-title":"Journal of Econometrics","id":"ITEM-3","issue":"2","issued":{"date-parts":[["2021","12","1"]]},"page":"175-199","publisher":"North-Holland","title":"Estimating dynamic treatment effects in event studies with heterogeneous treatment effects","type":"article-journal","volume":"225"},"uris":["http://www.mendeley.com/documents/?uuid=502ebe2c-9f13-3a39-8298-c20b6bd8c451"]}],"mendeley":{"formattedCitation":"(Callaway and Sant’Anna, 2021; Goodman-Bacon, 2021; Sun and Abraham, 2021)","plainTextFormattedCitation":"(Callaway and Sant’Anna, 2021; Goodman-Bacon, 2021; Sun and Abraham, 2021)","previouslyFormattedCitation":"(Callaway and Sant’Anna, 2021; Goodman-Bacon, 2021; Sun and Abraham, 2021)"},"properties":{"noteIndex":0},"schema":"https://github.com/citation-style-language/schema/raw/master/csl-citation.json"}</w:instrText>
      </w:r>
      <w:r w:rsidR="0078652B">
        <w:fldChar w:fldCharType="separate"/>
      </w:r>
      <w:r w:rsidR="002C17D4" w:rsidRPr="002C17D4">
        <w:rPr>
          <w:noProof/>
        </w:rPr>
        <w:t>(Callaway and Sant’Anna, 2021; Goodman-Bacon, 2021; Sun and Abraham, 2021)</w:t>
      </w:r>
      <w:r w:rsidR="0078652B">
        <w:fldChar w:fldCharType="end"/>
      </w:r>
      <w:r w:rsidR="0078652B">
        <w:t>. We compare</w:t>
      </w:r>
      <w:r w:rsidR="00BA3E9F">
        <w:t>d</w:t>
      </w:r>
      <w:r w:rsidR="0078652B">
        <w:t xml:space="preserve"> changes in mental health in local authority areas in which Universal Credit had been introduced with changes in mental health in local authority areas in which Universal Credit had not yet been introduced. We explore</w:t>
      </w:r>
      <w:r w:rsidR="00FF3D92">
        <w:t>d</w:t>
      </w:r>
      <w:r w:rsidR="0078652B">
        <w:t xml:space="preserve"> differences in effects across subgroup characteristics marking potential differences in vulnerability to benefit changes and differences in reasons for claiming universal credit.</w:t>
      </w:r>
    </w:p>
    <w:p w14:paraId="4F438AB4" w14:textId="7FADFD3E" w:rsidR="00EF6734" w:rsidRDefault="0084031D" w:rsidP="00E319BB">
      <w:pPr>
        <w:pStyle w:val="Heading2"/>
      </w:pPr>
      <w:r>
        <w:t>Determining the affected population</w:t>
      </w:r>
    </w:p>
    <w:p w14:paraId="41F53F5E" w14:textId="5E7F55E4" w:rsidR="00F172DA" w:rsidRDefault="00F172DA" w:rsidP="00F172DA">
      <w:pPr>
        <w:pStyle w:val="Body"/>
      </w:pPr>
      <w:r>
        <w:t>To determine comparable populations of potential UC claimants across the observed years for inclusion, we use</w:t>
      </w:r>
      <w:r w:rsidR="005F33B5">
        <w:t>d</w:t>
      </w:r>
      <w:r>
        <w:t xml:space="preserve"> two definitions of population of interest, one using empirical methods of determining exposure and one using prediction methods.</w:t>
      </w:r>
    </w:p>
    <w:p w14:paraId="788CCF63" w14:textId="4E7AEAD0" w:rsidR="00F172DA" w:rsidRDefault="00F172DA" w:rsidP="00F172DA">
      <w:pPr>
        <w:pStyle w:val="Body"/>
      </w:pPr>
      <w:r>
        <w:t xml:space="preserve">Under the empirical definition, the population of interest </w:t>
      </w:r>
      <w:r w:rsidR="00E730D9">
        <w:t>included</w:t>
      </w:r>
      <w:r>
        <w:t xml:space="preserve"> all respondents who report claiming either a legacy benefit (Job Seeker’s Allowance, Tax Credits, Housing Benefit, Income support, Income-based Employment and Support Allowance) or Universal Credit at any time point.</w:t>
      </w:r>
      <w:r w:rsidR="005F33B5">
        <w:t xml:space="preserve"> A limitation of this method is </w:t>
      </w:r>
      <w:r w:rsidR="00B94CF6">
        <w:t xml:space="preserve">that a </w:t>
      </w:r>
      <w:r w:rsidR="00312F3A">
        <w:t xml:space="preserve">potential claimant under one system may </w:t>
      </w:r>
      <w:r w:rsidR="00087460">
        <w:t>be</w:t>
      </w:r>
      <w:r w:rsidR="00312F3A">
        <w:t xml:space="preserve"> ineligible </w:t>
      </w:r>
      <w:r w:rsidR="002E0F67">
        <w:t xml:space="preserve">(or have been disincentivised from applying) </w:t>
      </w:r>
      <w:r w:rsidR="00312F3A">
        <w:t>under the other</w:t>
      </w:r>
      <w:r w:rsidR="003A6396">
        <w:t xml:space="preserve">. </w:t>
      </w:r>
      <w:r w:rsidR="009F5253">
        <w:t xml:space="preserve">Under the intended outputs of UC in encouraging claimants into work, </w:t>
      </w:r>
      <w:r w:rsidR="00D42040">
        <w:t xml:space="preserve">a person whose circumstances have been </w:t>
      </w:r>
      <w:r w:rsidR="00F76270">
        <w:t xml:space="preserve">thus affected by the UC rollout </w:t>
      </w:r>
      <w:r w:rsidR="00426573">
        <w:t>m</w:t>
      </w:r>
      <w:r w:rsidR="00BC2A2D">
        <w:t>ight</w:t>
      </w:r>
      <w:r w:rsidR="00426573">
        <w:t xml:space="preserve"> not be an observed claimant in the exposed period.</w:t>
      </w:r>
      <w:r w:rsidR="00D42040">
        <w:t xml:space="preserve"> </w:t>
      </w:r>
      <w:r w:rsidR="003A6396">
        <w:t xml:space="preserve">Matching cross-sectional populations by </w:t>
      </w:r>
      <w:r w:rsidR="000445FA">
        <w:t xml:space="preserve">observed </w:t>
      </w:r>
      <w:r w:rsidR="00BC2A2D">
        <w:t xml:space="preserve">benefit </w:t>
      </w:r>
      <w:r w:rsidR="000445FA">
        <w:t xml:space="preserve">receipt may not create exchangeable populations. Additionally, benefit receipt may </w:t>
      </w:r>
      <w:r w:rsidR="00E13415">
        <w:t>be differentially</w:t>
      </w:r>
      <w:r w:rsidR="00426573">
        <w:t xml:space="preserve"> underreported </w:t>
      </w:r>
      <w:r w:rsidR="00E13415">
        <w:t>under one or both systems.</w:t>
      </w:r>
      <w:r w:rsidR="00892BBB">
        <w:t xml:space="preserve"> The alternative approach of using observed characteristics </w:t>
      </w:r>
      <w:r w:rsidR="006B1624">
        <w:t>as straightforward markers of eligibility (for example, inc</w:t>
      </w:r>
      <w:r w:rsidR="00026DB9">
        <w:t xml:space="preserve">luding </w:t>
      </w:r>
      <w:r w:rsidR="00742418">
        <w:t>all unemployed</w:t>
      </w:r>
      <w:r w:rsidR="00026DB9">
        <w:t xml:space="preserve"> respondents)</w:t>
      </w:r>
      <w:r w:rsidR="00243093">
        <w:t xml:space="preserve"> is hampered by missing data on housing costs</w:t>
      </w:r>
      <w:r w:rsidR="001F3E4D">
        <w:t>, savings</w:t>
      </w:r>
      <w:r w:rsidR="00243093">
        <w:t xml:space="preserve"> and partner’s income</w:t>
      </w:r>
      <w:r w:rsidR="00ED45AD">
        <w:t xml:space="preserve"> which determine eligibility and payment amount.</w:t>
      </w:r>
    </w:p>
    <w:p w14:paraId="3626C964" w14:textId="6029797C" w:rsidR="0084031D" w:rsidRPr="0084031D" w:rsidRDefault="00D8519F" w:rsidP="0084031D">
      <w:pPr>
        <w:pStyle w:val="Body"/>
      </w:pPr>
      <w:r>
        <w:t xml:space="preserve">To overcome these potential biases, we used </w:t>
      </w:r>
      <w:r w:rsidR="005F6051">
        <w:t>a machine-learning model</w:t>
      </w:r>
      <w:r w:rsidR="006558EF">
        <w:t xml:space="preserve"> trained on simulated data</w:t>
      </w:r>
      <w:r w:rsidR="005F6051">
        <w:t xml:space="preserve"> to predict the probability of </w:t>
      </w:r>
      <w:r w:rsidR="00FA7856">
        <w:t>a person receiving UC under a full-UC-rollout scenario.</w:t>
      </w:r>
      <w:r w:rsidR="006558EF">
        <w:t xml:space="preserve"> We </w:t>
      </w:r>
      <w:r w:rsidR="00B41884">
        <w:t>used the UKMOD static tax-benefit microsimulation model</w:t>
      </w:r>
      <w:r w:rsidR="006722DF">
        <w:t xml:space="preserve"> to simulate benefit receipt </w:t>
      </w:r>
      <w:r w:rsidR="00ED557D">
        <w:t>for</w:t>
      </w:r>
      <w:r w:rsidR="006722DF">
        <w:t xml:space="preserve"> a donor population </w:t>
      </w:r>
      <w:r w:rsidR="002549F6">
        <w:t>(from the Family Resources Survey</w:t>
      </w:r>
      <w:r w:rsidR="00ED557D">
        <w:t xml:space="preserve">) under </w:t>
      </w:r>
      <w:r w:rsidR="00504395">
        <w:t xml:space="preserve">a full-UC-rollout scenario from </w:t>
      </w:r>
      <w:r w:rsidR="008631F0">
        <w:t>2014 to 2019</w:t>
      </w:r>
      <w:r w:rsidR="000019D2">
        <w:t xml:space="preserve">. </w:t>
      </w:r>
      <w:r w:rsidR="00490AE6">
        <w:t xml:space="preserve">We </w:t>
      </w:r>
      <w:r w:rsidR="00F73CCD">
        <w:t xml:space="preserve">trained a model to predict probability of receipt of Universal Credit from </w:t>
      </w:r>
      <w:r w:rsidR="00C54776">
        <w:t xml:space="preserve">a set of </w:t>
      </w:r>
      <w:r w:rsidR="003619D6">
        <w:t xml:space="preserve">individual and household characteristics </w:t>
      </w:r>
      <w:r w:rsidR="00CE69A1">
        <w:t xml:space="preserve">which were recorded in both the Family Resources Survey dataset and the APS dataset. We used this model to calculate a </w:t>
      </w:r>
      <w:r w:rsidR="00DE3629">
        <w:t xml:space="preserve">probability score for each observation in the APS dataset </w:t>
      </w:r>
      <w:r w:rsidR="00930EB4">
        <w:t xml:space="preserve">for receiving UC in the hypothetical scenario of exclusive and full UC </w:t>
      </w:r>
      <w:r w:rsidR="00F96675">
        <w:t xml:space="preserve">availability across all years. We assigned this probability as a weight to each respondent to </w:t>
      </w:r>
      <w:r w:rsidR="00B54AD1">
        <w:t xml:space="preserve">have a </w:t>
      </w:r>
      <w:r w:rsidR="00A86188">
        <w:t>comparably weighted</w:t>
      </w:r>
      <w:r w:rsidR="00B54AD1">
        <w:t xml:space="preserve"> </w:t>
      </w:r>
      <w:r w:rsidR="00437D20">
        <w:t xml:space="preserve">population across all years, giving greatest weight to those who were most likely to </w:t>
      </w:r>
      <w:r w:rsidR="00A86188">
        <w:t>be affected by the changes in benefit systems.</w:t>
      </w:r>
    </w:p>
    <w:p w14:paraId="63422517" w14:textId="72054561" w:rsidR="00B3387B" w:rsidRDefault="00E319BB" w:rsidP="00E319BB">
      <w:pPr>
        <w:pStyle w:val="Heading2"/>
      </w:pPr>
      <w:r>
        <w:t>Exposure</w:t>
      </w:r>
    </w:p>
    <w:p w14:paraId="66CEBD44" w14:textId="19A6C40D" w:rsidR="0017507F" w:rsidRDefault="00DF2BA8" w:rsidP="00E319BB">
      <w:pPr>
        <w:pStyle w:val="Body"/>
      </w:pPr>
      <w:r>
        <w:t xml:space="preserve">The </w:t>
      </w:r>
      <w:r w:rsidR="00211F03">
        <w:t>replacement of legacy benefits with UC broadly too</w:t>
      </w:r>
      <w:r w:rsidR="00577C10">
        <w:t>k place in three phases</w:t>
      </w:r>
      <w:r w:rsidR="00B02429">
        <w:t xml:space="preserve"> </w:t>
      </w:r>
      <w:r w:rsidR="00B02429">
        <w:fldChar w:fldCharType="begin" w:fldLock="1"/>
      </w:r>
      <w:r w:rsidR="000328E2">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id":"ITEM-3","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Pensions","given":"","non-dropping-particle":"","parse-names":false,"suffix":""}],"id":"ITEM-3","issued":{"date-parts":[["2018","12","12"]]},"note":"archived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 2022a; National Audit Office, 2018)","plainTextFormattedCitation":"(Department for Work &amp; Pensions, 2018b, 2022a; National Audit Office, 2018)","previouslyFormattedCitation":"(Department for Work &amp; Pensions, 2018b, 2022a; National Audit Office, 2018)"},"properties":{"noteIndex":0},"schema":"https://github.com/citation-style-language/schema/raw/master/csl-citation.json"}</w:instrText>
      </w:r>
      <w:r w:rsidR="00B02429">
        <w:fldChar w:fldCharType="separate"/>
      </w:r>
      <w:r w:rsidR="00B02429" w:rsidRPr="00577C10">
        <w:rPr>
          <w:noProof/>
        </w:rPr>
        <w:t>(Department for Work &amp; Pensions, 2018b, 2022a; National Audit Office, 2018)</w:t>
      </w:r>
      <w:r w:rsidR="00B02429">
        <w:fldChar w:fldCharType="end"/>
      </w:r>
      <w:r w:rsidR="0017507F">
        <w:t>:</w:t>
      </w:r>
    </w:p>
    <w:p w14:paraId="4DECB837" w14:textId="36530F6E" w:rsidR="0017507F" w:rsidRDefault="0017507F" w:rsidP="0017507F">
      <w:pPr>
        <w:pStyle w:val="Body"/>
        <w:numPr>
          <w:ilvl w:val="0"/>
          <w:numId w:val="18"/>
        </w:numPr>
      </w:pPr>
      <w:r>
        <w:t xml:space="preserve">The </w:t>
      </w:r>
      <w:r w:rsidR="00577C10">
        <w:t>restricted rollout</w:t>
      </w:r>
      <w:r w:rsidR="000F0AF6">
        <w:t xml:space="preserve"> </w:t>
      </w:r>
      <w:r>
        <w:t xml:space="preserve">of the ‘live service’ </w:t>
      </w:r>
      <w:r w:rsidR="000F0AF6">
        <w:t>from 2013</w:t>
      </w:r>
      <w:r w:rsidR="0079591D">
        <w:t xml:space="preserve"> to a </w:t>
      </w:r>
      <w:r w:rsidR="00FE2CF7">
        <w:t>limited subgroup</w:t>
      </w:r>
      <w:r w:rsidR="00D233B2">
        <w:t>,</w:t>
      </w:r>
      <w:r w:rsidR="00FE2CF7">
        <w:t xml:space="preserve"> mainly</w:t>
      </w:r>
      <w:r w:rsidR="007654F0">
        <w:t xml:space="preserve"> single, childless claimants</w:t>
      </w:r>
      <w:r>
        <w:t>.</w:t>
      </w:r>
    </w:p>
    <w:p w14:paraId="4A1FC71B" w14:textId="5E9529F8" w:rsidR="00FE2CF7" w:rsidRDefault="00FE2CF7" w:rsidP="0017507F">
      <w:pPr>
        <w:pStyle w:val="Body"/>
        <w:numPr>
          <w:ilvl w:val="0"/>
          <w:numId w:val="18"/>
        </w:numPr>
      </w:pPr>
      <w:r>
        <w:t xml:space="preserve">The full-service </w:t>
      </w:r>
      <w:r w:rsidR="00B02429">
        <w:t>‘</w:t>
      </w:r>
      <w:r w:rsidR="00577C10">
        <w:t>natural migration</w:t>
      </w:r>
      <w:r w:rsidR="00B02429">
        <w:t>’</w:t>
      </w:r>
      <w:r>
        <w:t xml:space="preserve"> period from 2016 onwards</w:t>
      </w:r>
      <w:r w:rsidR="00000495">
        <w:t xml:space="preserve"> – open to all claimant</w:t>
      </w:r>
      <w:r w:rsidR="00C81646">
        <w:t xml:space="preserve"> types but only applied to new claimants, </w:t>
      </w:r>
      <w:r w:rsidR="00C136EB">
        <w:t xml:space="preserve">existing claimants with changing circumstances necessitating a change in claim, and voluntary </w:t>
      </w:r>
      <w:r w:rsidR="00C54013">
        <w:t>benefit switchers.</w:t>
      </w:r>
    </w:p>
    <w:p w14:paraId="289F5968" w14:textId="2861387B" w:rsidR="00E319BB" w:rsidRDefault="00B02429" w:rsidP="0017507F">
      <w:pPr>
        <w:pStyle w:val="Body"/>
        <w:numPr>
          <w:ilvl w:val="0"/>
          <w:numId w:val="18"/>
        </w:numPr>
      </w:pPr>
      <w:r>
        <w:t>The concluding ‘</w:t>
      </w:r>
      <w:r w:rsidR="00577C10">
        <w:t>managed migration</w:t>
      </w:r>
      <w:r>
        <w:t>’</w:t>
      </w:r>
      <w:r w:rsidR="00C54013">
        <w:t xml:space="preserve"> phase, </w:t>
      </w:r>
      <w:r w:rsidR="000B00DA">
        <w:t>which was piloted in 2019-2020 but paused for the pandemic and restarted in 2022</w:t>
      </w:r>
      <w:r w:rsidR="000D22CA">
        <w:t xml:space="preserve">, implementing a </w:t>
      </w:r>
      <w:r w:rsidR="001A4CD2">
        <w:t>forced migration of all claimants to UC by 2024.</w:t>
      </w:r>
    </w:p>
    <w:p w14:paraId="5799C2E0" w14:textId="63116663" w:rsidR="001A4CD2" w:rsidRDefault="00D32517" w:rsidP="001A4CD2">
      <w:pPr>
        <w:pStyle w:val="Body"/>
      </w:pPr>
      <w:commentRangeStart w:id="2"/>
      <w:r>
        <w:t xml:space="preserve">Observing the whole </w:t>
      </w:r>
      <w:r w:rsidR="002A5167">
        <w:t>eligible population, we proposed using the natural migration dates</w:t>
      </w:r>
      <w:commentRangeEnd w:id="2"/>
      <w:r w:rsidR="003017F9">
        <w:rPr>
          <w:rStyle w:val="CommentReference"/>
        </w:rPr>
        <w:commentReference w:id="2"/>
      </w:r>
      <w:r w:rsidR="002A5167">
        <w:t xml:space="preserve"> as markers of</w:t>
      </w:r>
      <w:r w:rsidR="00181D96">
        <w:t xml:space="preserve"> exposure to Universal Credit if </w:t>
      </w:r>
      <w:r w:rsidR="00AB78A4">
        <w:t xml:space="preserve">the </w:t>
      </w:r>
      <w:r w:rsidR="00493B65">
        <w:t>respondent lived in an area already exposed at the time of data collection.</w:t>
      </w:r>
      <w:r w:rsidR="00767080">
        <w:t xml:space="preserve"> The</w:t>
      </w:r>
      <w:r w:rsidR="000328E2">
        <w:t xml:space="preserve"> dates</w:t>
      </w:r>
      <w:r w:rsidR="00B24DB9">
        <w:t xml:space="preserve"> by Job Centre Plus</w:t>
      </w:r>
      <w:r w:rsidR="000328E2">
        <w:t xml:space="preserve"> reported in the ‘</w:t>
      </w:r>
      <w:r w:rsidR="000328E2" w:rsidRPr="000328E2">
        <w:t>Universal Credit transition rollout schedule March 2018 to December 2018</w:t>
      </w:r>
      <w:r w:rsidR="000328E2">
        <w:t xml:space="preserve">’ </w:t>
      </w:r>
      <w:r w:rsidR="000328E2">
        <w:fldChar w:fldCharType="begin" w:fldLock="1"/>
      </w:r>
      <w:r w:rsidR="009B758E">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0328E2">
        <w:fldChar w:fldCharType="separate"/>
      </w:r>
      <w:r w:rsidR="000328E2" w:rsidRPr="000328E2">
        <w:rPr>
          <w:noProof/>
        </w:rPr>
        <w:t>(Department for Work &amp; Pensions, 2018b)</w:t>
      </w:r>
      <w:r w:rsidR="000328E2">
        <w:fldChar w:fldCharType="end"/>
      </w:r>
      <w:r w:rsidR="005319A0">
        <w:t xml:space="preserve"> were used to determine a </w:t>
      </w:r>
      <w:r w:rsidR="00626188">
        <w:t xml:space="preserve">first exposed date for each </w:t>
      </w:r>
      <w:r w:rsidR="00082526">
        <w:t>L</w:t>
      </w:r>
      <w:r w:rsidR="00626188">
        <w:t xml:space="preserve">ocal </w:t>
      </w:r>
      <w:r w:rsidR="00082526">
        <w:t>A</w:t>
      </w:r>
      <w:r w:rsidR="00626188">
        <w:t xml:space="preserve">uthority. These were matched to APS observations by </w:t>
      </w:r>
      <w:r w:rsidR="00082526" w:rsidRPr="00082526">
        <w:t>Local authority district</w:t>
      </w:r>
      <w:r w:rsidR="00DB714A">
        <w:t xml:space="preserve">. Each observation was assigned a ‘1’ for exposure if the </w:t>
      </w:r>
      <w:r w:rsidR="00C706AE">
        <w:t xml:space="preserve">reference date for that interview </w:t>
      </w:r>
      <w:r w:rsidR="00A34F0A">
        <w:t>matched or followed the month of rollout</w:t>
      </w:r>
      <w:r w:rsidR="00FD3DC7">
        <w:t xml:space="preserve"> and a ‘0’ otherwise</w:t>
      </w:r>
      <w:r w:rsidR="00A34F0A">
        <w:t xml:space="preserve">. Months from rollout </w:t>
      </w:r>
      <w:r w:rsidR="00FD3DC7">
        <w:t>were additionally assigned to each</w:t>
      </w:r>
      <w:r w:rsidR="00080D40">
        <w:t xml:space="preserve">, </w:t>
      </w:r>
      <w:r w:rsidR="00FD3DC7">
        <w:t>individual</w:t>
      </w:r>
      <w:r w:rsidR="00080D40">
        <w:t xml:space="preserve">, counting upwards from negative months to </w:t>
      </w:r>
      <w:r w:rsidR="00FD3DC7">
        <w:t>‘</w:t>
      </w:r>
      <w:r w:rsidR="00080D40">
        <w:t>0</w:t>
      </w:r>
      <w:r w:rsidR="00FD3DC7">
        <w:t xml:space="preserve">’ in the </w:t>
      </w:r>
      <w:r w:rsidR="00050B29">
        <w:t>month of planned natural migration in that district</w:t>
      </w:r>
      <w:r w:rsidR="00080D40">
        <w:t xml:space="preserve"> and </w:t>
      </w:r>
      <w:r w:rsidR="00236177">
        <w:t xml:space="preserve">a </w:t>
      </w:r>
      <w:r w:rsidR="0043597E">
        <w:t>positive count of months following</w:t>
      </w:r>
      <w:r w:rsidR="00050B29">
        <w:t>.</w:t>
      </w:r>
    </w:p>
    <w:p w14:paraId="5865B92F" w14:textId="6DBCDDAD" w:rsidR="00061FB5" w:rsidRDefault="008A673F" w:rsidP="008A673F">
      <w:pPr>
        <w:pStyle w:val="Heading2"/>
      </w:pPr>
      <w:r>
        <w:t>Outcomes</w:t>
      </w:r>
    </w:p>
    <w:p w14:paraId="0C11C570" w14:textId="32CB4B43" w:rsidR="00CD015F" w:rsidRPr="002833BD" w:rsidRDefault="00CD015F" w:rsidP="00CD015F">
      <w:pPr>
        <w:pStyle w:val="Body"/>
      </w:pPr>
      <w:r>
        <w:t>The four wellbeing outcomes</w:t>
      </w:r>
      <w:r w:rsidR="00F040DF">
        <w:t xml:space="preserve"> (</w:t>
      </w:r>
      <w:r w:rsidR="00F040DF">
        <w:fldChar w:fldCharType="begin"/>
      </w:r>
      <w:r w:rsidR="00F040DF">
        <w:instrText xml:space="preserve"> REF _Ref135039419 \h </w:instrText>
      </w:r>
      <w:r w:rsidR="00F040DF">
        <w:fldChar w:fldCharType="separate"/>
      </w:r>
      <w:r w:rsidR="00F040DF">
        <w:t>Table 1</w:t>
      </w:r>
      <w:r w:rsidR="00F040DF">
        <w:fldChar w:fldCharType="end"/>
      </w:r>
      <w:r w:rsidR="00F040DF">
        <w:t>)</w:t>
      </w:r>
      <w:r>
        <w:t xml:space="preserve"> were </w:t>
      </w:r>
      <w:r w:rsidR="004612E2">
        <w:t>recorded for each observation.</w:t>
      </w:r>
    </w:p>
    <w:tbl>
      <w:tblPr>
        <w:tblStyle w:val="PlainTable4"/>
        <w:tblW w:w="0" w:type="auto"/>
        <w:tblLook w:val="0420" w:firstRow="1" w:lastRow="0" w:firstColumn="0" w:lastColumn="0" w:noHBand="0" w:noVBand="1"/>
      </w:tblPr>
      <w:tblGrid>
        <w:gridCol w:w="3245"/>
        <w:gridCol w:w="3245"/>
        <w:gridCol w:w="3246"/>
      </w:tblGrid>
      <w:tr w:rsidR="00CD015F" w14:paraId="60093E07" w14:textId="77777777" w:rsidTr="00723582">
        <w:trPr>
          <w:cnfStyle w:val="100000000000" w:firstRow="1" w:lastRow="0" w:firstColumn="0" w:lastColumn="0" w:oddVBand="0" w:evenVBand="0" w:oddHBand="0" w:evenHBand="0" w:firstRowFirstColumn="0" w:firstRowLastColumn="0" w:lastRowFirstColumn="0" w:lastRowLastColumn="0"/>
        </w:trPr>
        <w:tc>
          <w:tcPr>
            <w:tcW w:w="3245" w:type="dxa"/>
          </w:tcPr>
          <w:p w14:paraId="20D00D64" w14:textId="77777777" w:rsidR="00CD015F" w:rsidRDefault="00CD015F" w:rsidP="00723582">
            <w:pPr>
              <w:pStyle w:val="Body"/>
            </w:pPr>
            <w:r>
              <w:t>Label</w:t>
            </w:r>
          </w:p>
        </w:tc>
        <w:tc>
          <w:tcPr>
            <w:tcW w:w="3245" w:type="dxa"/>
          </w:tcPr>
          <w:p w14:paraId="689E758A" w14:textId="77777777" w:rsidR="00CD015F" w:rsidRDefault="00CD015F" w:rsidP="00723582">
            <w:pPr>
              <w:pStyle w:val="Body"/>
            </w:pPr>
            <w:r>
              <w:t>Question in survey</w:t>
            </w:r>
          </w:p>
        </w:tc>
        <w:tc>
          <w:tcPr>
            <w:tcW w:w="3246" w:type="dxa"/>
          </w:tcPr>
          <w:p w14:paraId="22102286" w14:textId="77777777" w:rsidR="00CD015F" w:rsidRDefault="00CD015F" w:rsidP="00723582">
            <w:pPr>
              <w:pStyle w:val="Body"/>
            </w:pPr>
            <w:r>
              <w:t>Possible answers (on a scale of 0–10)</w:t>
            </w:r>
          </w:p>
        </w:tc>
      </w:tr>
      <w:tr w:rsidR="00CD015F" w14:paraId="716717C2"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5D9D7A18" w14:textId="77777777" w:rsidR="00CD015F" w:rsidRDefault="00CD015F" w:rsidP="00723582">
            <w:pPr>
              <w:pStyle w:val="Body"/>
            </w:pPr>
            <w:r>
              <w:t>Life Satisfaction</w:t>
            </w:r>
          </w:p>
        </w:tc>
        <w:tc>
          <w:tcPr>
            <w:tcW w:w="3245" w:type="dxa"/>
          </w:tcPr>
          <w:p w14:paraId="7D61C59A" w14:textId="77777777" w:rsidR="00CD015F" w:rsidRDefault="00CD015F" w:rsidP="00723582">
            <w:pPr>
              <w:pStyle w:val="Body"/>
            </w:pPr>
            <w:r>
              <w:t>“</w:t>
            </w:r>
            <w:r w:rsidRPr="009F46D8">
              <w:t>Overall, how satisfied are you with your life nowadays?</w:t>
            </w:r>
            <w:r>
              <w:t>”</w:t>
            </w:r>
          </w:p>
        </w:tc>
        <w:tc>
          <w:tcPr>
            <w:tcW w:w="3246" w:type="dxa"/>
          </w:tcPr>
          <w:p w14:paraId="2AE6B1D0" w14:textId="77777777" w:rsidR="00CD015F" w:rsidRDefault="00CD015F" w:rsidP="00723582">
            <w:pPr>
              <w:pStyle w:val="Body"/>
            </w:pPr>
            <w:r>
              <w:t>0 – ‘</w:t>
            </w:r>
            <w:r w:rsidRPr="004F4D15">
              <w:t>not at all satisfied</w:t>
            </w:r>
            <w:r>
              <w:t>’</w:t>
            </w:r>
          </w:p>
          <w:p w14:paraId="6F403E9E" w14:textId="77777777" w:rsidR="00CD015F" w:rsidRDefault="00CD015F" w:rsidP="00723582">
            <w:pPr>
              <w:pStyle w:val="Body"/>
            </w:pPr>
            <w:r>
              <w:t>To</w:t>
            </w:r>
          </w:p>
          <w:p w14:paraId="0EAF2D3C" w14:textId="77777777" w:rsidR="00CD015F" w:rsidRDefault="00CD015F" w:rsidP="00723582">
            <w:pPr>
              <w:pStyle w:val="Body"/>
            </w:pPr>
            <w:r w:rsidRPr="004F4D15">
              <w:t xml:space="preserve">10 </w:t>
            </w:r>
            <w:r>
              <w:t>–</w:t>
            </w:r>
            <w:r w:rsidRPr="004F4D15">
              <w:t xml:space="preserve"> 'completely satisfied'</w:t>
            </w:r>
          </w:p>
        </w:tc>
      </w:tr>
      <w:tr w:rsidR="00CD015F" w14:paraId="2D72B3A0" w14:textId="77777777" w:rsidTr="00723582">
        <w:tc>
          <w:tcPr>
            <w:tcW w:w="3245" w:type="dxa"/>
          </w:tcPr>
          <w:p w14:paraId="1B0759D3" w14:textId="77777777" w:rsidR="00CD015F" w:rsidRDefault="00CD015F" w:rsidP="00723582">
            <w:pPr>
              <w:pStyle w:val="Body"/>
            </w:pPr>
            <w:r>
              <w:t>Worthwhile</w:t>
            </w:r>
          </w:p>
        </w:tc>
        <w:tc>
          <w:tcPr>
            <w:tcW w:w="3245" w:type="dxa"/>
          </w:tcPr>
          <w:p w14:paraId="040DC04F" w14:textId="77777777" w:rsidR="00CD015F" w:rsidRDefault="00CD015F" w:rsidP="00723582">
            <w:pPr>
              <w:pStyle w:val="Body"/>
            </w:pPr>
            <w:r>
              <w:t>“</w:t>
            </w:r>
            <w:r w:rsidRPr="00B71BB3">
              <w:t>Overall, to what extent do you feel that the things you do in your life are worthwhile?</w:t>
            </w:r>
            <w:r>
              <w:t>”</w:t>
            </w:r>
          </w:p>
        </w:tc>
        <w:tc>
          <w:tcPr>
            <w:tcW w:w="3246" w:type="dxa"/>
          </w:tcPr>
          <w:p w14:paraId="1E974336" w14:textId="77777777" w:rsidR="00CD015F" w:rsidRDefault="00CD015F" w:rsidP="00723582">
            <w:pPr>
              <w:pStyle w:val="Body"/>
            </w:pPr>
            <w:r>
              <w:t xml:space="preserve">0 – </w:t>
            </w:r>
            <w:r w:rsidRPr="00646CCE">
              <w:t>'not at all worthwhile'</w:t>
            </w:r>
          </w:p>
          <w:p w14:paraId="2BFA1E0C" w14:textId="77777777" w:rsidR="00CD015F" w:rsidRDefault="00CD015F" w:rsidP="00723582">
            <w:pPr>
              <w:pStyle w:val="Body"/>
            </w:pPr>
            <w:r>
              <w:t>To</w:t>
            </w:r>
          </w:p>
          <w:p w14:paraId="355F8B60" w14:textId="77777777" w:rsidR="00CD015F" w:rsidRDefault="00CD015F" w:rsidP="00723582">
            <w:pPr>
              <w:pStyle w:val="Body"/>
            </w:pPr>
            <w:r w:rsidRPr="00646CCE">
              <w:t xml:space="preserve">10 </w:t>
            </w:r>
            <w:r>
              <w:t>–</w:t>
            </w:r>
            <w:r w:rsidRPr="00646CCE">
              <w:t xml:space="preserve"> 'completely worthwhile'</w:t>
            </w:r>
          </w:p>
        </w:tc>
      </w:tr>
      <w:tr w:rsidR="00CD015F" w14:paraId="41DDFC6F"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2461BB1F" w14:textId="77777777" w:rsidR="00CD015F" w:rsidRDefault="00CD015F" w:rsidP="00723582">
            <w:pPr>
              <w:pStyle w:val="Body"/>
            </w:pPr>
            <w:r>
              <w:t>Happiness</w:t>
            </w:r>
          </w:p>
        </w:tc>
        <w:tc>
          <w:tcPr>
            <w:tcW w:w="3245" w:type="dxa"/>
          </w:tcPr>
          <w:p w14:paraId="54545E5D" w14:textId="77777777" w:rsidR="00CD015F" w:rsidRDefault="00CD015F" w:rsidP="00723582">
            <w:pPr>
              <w:pStyle w:val="Body"/>
            </w:pPr>
            <w:r>
              <w:t>“How happy did you feel yesterday?”</w:t>
            </w:r>
          </w:p>
        </w:tc>
        <w:tc>
          <w:tcPr>
            <w:tcW w:w="3246" w:type="dxa"/>
          </w:tcPr>
          <w:p w14:paraId="43B50847" w14:textId="77777777" w:rsidR="00CD015F" w:rsidRDefault="00CD015F" w:rsidP="00723582">
            <w:pPr>
              <w:pStyle w:val="Body"/>
            </w:pPr>
            <w:r>
              <w:t xml:space="preserve">0 – </w:t>
            </w:r>
            <w:r w:rsidRPr="00646CCE">
              <w:t xml:space="preserve">'not at all </w:t>
            </w:r>
            <w:r>
              <w:t>happy’</w:t>
            </w:r>
          </w:p>
          <w:p w14:paraId="130B5440" w14:textId="77777777" w:rsidR="00CD015F" w:rsidRDefault="00CD015F" w:rsidP="00723582">
            <w:pPr>
              <w:pStyle w:val="Body"/>
            </w:pPr>
            <w:r>
              <w:t>To</w:t>
            </w:r>
          </w:p>
          <w:p w14:paraId="34ABE787" w14:textId="77777777" w:rsidR="00CD015F" w:rsidRDefault="00CD015F" w:rsidP="00723582">
            <w:pPr>
              <w:pStyle w:val="Body"/>
            </w:pPr>
            <w:r w:rsidRPr="00646CCE">
              <w:t xml:space="preserve">10 </w:t>
            </w:r>
            <w:r>
              <w:t>–</w:t>
            </w:r>
            <w:r w:rsidRPr="00646CCE">
              <w:t xml:space="preserve"> 'completely </w:t>
            </w:r>
            <w:r>
              <w:t>happy’</w:t>
            </w:r>
          </w:p>
        </w:tc>
      </w:tr>
      <w:tr w:rsidR="00CD015F" w14:paraId="56ADB82D" w14:textId="77777777" w:rsidTr="00723582">
        <w:tc>
          <w:tcPr>
            <w:tcW w:w="3245" w:type="dxa"/>
          </w:tcPr>
          <w:p w14:paraId="7C2A18B8" w14:textId="77777777" w:rsidR="00CD015F" w:rsidRDefault="00CD015F" w:rsidP="00723582">
            <w:pPr>
              <w:pStyle w:val="Body"/>
            </w:pPr>
            <w:r>
              <w:t>Anxiety</w:t>
            </w:r>
          </w:p>
        </w:tc>
        <w:tc>
          <w:tcPr>
            <w:tcW w:w="3245" w:type="dxa"/>
          </w:tcPr>
          <w:p w14:paraId="76034858" w14:textId="77777777" w:rsidR="00CD015F" w:rsidRDefault="00CD015F" w:rsidP="00723582">
            <w:pPr>
              <w:pStyle w:val="Body"/>
            </w:pPr>
            <w:r>
              <w:t>“How anxious did you feel yesterday?”</w:t>
            </w:r>
          </w:p>
        </w:tc>
        <w:tc>
          <w:tcPr>
            <w:tcW w:w="3246" w:type="dxa"/>
          </w:tcPr>
          <w:p w14:paraId="76FB61C2" w14:textId="77777777" w:rsidR="00CD015F" w:rsidRDefault="00CD015F" w:rsidP="00723582">
            <w:pPr>
              <w:pStyle w:val="Body"/>
            </w:pPr>
            <w:r>
              <w:t xml:space="preserve">0 – </w:t>
            </w:r>
            <w:r w:rsidRPr="00646CCE">
              <w:t xml:space="preserve">'not at all </w:t>
            </w:r>
            <w:r>
              <w:t>anxious’</w:t>
            </w:r>
          </w:p>
          <w:p w14:paraId="24E2512E" w14:textId="77777777" w:rsidR="00CD015F" w:rsidRDefault="00CD015F" w:rsidP="00723582">
            <w:pPr>
              <w:pStyle w:val="Body"/>
            </w:pPr>
            <w:r>
              <w:t>To</w:t>
            </w:r>
          </w:p>
          <w:p w14:paraId="19511560" w14:textId="77777777" w:rsidR="00CD015F" w:rsidRDefault="00CD015F" w:rsidP="00723582">
            <w:pPr>
              <w:pStyle w:val="Body"/>
              <w:keepNext/>
            </w:pPr>
            <w:r w:rsidRPr="00646CCE">
              <w:t xml:space="preserve">10 </w:t>
            </w:r>
            <w:r>
              <w:t>–</w:t>
            </w:r>
            <w:r w:rsidRPr="00646CCE">
              <w:t xml:space="preserve"> 'completely </w:t>
            </w:r>
            <w:r>
              <w:t>anxious’</w:t>
            </w:r>
          </w:p>
        </w:tc>
      </w:tr>
    </w:tbl>
    <w:p w14:paraId="617F67F1" w14:textId="77777777" w:rsidR="00CD015F" w:rsidRPr="002833BD" w:rsidRDefault="00CD015F" w:rsidP="00CD015F">
      <w:pPr>
        <w:pStyle w:val="Caption"/>
      </w:pPr>
      <w:bookmarkStart w:id="3" w:name="_Ref135039419"/>
      <w:r>
        <w:t xml:space="preserve">Table </w:t>
      </w:r>
      <w:fldSimple w:instr=" SEQ Table \* ARABIC ">
        <w:r>
          <w:t>1</w:t>
        </w:r>
      </w:fldSimple>
      <w:bookmarkEnd w:id="3"/>
      <w:r>
        <w:t xml:space="preserve"> – The four questions recording subjective wellbeing, recorded in the Annual Population Survey in data collected from April 2011. </w:t>
      </w:r>
    </w:p>
    <w:p w14:paraId="3888FCDA" w14:textId="77777777" w:rsidR="008A673F" w:rsidRDefault="008A673F" w:rsidP="004612E2">
      <w:pPr>
        <w:pStyle w:val="Captionspace"/>
      </w:pPr>
    </w:p>
    <w:p w14:paraId="70CEDB35" w14:textId="791CBA62" w:rsidR="004612E2" w:rsidRDefault="004612E2" w:rsidP="004612E2">
      <w:pPr>
        <w:pStyle w:val="Heading2"/>
      </w:pPr>
      <w:r>
        <w:t>Missing data</w:t>
      </w:r>
    </w:p>
    <w:p w14:paraId="1FB5F462" w14:textId="7B070152" w:rsidR="004612E2" w:rsidRDefault="00693C8F" w:rsidP="004612E2">
      <w:pPr>
        <w:pStyle w:val="Body"/>
      </w:pPr>
      <w:r>
        <w:t xml:space="preserve">We used multiple imputation methods to overcome potential biases due to missing data in our primary analyses. </w:t>
      </w:r>
      <w:r w:rsidR="009527DF">
        <w:t xml:space="preserve">Data </w:t>
      </w:r>
      <w:r w:rsidR="00F417BC">
        <w:t xml:space="preserve">of interest was missing for x% of respondents. The variable with the highest rate of missingness was earned income, </w:t>
      </w:r>
      <w:r w:rsidR="00F52867">
        <w:t xml:space="preserve">with </w:t>
      </w:r>
      <w:r w:rsidR="007C7DC3">
        <w:t xml:space="preserve">data missing for x% of eligible </w:t>
      </w:r>
      <w:r w:rsidR="00ED562A">
        <w:t>respondents</w:t>
      </w:r>
      <w:r w:rsidR="007C7DC3">
        <w:t>.</w:t>
      </w:r>
      <w:r w:rsidR="00ED562A">
        <w:t xml:space="preserve"> We generated [20] imputed datasets</w:t>
      </w:r>
      <w:r w:rsidR="005B4C27">
        <w:t>.</w:t>
      </w:r>
    </w:p>
    <w:p w14:paraId="37A8EDB1" w14:textId="6AD7D76E" w:rsidR="005B4C27" w:rsidRDefault="005B4C27" w:rsidP="004612E2">
      <w:pPr>
        <w:pStyle w:val="Body"/>
      </w:pPr>
      <w:r>
        <w:t xml:space="preserve">We additionally carried out a ‘complete case’ analysis of </w:t>
      </w:r>
      <w:r w:rsidR="00721C02">
        <w:t>all observations with complete data. We compared effect estimates between complete and imputed samples to examine robustness of findings.</w:t>
      </w:r>
    </w:p>
    <w:p w14:paraId="4DFCE1AF" w14:textId="040C30EA" w:rsidR="004612E2" w:rsidRDefault="004612E2" w:rsidP="004612E2">
      <w:pPr>
        <w:pStyle w:val="Heading2"/>
      </w:pPr>
      <w:r>
        <w:t>Statistical analysis</w:t>
      </w:r>
    </w:p>
    <w:p w14:paraId="768A2FDF" w14:textId="2D88CC7C" w:rsidR="00721C02" w:rsidRDefault="005B7627" w:rsidP="00721C02">
      <w:pPr>
        <w:pStyle w:val="Body"/>
        <w:rPr>
          <w:lang w:eastAsia="ko-KR"/>
        </w:rPr>
      </w:pPr>
      <w:r>
        <w:t xml:space="preserve">We used difference-in-differences methods </w:t>
      </w:r>
      <w:r w:rsidR="00573CA5">
        <w:t xml:space="preserve">to </w:t>
      </w:r>
      <w:r w:rsidR="008F0289">
        <w:t xml:space="preserve">estimate the effects of the introduction of Universal Credit on mental health and wellbeing. </w:t>
      </w:r>
      <w:r w:rsidR="00EE4F61">
        <w:t>T</w:t>
      </w:r>
      <w:r w:rsidR="004B3A13">
        <w:t>wo-way fixed-effects</w:t>
      </w:r>
      <w:r w:rsidR="00D4727E">
        <w:t xml:space="preserve"> (TWFE)</w:t>
      </w:r>
      <w:r w:rsidR="004B3A13">
        <w:t xml:space="preserve"> estimates</w:t>
      </w:r>
      <w:r w:rsidR="00C35F19">
        <w:t xml:space="preserve"> </w:t>
      </w:r>
      <w:r w:rsidR="0013473D">
        <w:t>compar</w:t>
      </w:r>
      <w:r w:rsidR="002770DD">
        <w:t>e</w:t>
      </w:r>
      <w:r w:rsidR="0013473D">
        <w:t xml:space="preserve"> exposed with non-yet-exposed units</w:t>
      </w:r>
      <w:r w:rsidR="00EE4F61">
        <w:t xml:space="preserve"> can ensure comparison of exchangeable units. However, in cases of </w:t>
      </w:r>
      <w:r w:rsidR="000541D4">
        <w:t>varying treatment timing and effect size</w:t>
      </w:r>
      <w:r w:rsidR="00C35F19">
        <w:t xml:space="preserve"> </w:t>
      </w:r>
      <w:r w:rsidR="00A1243D">
        <w:t xml:space="preserve">this </w:t>
      </w:r>
      <w:r w:rsidR="009F51B5">
        <w:t xml:space="preserve">can introduce error </w:t>
      </w:r>
      <w:r w:rsidR="009B758E">
        <w:t xml:space="preserve">in estimating </w:t>
      </w:r>
      <w:r w:rsidR="000541D4">
        <w:t>magnitude</w:t>
      </w:r>
      <w:r w:rsidR="009B758E">
        <w:t xml:space="preserve"> and direction</w:t>
      </w:r>
      <w:r w:rsidR="000541D4">
        <w:t xml:space="preserve"> of outcome</w:t>
      </w:r>
      <w:r w:rsidR="009B758E">
        <w:t xml:space="preserve"> </w:t>
      </w:r>
      <w:r w:rsidR="009B758E">
        <w:fldChar w:fldCharType="begin" w:fldLock="1"/>
      </w:r>
      <w:r w:rsidR="00F05201">
        <w:instrText>ADDIN CSL_CITATION {"citationItems":[{"id":"ITEM-1","itemData":{"DOI":"10.1016/J.JECONOM.2021.03.014","ISSN":"0304-4076","abstract":"The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Econometrics","id":"ITEM-1","issue":"2","issued":{"date-parts":[["2021","12","1"]]},"page":"254-277","publisher":"North-Holland","title":"Difference-in-differences with variation in treatment timing","type":"article-journal","volume":"225"},"uris":["http://www.mendeley.com/documents/?uuid=32aaae27-e56e-3f37-9e02-706b45f6a6a1"]},{"id":"ITEM-2","itemData":{"DOI":"10.1086/711509","ISSN":"2333-5955","abstract":"This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research.","author":[{"dropping-particle":"","family":"Roth","given":"Jonathan","non-dropping-particle":"","parse-names":false,"suffix":""},{"dropping-particle":"","family":"Sant'Anna","given":"Pedro H. C.","non-dropping-particle":"","parse-names":false,"suffix":""},{"dropping-particle":"","family":"Bilinski","given":"Alyssa","non-dropping-particle":"","parse-names":false,"suffix":""},{"dropping-particle":"","family":"Poe","given":"John","non-dropping-particle":"","parse-names":false,"suffix":""}],"container-title":"Papers","id":"ITEM-2","issue":"2","issued":{"date-parts":[["2022","3","1"]]},"page":"235-275","publisher":"arXiv.org","title":"What's Trending in Difference-in-Differences? A Synthesis of the Recent Econometrics Literature","type":"article-journal","volume":"8"},"uris":["http://www.mendeley.com/documents/?uuid=d4a57cc8-d646-311c-9691-e66f398eee85"]}],"mendeley":{"formattedCitation":"(Goodman-Bacon, 2021; Roth &lt;i&gt;et al.&lt;/i&gt;, 2022)","plainTextFormattedCitation":"(Goodman-Bacon, 2021; Roth et al., 2022)","previouslyFormattedCitation":"(Goodman-Bacon, 2021; Roth &lt;i&gt;et al.&lt;/i&gt;, 2022)"},"properties":{"noteIndex":0},"schema":"https://github.com/citation-style-language/schema/raw/master/csl-citation.json"}</w:instrText>
      </w:r>
      <w:r w:rsidR="009B758E">
        <w:fldChar w:fldCharType="separate"/>
      </w:r>
      <w:r w:rsidR="009B758E" w:rsidRPr="009B758E">
        <w:rPr>
          <w:noProof/>
        </w:rPr>
        <w:t xml:space="preserve">(Goodman-Bacon, 2021; Roth </w:t>
      </w:r>
      <w:r w:rsidR="009B758E" w:rsidRPr="009B758E">
        <w:rPr>
          <w:i/>
          <w:noProof/>
        </w:rPr>
        <w:t>et al.</w:t>
      </w:r>
      <w:r w:rsidR="009B758E" w:rsidRPr="009B758E">
        <w:rPr>
          <w:noProof/>
        </w:rPr>
        <w:t>, 2022)</w:t>
      </w:r>
      <w:r w:rsidR="009B758E">
        <w:fldChar w:fldCharType="end"/>
      </w:r>
      <w:r w:rsidR="002146BE">
        <w:t>.</w:t>
      </w:r>
      <w:r w:rsidR="00253B1B">
        <w:t xml:space="preserve"> We </w:t>
      </w:r>
      <w:r w:rsidR="00D4727E">
        <w:t>ran</w:t>
      </w:r>
      <w:r w:rsidR="00253B1B">
        <w:t xml:space="preserve"> TWFE </w:t>
      </w:r>
      <w:r w:rsidR="00D4727E">
        <w:t>models and</w:t>
      </w:r>
      <w:r w:rsidR="00F829C2">
        <w:t xml:space="preserve"> examined </w:t>
      </w:r>
      <w:r w:rsidR="006202E0">
        <w:t>effect estimate by treatment timing using decomposition to test for bias due to heterogeneous treatment effects.</w:t>
      </w:r>
      <w:r w:rsidR="005D59D1">
        <w:t xml:space="preserve"> In further models, to overcome anticipated bias</w:t>
      </w:r>
      <w:r w:rsidR="001F0D13">
        <w:t xml:space="preserve">, we </w:t>
      </w:r>
      <w:r w:rsidR="00F05201">
        <w:t xml:space="preserve">used </w:t>
      </w:r>
      <w:r w:rsidR="005D59D1">
        <w:t xml:space="preserve">the </w:t>
      </w:r>
      <w:r w:rsidR="001D107F">
        <w:t xml:space="preserve">R </w:t>
      </w:r>
      <w:r w:rsidR="001D107F">
        <w:rPr>
          <w:lang w:eastAsia="ko-KR"/>
        </w:rPr>
        <w:t>package ‘did2s’</w:t>
      </w:r>
      <w:r w:rsidR="00037579">
        <w:rPr>
          <w:lang w:eastAsia="ko-KR"/>
        </w:rPr>
        <w:t xml:space="preserve"> </w:t>
      </w:r>
      <w:r w:rsidR="00037579">
        <w:fldChar w:fldCharType="begin" w:fldLock="1"/>
      </w:r>
      <w:r w:rsidR="00EA2F48">
        <w:rPr>
          <w:lang w:eastAsia="ko-KR"/>
        </w:rPr>
        <w:instrText>ADDIN CSL_CITATION {"citationItems":[{"id":"ITEM-1","itemData":{"abstract":"Recent work has highlighted the difficulties of estimating difference-in-differences models when treatment timing occurs at different times for different units. This article introduces the R package did2s which implements the estimator introduced in Gardner (2021). The article provides an approachable review of the underlying econometric theory and introduces the syntax for the function did2s. Further, the package introduces a function, event_study, that provides a common syntax for all the modern event-study estimators and plot_event_study to plot the results of each estimator.","author":[{"dropping-particle":"","family":"Butts","given":"Kyle","non-dropping-particle":"","parse-names":false,"suffix":""},{"dropping-particle":"","family":"Gardner","given":"John","non-dropping-particle":"","parse-names":false,"suffix":""}],"container-title":"arXiv","id":"ITEM-1","issued":{"date-parts":[["2021"]]},"page":"1-13","title":"did2s: Two-Stage Difference-in-Differences","type":"article-journal"},"uris":["http://www.mendeley.com/documents/?uuid=570d924f-b58b-4883-bc24-b3ae7434bf55"]}],"mendeley":{"formattedCitation":"(Butts and Gardner, 2021)","plainTextFormattedCitation":"(Butts and Gardner, 2021)","previouslyFormattedCitation":"(Butts and Gardner, 2021)"},"properties":{"noteIndex":0},"schema":"https://github.com/citation-style-language/schema/raw/master/csl-citation.json"}</w:instrText>
      </w:r>
      <w:r w:rsidR="00037579">
        <w:fldChar w:fldCharType="separate"/>
      </w:r>
      <w:r w:rsidR="00037579" w:rsidRPr="00037579">
        <w:rPr>
          <w:noProof/>
          <w:lang w:eastAsia="ko-KR"/>
        </w:rPr>
        <w:t>(Butts and Gardner, 2021)</w:t>
      </w:r>
      <w:r w:rsidR="00037579">
        <w:fldChar w:fldCharType="end"/>
      </w:r>
      <w:r w:rsidR="005D59D1">
        <w:t xml:space="preserve"> to </w:t>
      </w:r>
      <w:r w:rsidR="002D641E">
        <w:t xml:space="preserve">implement the methods of </w:t>
      </w:r>
      <w:r w:rsidR="00EA2F48">
        <w:t xml:space="preserve">Callaway and Sant’Anna </w:t>
      </w:r>
      <w:r w:rsidR="00EA2F48">
        <w:fldChar w:fldCharType="begin" w:fldLock="1"/>
      </w:r>
      <w:r w:rsidR="00D851AF">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suppress-author":1,"uris":["http://www.mendeley.com/documents/?uuid=b06db115-6296-429d-ad95-50fac728fb5a"]}],"mendeley":{"formattedCitation":"(2021)","plainTextFormattedCitation":"(2021)","previouslyFormattedCitation":"(2021)"},"properties":{"noteIndex":0},"schema":"https://github.com/citation-style-language/schema/raw/master/csl-citation.json"}</w:instrText>
      </w:r>
      <w:r w:rsidR="00EA2F48">
        <w:fldChar w:fldCharType="separate"/>
      </w:r>
      <w:r w:rsidR="00EA2F48" w:rsidRPr="00EA2F48">
        <w:rPr>
          <w:noProof/>
        </w:rPr>
        <w:t>(2021)</w:t>
      </w:r>
      <w:r w:rsidR="00EA2F48">
        <w:fldChar w:fldCharType="end"/>
      </w:r>
      <w:r w:rsidR="002D641E">
        <w:t xml:space="preserve"> </w:t>
      </w:r>
      <w:r w:rsidR="002F084F">
        <w:t>and</w:t>
      </w:r>
      <w:r w:rsidR="005D59D1">
        <w:t xml:space="preserve"> ‘</w:t>
      </w:r>
      <w:r w:rsidR="005D59D1" w:rsidRPr="00F05201">
        <w:t>Two-stage differences in differences</w:t>
      </w:r>
      <w:r w:rsidR="005D59D1">
        <w:t xml:space="preserve">’ approach by Gardner </w:t>
      </w:r>
      <w:r w:rsidR="005D59D1">
        <w:fldChar w:fldCharType="begin" w:fldLock="1"/>
      </w:r>
      <w:r w:rsidR="005D59D1">
        <w:instrText>ADDIN CSL_CITATION {"citationItems":[{"id":"ITEM-1","itemData":{"author":[{"dropping-particle":"","family":"Gardner","given":"John","non-dropping-particle":"","parse-names":false,"suffix":""}],"container-title":"Working Paper","id":"ITEM-1","issue":"April","issued":{"date-parts":[["2021"]]},"title":"Two-stage differences in differences","type":"article-journal"},"suppress-author":1,"uris":["http://www.mendeley.com/documents/?uuid=7f5e1292-9968-4121-a77f-f2deff67c0e0"]}],"mendeley":{"formattedCitation":"(2021)","plainTextFormattedCitation":"(2021)","previouslyFormattedCitation":"(2021)"},"properties":{"noteIndex":0},"schema":"https://github.com/citation-style-language/schema/raw/master/csl-citation.json"}</w:instrText>
      </w:r>
      <w:r w:rsidR="005D59D1">
        <w:fldChar w:fldCharType="separate"/>
      </w:r>
      <w:r w:rsidR="005D59D1" w:rsidRPr="00F05201">
        <w:rPr>
          <w:noProof/>
        </w:rPr>
        <w:t>(2021)</w:t>
      </w:r>
      <w:r w:rsidR="005D59D1">
        <w:fldChar w:fldCharType="end"/>
      </w:r>
      <w:r w:rsidR="002F084F">
        <w:t xml:space="preserve"> as two comparable alternatives</w:t>
      </w:r>
      <w:r w:rsidR="003B3F99">
        <w:rPr>
          <w:lang w:eastAsia="ko-KR"/>
        </w:rPr>
        <w:t>.</w:t>
      </w:r>
      <w:r w:rsidR="004216D6">
        <w:rPr>
          <w:lang w:eastAsia="ko-KR"/>
        </w:rPr>
        <w:t xml:space="preserve"> </w:t>
      </w:r>
      <w:r w:rsidR="004B2DC4">
        <w:rPr>
          <w:lang w:eastAsia="ko-KR"/>
        </w:rPr>
        <w:t xml:space="preserve">We used each method to estimate a static effect estimate </w:t>
      </w:r>
      <w:r w:rsidR="00623FF8">
        <w:rPr>
          <w:lang w:eastAsia="ko-KR"/>
        </w:rPr>
        <w:t>across the four quarters following the rollout date in each Local Authority. We further used e</w:t>
      </w:r>
      <w:r w:rsidR="004216D6">
        <w:rPr>
          <w:lang w:eastAsia="ko-KR"/>
        </w:rPr>
        <w:t xml:space="preserve">ach method </w:t>
      </w:r>
      <w:r w:rsidR="00623FF8">
        <w:rPr>
          <w:lang w:eastAsia="ko-KR"/>
        </w:rPr>
        <w:t>to produce</w:t>
      </w:r>
      <w:r w:rsidR="004216D6">
        <w:rPr>
          <w:lang w:eastAsia="ko-KR"/>
        </w:rPr>
        <w:t xml:space="preserve"> a </w:t>
      </w:r>
      <w:r w:rsidR="005C158D">
        <w:rPr>
          <w:lang w:eastAsia="ko-KR"/>
        </w:rPr>
        <w:t xml:space="preserve">coefficient and standard error term for each </w:t>
      </w:r>
      <w:r w:rsidR="00623FF8">
        <w:rPr>
          <w:lang w:eastAsia="ko-KR"/>
        </w:rPr>
        <w:t>quarterly</w:t>
      </w:r>
      <w:r w:rsidR="005C158D">
        <w:rPr>
          <w:lang w:eastAsia="ko-KR"/>
        </w:rPr>
        <w:t xml:space="preserve"> period </w:t>
      </w:r>
      <w:r w:rsidR="00645696">
        <w:rPr>
          <w:lang w:eastAsia="ko-KR"/>
        </w:rPr>
        <w:t>before and after introduction of Universal Credit</w:t>
      </w:r>
      <w:r w:rsidR="005B22B9">
        <w:rPr>
          <w:lang w:eastAsia="ko-KR"/>
        </w:rPr>
        <w:t xml:space="preserve"> to examine timings and patters of effects</w:t>
      </w:r>
      <w:r w:rsidR="00645696">
        <w:rPr>
          <w:lang w:eastAsia="ko-KR"/>
        </w:rPr>
        <w:t>.</w:t>
      </w:r>
    </w:p>
    <w:p w14:paraId="23C0BF04" w14:textId="77777777" w:rsidR="00EF1E43" w:rsidRDefault="00EF1E43" w:rsidP="00721C02">
      <w:pPr>
        <w:pStyle w:val="Body"/>
        <w:rPr>
          <w:lang w:eastAsia="ko-KR"/>
        </w:rPr>
        <w:sectPr w:rsidR="00EF1E43" w:rsidSect="00342103">
          <w:pgSz w:w="11906" w:h="16838"/>
          <w:pgMar w:top="1440" w:right="1080" w:bottom="1440" w:left="1080" w:header="708" w:footer="708" w:gutter="0"/>
          <w:cols w:space="708"/>
          <w:docGrid w:linePitch="360"/>
        </w:sectPr>
      </w:pPr>
    </w:p>
    <w:p w14:paraId="179CC46B" w14:textId="0471ED21" w:rsidR="00EF1E43" w:rsidRDefault="00EF1E43" w:rsidP="00EF1E43">
      <w:pPr>
        <w:pStyle w:val="Heading1"/>
        <w:rPr>
          <w:lang w:eastAsia="ko-KR"/>
        </w:rPr>
      </w:pPr>
      <w:r>
        <w:rPr>
          <w:lang w:eastAsia="ko-KR"/>
        </w:rPr>
        <w:t>References</w:t>
      </w:r>
    </w:p>
    <w:p w14:paraId="32E47708" w14:textId="535266C5" w:rsidR="00EF1E43" w:rsidRPr="00EF1E43" w:rsidRDefault="00EF1E43" w:rsidP="00EF1E43">
      <w:pPr>
        <w:widowControl w:val="0"/>
        <w:autoSpaceDE w:val="0"/>
        <w:autoSpaceDN w:val="0"/>
        <w:adjustRightInd w:val="0"/>
        <w:spacing w:after="240" w:line="360" w:lineRule="auto"/>
        <w:rPr>
          <w:rFonts w:cs="Arial"/>
          <w:noProof/>
          <w:szCs w:val="24"/>
        </w:rPr>
      </w:pPr>
      <w:r>
        <w:rPr>
          <w:lang w:eastAsia="ko-KR"/>
        </w:rPr>
        <w:fldChar w:fldCharType="begin" w:fldLock="1"/>
      </w:r>
      <w:r>
        <w:rPr>
          <w:lang w:eastAsia="ko-KR"/>
        </w:rPr>
        <w:instrText xml:space="preserve">ADDIN Mendeley Bibliography CSL_BIBLIOGRAPHY </w:instrText>
      </w:r>
      <w:r>
        <w:rPr>
          <w:lang w:eastAsia="ko-KR"/>
        </w:rPr>
        <w:fldChar w:fldCharType="separate"/>
      </w:r>
      <w:r w:rsidRPr="00EF1E43">
        <w:rPr>
          <w:rFonts w:cs="Arial"/>
          <w:noProof/>
          <w:szCs w:val="24"/>
        </w:rPr>
        <w:t xml:space="preserve">Baxter, A. </w:t>
      </w:r>
      <w:r w:rsidRPr="00EF1E43">
        <w:rPr>
          <w:rFonts w:cs="Arial"/>
          <w:i/>
          <w:iCs/>
          <w:noProof/>
          <w:szCs w:val="24"/>
        </w:rPr>
        <w:t>et al.</w:t>
      </w:r>
      <w:r w:rsidRPr="00EF1E43">
        <w:rPr>
          <w:rFonts w:cs="Arial"/>
          <w:noProof/>
          <w:szCs w:val="24"/>
        </w:rPr>
        <w:t xml:space="preserve"> (2022) ‘Difference-in-difference effect estimates of the mental health impacts of the implementation of Universal Credit using Annual Population Survey data (2013-2018 rollout period) - Protocol and documentation’, </w:t>
      </w:r>
      <w:r w:rsidRPr="00EF1E43">
        <w:rPr>
          <w:rFonts w:cs="Arial"/>
          <w:i/>
          <w:iCs/>
          <w:noProof/>
          <w:szCs w:val="24"/>
        </w:rPr>
        <w:t>OSF</w:t>
      </w:r>
      <w:r w:rsidRPr="00EF1E43">
        <w:rPr>
          <w:rFonts w:cs="Arial"/>
          <w:noProof/>
          <w:szCs w:val="24"/>
        </w:rPr>
        <w:t>. doi: 10.17605/OSF.IO/KNAJB.</w:t>
      </w:r>
    </w:p>
    <w:p w14:paraId="01B74CD8"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Brewer, M., Dang, T. and Tominey, E. (2022) </w:t>
      </w:r>
      <w:r w:rsidRPr="00EF1E43">
        <w:rPr>
          <w:rFonts w:cs="Arial"/>
          <w:i/>
          <w:iCs/>
          <w:noProof/>
          <w:szCs w:val="24"/>
        </w:rPr>
        <w:t>Universal Credit: Welfare Reform and Mental Health</w:t>
      </w:r>
      <w:r w:rsidRPr="00EF1E43">
        <w:rPr>
          <w:rFonts w:cs="Arial"/>
          <w:noProof/>
          <w:szCs w:val="24"/>
        </w:rPr>
        <w:t>. Available at: https://ideas.repec.org/p/iza/izadps/dp15178.html.</w:t>
      </w:r>
    </w:p>
    <w:p w14:paraId="700BB343"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Butts, K. and Gardner, J. (2021) ‘did2s: Two-Stage Difference-in-Differences’, </w:t>
      </w:r>
      <w:r w:rsidRPr="00EF1E43">
        <w:rPr>
          <w:rFonts w:cs="Arial"/>
          <w:i/>
          <w:iCs/>
          <w:noProof/>
          <w:szCs w:val="24"/>
        </w:rPr>
        <w:t>arXiv</w:t>
      </w:r>
      <w:r w:rsidRPr="00EF1E43">
        <w:rPr>
          <w:rFonts w:cs="Arial"/>
          <w:noProof/>
          <w:szCs w:val="24"/>
        </w:rPr>
        <w:t>, pp. 1–13. Available at: http://arxiv.org/abs/2109.05913.</w:t>
      </w:r>
    </w:p>
    <w:p w14:paraId="0BE90569"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Callaway, B. and Sant’Anna, P. H. C. (2021) ‘Difference-in-Differences with multiple time periods’, </w:t>
      </w:r>
      <w:r w:rsidRPr="00EF1E43">
        <w:rPr>
          <w:rFonts w:cs="Arial"/>
          <w:i/>
          <w:iCs/>
          <w:noProof/>
          <w:szCs w:val="24"/>
        </w:rPr>
        <w:t>Journal of Econometrics</w:t>
      </w:r>
      <w:r w:rsidRPr="00EF1E43">
        <w:rPr>
          <w:rFonts w:cs="Arial"/>
          <w:noProof/>
          <w:szCs w:val="24"/>
        </w:rPr>
        <w:t>, 225(2), pp. 200–230. doi: 10.1016/j.jeconom.2020.12.001.</w:t>
      </w:r>
    </w:p>
    <w:p w14:paraId="05813F20"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Centre for Microsimulation and Policy Analysis (2022) </w:t>
      </w:r>
      <w:r w:rsidRPr="00EF1E43">
        <w:rPr>
          <w:rFonts w:cs="Arial"/>
          <w:i/>
          <w:iCs/>
          <w:noProof/>
          <w:szCs w:val="24"/>
        </w:rPr>
        <w:t>UKMOD - Tax-benefit microsimulation model for the UK</w:t>
      </w:r>
      <w:r w:rsidRPr="00EF1E43">
        <w:rPr>
          <w:rFonts w:cs="Arial"/>
          <w:noProof/>
          <w:szCs w:val="24"/>
        </w:rPr>
        <w:t>. Available at: https://www.microsimulation.ac.uk/ukmod/ (Accessed: 7 December 2022).</w:t>
      </w:r>
    </w:p>
    <w:p w14:paraId="4A5F6805"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Cheetham, M. </w:t>
      </w:r>
      <w:r w:rsidRPr="00EF1E43">
        <w:rPr>
          <w:rFonts w:cs="Arial"/>
          <w:i/>
          <w:iCs/>
          <w:noProof/>
          <w:szCs w:val="24"/>
        </w:rPr>
        <w:t>et al.</w:t>
      </w:r>
      <w:r w:rsidRPr="00EF1E43">
        <w:rPr>
          <w:rFonts w:cs="Arial"/>
          <w:noProof/>
          <w:szCs w:val="24"/>
        </w:rPr>
        <w:t xml:space="preserve"> (2019) ‘Impact of Universal Credit in North East England: a qualitative study of claimants and support staff’, </w:t>
      </w:r>
      <w:r w:rsidRPr="00EF1E43">
        <w:rPr>
          <w:rFonts w:cs="Arial"/>
          <w:i/>
          <w:iCs/>
          <w:noProof/>
          <w:szCs w:val="24"/>
        </w:rPr>
        <w:t>BMJ Open</w:t>
      </w:r>
      <w:r w:rsidRPr="00EF1E43">
        <w:rPr>
          <w:rFonts w:cs="Arial"/>
          <w:noProof/>
          <w:szCs w:val="24"/>
        </w:rPr>
        <w:t>, 9(7), p. e029611. doi: 10.1136/BMJOPEN-2019-029611.</w:t>
      </w:r>
    </w:p>
    <w:p w14:paraId="492666E6"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(2017) ‘Natural Experiments: An overview of methods, approaches, and contributions to public health intervention research.’, </w:t>
      </w:r>
      <w:r w:rsidRPr="00EF1E43">
        <w:rPr>
          <w:rFonts w:cs="Arial"/>
          <w:i/>
          <w:iCs/>
          <w:noProof/>
          <w:szCs w:val="24"/>
        </w:rPr>
        <w:t>Annual review of public health</w:t>
      </w:r>
      <w:r w:rsidRPr="00EF1E43">
        <w:rPr>
          <w:rFonts w:cs="Arial"/>
          <w:noProof/>
          <w:szCs w:val="24"/>
        </w:rPr>
        <w:t>, 38(1), pp. 39–56. doi: 10.1146/annurev-publhealth-031816-044327.</w:t>
      </w:r>
    </w:p>
    <w:p w14:paraId="614672A6"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(2019) </w:t>
      </w:r>
      <w:r w:rsidRPr="00EF1E43">
        <w:rPr>
          <w:rFonts w:cs="Arial"/>
          <w:i/>
          <w:iCs/>
          <w:noProof/>
          <w:szCs w:val="24"/>
        </w:rPr>
        <w:t>Developing and evaluating complex interventions: new guidance</w:t>
      </w:r>
      <w:r w:rsidRPr="00EF1E43">
        <w:rPr>
          <w:rFonts w:cs="Arial"/>
          <w:noProof/>
          <w:szCs w:val="24"/>
        </w:rPr>
        <w:t>. Medical Research Council. Available at: www.mrc.ac.uk/complexinterventionsguidance.</w:t>
      </w:r>
    </w:p>
    <w:p w14:paraId="66A93620"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Craig, P. </w:t>
      </w:r>
      <w:r w:rsidRPr="00EF1E43">
        <w:rPr>
          <w:rFonts w:cs="Arial"/>
          <w:i/>
          <w:iCs/>
          <w:noProof/>
          <w:szCs w:val="24"/>
        </w:rPr>
        <w:t>et al.</w:t>
      </w:r>
      <w:r w:rsidRPr="00EF1E43">
        <w:rPr>
          <w:rFonts w:cs="Arial"/>
          <w:noProof/>
          <w:szCs w:val="24"/>
        </w:rPr>
        <w:t xml:space="preserve"> (2022) ‘Evaluation of the mental health impacts of Universal Credit: protocol for a mixed methods study’, </w:t>
      </w:r>
      <w:r w:rsidRPr="00EF1E43">
        <w:rPr>
          <w:rFonts w:cs="Arial"/>
          <w:i/>
          <w:iCs/>
          <w:noProof/>
          <w:szCs w:val="24"/>
        </w:rPr>
        <w:t>BMJ Open</w:t>
      </w:r>
      <w:r w:rsidRPr="00EF1E43">
        <w:rPr>
          <w:rFonts w:cs="Arial"/>
          <w:noProof/>
          <w:szCs w:val="24"/>
        </w:rPr>
        <w:t>, 12(4), p. e061340. doi: 10.1136/BMJOPEN-2022-061340.</w:t>
      </w:r>
    </w:p>
    <w:p w14:paraId="048E5214"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Department for Work &amp; Pensions (2018a) </w:t>
      </w:r>
      <w:r w:rsidRPr="00EF1E43">
        <w:rPr>
          <w:rFonts w:cs="Arial"/>
          <w:i/>
          <w:iCs/>
          <w:noProof/>
          <w:szCs w:val="24"/>
        </w:rPr>
        <w:t>Universal Credit Full Service Survey</w:t>
      </w:r>
      <w:r w:rsidRPr="00EF1E43">
        <w:rPr>
          <w:rFonts w:cs="Arial"/>
          <w:noProof/>
          <w:szCs w:val="24"/>
        </w:rPr>
        <w:t>. Available at: https://www.gov.uk/government/publications/universal-credit-full-service-claimant-survey (Accessed: 13 December 2022).</w:t>
      </w:r>
    </w:p>
    <w:p w14:paraId="62EF84AF"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Department for Work &amp; Pensions (2018b) </w:t>
      </w:r>
      <w:r w:rsidRPr="00EF1E43">
        <w:rPr>
          <w:rFonts w:cs="Arial"/>
          <w:i/>
          <w:iCs/>
          <w:noProof/>
          <w:szCs w:val="24"/>
        </w:rPr>
        <w:t>Universal Credit transition rollout schedule March 2018 to December 2018</w:t>
      </w:r>
      <w:r w:rsidRPr="00EF1E43">
        <w:rPr>
          <w:rFonts w:cs="Arial"/>
          <w:noProof/>
          <w:szCs w:val="24"/>
        </w:rPr>
        <w:t>. Available at: https://www.gov.uk/government/publications/universal-credit-transition-to-full-service/universal-credit-transition-rollout-schedule-march-2018-to-december-2018 (Accessed: 16 February 2022).</w:t>
      </w:r>
    </w:p>
    <w:p w14:paraId="19C208FD"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Department for Work &amp; Pensions (2022a) </w:t>
      </w:r>
      <w:r w:rsidRPr="00EF1E43">
        <w:rPr>
          <w:rFonts w:cs="Arial"/>
          <w:i/>
          <w:iCs/>
          <w:noProof/>
          <w:szCs w:val="24"/>
        </w:rPr>
        <w:t>Completing the move to Universal Credit</w:t>
      </w:r>
      <w:r w:rsidRPr="00EF1E43">
        <w:rPr>
          <w:rFonts w:cs="Arial"/>
          <w:noProof/>
          <w:szCs w:val="24"/>
        </w:rPr>
        <w:t>. London. Available at: https://www.gov.uk/government/publications/completing-the-move-to-universal-credit/completing-the-move-to-universal-credit--2 (Accessed: 15 June 2022).</w:t>
      </w:r>
    </w:p>
    <w:p w14:paraId="43DF9C77"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Department for Work &amp; Pensions (2022b) </w:t>
      </w:r>
      <w:r w:rsidRPr="00EF1E43">
        <w:rPr>
          <w:rFonts w:cs="Arial"/>
          <w:i/>
          <w:iCs/>
          <w:noProof/>
          <w:szCs w:val="24"/>
        </w:rPr>
        <w:t>Universal Credit and your claimant commitment</w:t>
      </w:r>
      <w:r w:rsidRPr="00EF1E43">
        <w:rPr>
          <w:rFonts w:cs="Arial"/>
          <w:noProof/>
          <w:szCs w:val="24"/>
        </w:rPr>
        <w:t xml:space="preserve">, </w:t>
      </w:r>
      <w:r w:rsidRPr="00EF1E43">
        <w:rPr>
          <w:rFonts w:cs="Arial"/>
          <w:i/>
          <w:iCs/>
          <w:noProof/>
          <w:szCs w:val="24"/>
        </w:rPr>
        <w:t>GOV.UK Guidance</w:t>
      </w:r>
      <w:r w:rsidRPr="00EF1E43">
        <w:rPr>
          <w:rFonts w:cs="Arial"/>
          <w:noProof/>
          <w:szCs w:val="24"/>
        </w:rPr>
        <w:t>. Available at: https://www.gov.uk/government/publications/universal-credit-and-your-claimant-commitment-quick-guide/universal-credit-and-your-claimant-commitment (Accessed: 21 December 2022).</w:t>
      </w:r>
    </w:p>
    <w:p w14:paraId="748250CD"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Department for Work &amp; Pensions (2023) </w:t>
      </w:r>
      <w:r w:rsidRPr="00EF1E43">
        <w:rPr>
          <w:rFonts w:cs="Arial"/>
          <w:i/>
          <w:iCs/>
          <w:noProof/>
          <w:szCs w:val="24"/>
        </w:rPr>
        <w:t>Universal Credit statistics: background information and methodology</w:t>
      </w:r>
      <w:r w:rsidRPr="00EF1E43">
        <w:rPr>
          <w:rFonts w:cs="Arial"/>
          <w:noProof/>
          <w:szCs w:val="24"/>
        </w:rPr>
        <w:t>. London. Available at: https://www.gov.uk/government/publications/universal-credit-statistics-background-information-and-methodology/universal-credit-statistics-background-information-and-methodology (Accessed: 17 March 2023).</w:t>
      </w:r>
    </w:p>
    <w:p w14:paraId="4662C4EE"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Gardner, J. (2021) ‘Two-stage differences in differences’, </w:t>
      </w:r>
      <w:r w:rsidRPr="00EF1E43">
        <w:rPr>
          <w:rFonts w:cs="Arial"/>
          <w:i/>
          <w:iCs/>
          <w:noProof/>
          <w:szCs w:val="24"/>
        </w:rPr>
        <w:t>Working Paper</w:t>
      </w:r>
      <w:r w:rsidRPr="00EF1E43">
        <w:rPr>
          <w:rFonts w:cs="Arial"/>
          <w:noProof/>
          <w:szCs w:val="24"/>
        </w:rPr>
        <w:t>, (April).</w:t>
      </w:r>
    </w:p>
    <w:p w14:paraId="5629AD0F"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Goodman-Bacon, A. (2021) ‘Difference-in-differences with variation in treatment timing’, </w:t>
      </w:r>
      <w:r w:rsidRPr="00EF1E43">
        <w:rPr>
          <w:rFonts w:cs="Arial"/>
          <w:i/>
          <w:iCs/>
          <w:noProof/>
          <w:szCs w:val="24"/>
        </w:rPr>
        <w:t>Journal of Econometrics</w:t>
      </w:r>
      <w:r w:rsidRPr="00EF1E43">
        <w:rPr>
          <w:rFonts w:cs="Arial"/>
          <w:noProof/>
          <w:szCs w:val="24"/>
        </w:rPr>
        <w:t>, 225(2), pp. 254–277. doi: 10.1016/J.JECONOM.2021.03.014.</w:t>
      </w:r>
    </w:p>
    <w:p w14:paraId="17E1070C"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Hernán, M. A. and Robins, J. M. (2016) ‘Using Big Data to Emulate a Target Trial When a Randomized Trial Is Not Available’, </w:t>
      </w:r>
      <w:r w:rsidRPr="00EF1E43">
        <w:rPr>
          <w:rFonts w:cs="Arial"/>
          <w:i/>
          <w:iCs/>
          <w:noProof/>
          <w:szCs w:val="24"/>
        </w:rPr>
        <w:t>American Journal of Epidemiology</w:t>
      </w:r>
      <w:r w:rsidRPr="00EF1E43">
        <w:rPr>
          <w:rFonts w:cs="Arial"/>
          <w:noProof/>
          <w:szCs w:val="24"/>
        </w:rPr>
        <w:t>, 183(8), pp. 758–764. doi: 10.1093/aje/kwv254.</w:t>
      </w:r>
    </w:p>
    <w:p w14:paraId="2ED80EBC"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Matthews, A. A. </w:t>
      </w:r>
      <w:r w:rsidRPr="00EF1E43">
        <w:rPr>
          <w:rFonts w:cs="Arial"/>
          <w:i/>
          <w:iCs/>
          <w:noProof/>
          <w:szCs w:val="24"/>
        </w:rPr>
        <w:t>et al.</w:t>
      </w:r>
      <w:r w:rsidRPr="00EF1E43">
        <w:rPr>
          <w:rFonts w:cs="Arial"/>
          <w:noProof/>
          <w:szCs w:val="24"/>
        </w:rPr>
        <w:t xml:space="preserve"> (2022) ‘Target trial emulation: applying principles of randomised trials to observational studies’, </w:t>
      </w:r>
      <w:r w:rsidRPr="00EF1E43">
        <w:rPr>
          <w:rFonts w:cs="Arial"/>
          <w:i/>
          <w:iCs/>
          <w:noProof/>
          <w:szCs w:val="24"/>
        </w:rPr>
        <w:t>BMJ</w:t>
      </w:r>
      <w:r w:rsidRPr="00EF1E43">
        <w:rPr>
          <w:rFonts w:cs="Arial"/>
          <w:noProof/>
          <w:szCs w:val="24"/>
        </w:rPr>
        <w:t>, 378. doi: 10.1136/BMJ-2022-071108.</w:t>
      </w:r>
    </w:p>
    <w:p w14:paraId="31B9FEB1"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National Audit Office (2018) </w:t>
      </w:r>
      <w:r w:rsidRPr="00EF1E43">
        <w:rPr>
          <w:rFonts w:cs="Arial"/>
          <w:i/>
          <w:iCs/>
          <w:noProof/>
          <w:szCs w:val="24"/>
        </w:rPr>
        <w:t>Rolling out Universal Credit</w:t>
      </w:r>
      <w:r w:rsidRPr="00EF1E43">
        <w:rPr>
          <w:rFonts w:cs="Arial"/>
          <w:noProof/>
          <w:szCs w:val="24"/>
        </w:rPr>
        <w:t>. London. Available at: https://www.nao.org.uk/wp-content/uploads/2018/06/Rolling-out-Universal-Credit.pdf (Accessed: 17 August 2021).</w:t>
      </w:r>
    </w:p>
    <w:p w14:paraId="476C8F36"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Office for National Statistics (2012) </w:t>
      </w:r>
      <w:r w:rsidRPr="00EF1E43">
        <w:rPr>
          <w:rFonts w:cs="Arial"/>
          <w:i/>
          <w:iCs/>
          <w:noProof/>
          <w:szCs w:val="24"/>
        </w:rPr>
        <w:t>Annual population survey (APS) QMI</w:t>
      </w:r>
      <w:r w:rsidRPr="00EF1E43">
        <w:rPr>
          <w:rFonts w:cs="Arial"/>
          <w:noProof/>
          <w:szCs w:val="24"/>
        </w:rPr>
        <w:t>. Available at: https://www.ons.gov.uk/employmentandlabourmarket/peopleinwork/employmentandemployeetypes/methodologies/annualpopulationsurveyapsqmi (Accessed: 11 February 2022).</w:t>
      </w:r>
    </w:p>
    <w:p w14:paraId="2ABEEC53"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Office for National Statistics (2018) </w:t>
      </w:r>
      <w:r w:rsidRPr="00EF1E43">
        <w:rPr>
          <w:rFonts w:cs="Arial"/>
          <w:i/>
          <w:iCs/>
          <w:noProof/>
          <w:szCs w:val="24"/>
        </w:rPr>
        <w:t>Personal well-being user guidance</w:t>
      </w:r>
      <w:r w:rsidRPr="00EF1E43">
        <w:rPr>
          <w:rFonts w:cs="Arial"/>
          <w:noProof/>
          <w:szCs w:val="24"/>
        </w:rPr>
        <w:t>. Available at: https://www.ons.gov.uk/peoplepopulationandcommunity/wellbeing/methodologies/personalwellbeingsurveyuserguide (Accessed: 17 March 2023).</w:t>
      </w:r>
    </w:p>
    <w:p w14:paraId="797D0098"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Office for National Statistics - Social Survey Division (2022) ‘Annual Population Survey, 2004-2021: Secure Access’. UK Data Service. doi: 10.5255/UKDA-SN-6721-22.</w:t>
      </w:r>
    </w:p>
    <w:p w14:paraId="4B8CBC42"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Roth, J. </w:t>
      </w:r>
      <w:r w:rsidRPr="00EF1E43">
        <w:rPr>
          <w:rFonts w:cs="Arial"/>
          <w:i/>
          <w:iCs/>
          <w:noProof/>
          <w:szCs w:val="24"/>
        </w:rPr>
        <w:t>et al.</w:t>
      </w:r>
      <w:r w:rsidRPr="00EF1E43">
        <w:rPr>
          <w:rFonts w:cs="Arial"/>
          <w:noProof/>
          <w:szCs w:val="24"/>
        </w:rPr>
        <w:t xml:space="preserve"> (2022) ‘What’s Trending in Difference-in-Differences? A Synthesis of the Recent Econometrics Literature’, </w:t>
      </w:r>
      <w:r w:rsidRPr="00EF1E43">
        <w:rPr>
          <w:rFonts w:cs="Arial"/>
          <w:i/>
          <w:iCs/>
          <w:noProof/>
          <w:szCs w:val="24"/>
        </w:rPr>
        <w:t>Papers</w:t>
      </w:r>
      <w:r w:rsidRPr="00EF1E43">
        <w:rPr>
          <w:rFonts w:cs="Arial"/>
          <w:noProof/>
          <w:szCs w:val="24"/>
        </w:rPr>
        <w:t>, 8(2), pp. 235–275. doi: 10.1086/711509.</w:t>
      </w:r>
    </w:p>
    <w:p w14:paraId="711EFF53" w14:textId="77777777" w:rsidR="00EF1E43" w:rsidRPr="00EF1E43" w:rsidRDefault="00EF1E43" w:rsidP="00EF1E43">
      <w:pPr>
        <w:widowControl w:val="0"/>
        <w:autoSpaceDE w:val="0"/>
        <w:autoSpaceDN w:val="0"/>
        <w:adjustRightInd w:val="0"/>
        <w:spacing w:after="240" w:line="360" w:lineRule="auto"/>
        <w:rPr>
          <w:rFonts w:cs="Arial"/>
          <w:noProof/>
          <w:szCs w:val="24"/>
        </w:rPr>
      </w:pPr>
      <w:r w:rsidRPr="00EF1E43">
        <w:rPr>
          <w:rFonts w:cs="Arial"/>
          <w:noProof/>
          <w:szCs w:val="24"/>
        </w:rPr>
        <w:t xml:space="preserve">Sun, L. and Abraham, S. (2021) ‘Estimating dynamic treatment effects in event studies with heterogeneous treatment effects’, </w:t>
      </w:r>
      <w:r w:rsidRPr="00EF1E43">
        <w:rPr>
          <w:rFonts w:cs="Arial"/>
          <w:i/>
          <w:iCs/>
          <w:noProof/>
          <w:szCs w:val="24"/>
        </w:rPr>
        <w:t>Journal of Econometrics</w:t>
      </w:r>
      <w:r w:rsidRPr="00EF1E43">
        <w:rPr>
          <w:rFonts w:cs="Arial"/>
          <w:noProof/>
          <w:szCs w:val="24"/>
        </w:rPr>
        <w:t>, 225(2), pp. 175–199. doi: 10.1016/J.JECONOM.2020.09.006.</w:t>
      </w:r>
    </w:p>
    <w:p w14:paraId="4D35FAB4" w14:textId="77777777" w:rsidR="00EF1E43" w:rsidRPr="00EF1E43" w:rsidRDefault="00EF1E43" w:rsidP="00EF1E43">
      <w:pPr>
        <w:widowControl w:val="0"/>
        <w:autoSpaceDE w:val="0"/>
        <w:autoSpaceDN w:val="0"/>
        <w:adjustRightInd w:val="0"/>
        <w:spacing w:after="240" w:line="360" w:lineRule="auto"/>
        <w:rPr>
          <w:rFonts w:cs="Arial"/>
          <w:noProof/>
        </w:rPr>
      </w:pPr>
      <w:r w:rsidRPr="00EF1E43">
        <w:rPr>
          <w:rFonts w:cs="Arial"/>
          <w:noProof/>
          <w:szCs w:val="24"/>
        </w:rPr>
        <w:t xml:space="preserve">Wickham, S. </w:t>
      </w:r>
      <w:r w:rsidRPr="00EF1E43">
        <w:rPr>
          <w:rFonts w:cs="Arial"/>
          <w:i/>
          <w:iCs/>
          <w:noProof/>
          <w:szCs w:val="24"/>
        </w:rPr>
        <w:t>et al.</w:t>
      </w:r>
      <w:r w:rsidRPr="00EF1E43">
        <w:rPr>
          <w:rFonts w:cs="Arial"/>
          <w:noProof/>
          <w:szCs w:val="24"/>
        </w:rPr>
        <w:t xml:space="preserve"> (2020) ‘Effects on mental health of a UK welfare reform, Universal Credit: a longitudinal controlled study’, </w:t>
      </w:r>
      <w:r w:rsidRPr="00EF1E43">
        <w:rPr>
          <w:rFonts w:cs="Arial"/>
          <w:i/>
          <w:iCs/>
          <w:noProof/>
          <w:szCs w:val="24"/>
        </w:rPr>
        <w:t>The Lancet Public Health</w:t>
      </w:r>
      <w:r w:rsidRPr="00EF1E43">
        <w:rPr>
          <w:rFonts w:cs="Arial"/>
          <w:noProof/>
          <w:szCs w:val="24"/>
        </w:rPr>
        <w:t>, 5(3), pp. e157–e164. doi: 10.1016/S2468-2667(20)30026-8.</w:t>
      </w:r>
    </w:p>
    <w:p w14:paraId="79CB1FE9" w14:textId="61009809" w:rsidR="00EF1E43" w:rsidRPr="00EF1E43" w:rsidRDefault="00EF1E43" w:rsidP="00EF1E43">
      <w:pPr>
        <w:pStyle w:val="Body"/>
        <w:rPr>
          <w:lang w:eastAsia="ko-KR"/>
        </w:rPr>
      </w:pPr>
      <w:r>
        <w:rPr>
          <w:lang w:eastAsia="ko-KR"/>
        </w:rPr>
        <w:fldChar w:fldCharType="end"/>
      </w:r>
    </w:p>
    <w:sectPr w:rsidR="00EF1E43" w:rsidRPr="00EF1E43" w:rsidSect="0034210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y Baxter" w:date="2023-04-24T15:34:00Z" w:initials="AB">
    <w:p w14:paraId="7F960D41" w14:textId="77777777" w:rsidR="006268BB" w:rsidRDefault="000A6D5B" w:rsidP="0041783F">
      <w:pPr>
        <w:pStyle w:val="CommentText"/>
      </w:pPr>
      <w:r>
        <w:rPr>
          <w:rStyle w:val="CommentReference"/>
        </w:rPr>
        <w:annotationRef/>
      </w:r>
      <w:r w:rsidR="006268BB">
        <w:t>A largely copied declaration of the overall study design. It's a clear heading, but most elements are repeated</w:t>
      </w:r>
    </w:p>
  </w:comment>
  <w:comment w:id="2" w:author="Andy Baxter" w:date="2023-07-11T11:36:00Z" w:initials="AB">
    <w:p w14:paraId="1AA8B365" w14:textId="77777777" w:rsidR="003017F9" w:rsidRDefault="003017F9">
      <w:pPr>
        <w:pStyle w:val="CommentText"/>
      </w:pPr>
      <w:r>
        <w:rPr>
          <w:rStyle w:val="CommentReference"/>
        </w:rPr>
        <w:annotationRef/>
      </w:r>
      <w:r>
        <w:t>Change:</w:t>
      </w:r>
    </w:p>
    <w:p w14:paraId="54F6F764" w14:textId="77777777" w:rsidR="003017F9" w:rsidRDefault="003017F9">
      <w:pPr>
        <w:pStyle w:val="CommentText"/>
      </w:pPr>
      <w:r>
        <w:t>- we first replicated Wickham, using single, childless claimants set as exposed at time of first rollout</w:t>
      </w:r>
    </w:p>
    <w:p w14:paraId="217D9F08" w14:textId="77777777" w:rsidR="003017F9" w:rsidRDefault="003017F9">
      <w:pPr>
        <w:pStyle w:val="CommentText"/>
      </w:pPr>
      <w:r>
        <w:t>- control here: not-yet-exposed single, childless</w:t>
      </w:r>
    </w:p>
    <w:p w14:paraId="6B4AB85E" w14:textId="77777777" w:rsidR="003017F9" w:rsidRDefault="003017F9">
      <w:pPr>
        <w:pStyle w:val="CommentText"/>
      </w:pPr>
      <w:r>
        <w:t>- we then did whole pop at natural migration rollout date (or filter off single, childless?)</w:t>
      </w:r>
    </w:p>
    <w:p w14:paraId="1DF4C8B9" w14:textId="77777777" w:rsidR="003017F9" w:rsidRDefault="003017F9" w:rsidP="00426004">
      <w:pPr>
        <w:pStyle w:val="CommentText"/>
      </w:pPr>
      <w:r>
        <w:t>- or we did whole population with own rollout dates based 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60D41" w15:done="0"/>
  <w15:commentEx w15:paraId="1DF4C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11FE8" w16cex:dateUtc="2023-04-24T14:34:00Z"/>
  <w16cex:commentExtensible w16cex:durableId="2857BD32" w16cex:dateUtc="2023-07-11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60D41" w16cid:durableId="27F11FE8"/>
  <w16cid:commentId w16cid:paraId="1DF4C8B9" w16cid:durableId="2857B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DC88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B267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AE3B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C8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4E01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028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F46C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D035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7874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483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526AB"/>
    <w:multiLevelType w:val="hybridMultilevel"/>
    <w:tmpl w:val="6928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7449F4"/>
    <w:multiLevelType w:val="hybridMultilevel"/>
    <w:tmpl w:val="2D1CC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B7170"/>
    <w:multiLevelType w:val="hybridMultilevel"/>
    <w:tmpl w:val="4AF4E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319D8"/>
    <w:multiLevelType w:val="hybridMultilevel"/>
    <w:tmpl w:val="14A46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403A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54286E"/>
    <w:multiLevelType w:val="hybridMultilevel"/>
    <w:tmpl w:val="2E6C4E64"/>
    <w:lvl w:ilvl="0" w:tplc="C45CB80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D766A"/>
    <w:multiLevelType w:val="hybridMultilevel"/>
    <w:tmpl w:val="11BA8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FA49ED"/>
    <w:multiLevelType w:val="hybridMultilevel"/>
    <w:tmpl w:val="7920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0921681">
    <w:abstractNumId w:val="9"/>
  </w:num>
  <w:num w:numId="2" w16cid:durableId="1218006411">
    <w:abstractNumId w:val="7"/>
  </w:num>
  <w:num w:numId="3" w16cid:durableId="1442653545">
    <w:abstractNumId w:val="6"/>
  </w:num>
  <w:num w:numId="4" w16cid:durableId="1764649229">
    <w:abstractNumId w:val="5"/>
  </w:num>
  <w:num w:numId="5" w16cid:durableId="54358525">
    <w:abstractNumId w:val="4"/>
  </w:num>
  <w:num w:numId="6" w16cid:durableId="217789545">
    <w:abstractNumId w:val="8"/>
  </w:num>
  <w:num w:numId="7" w16cid:durableId="1675372781">
    <w:abstractNumId w:val="3"/>
  </w:num>
  <w:num w:numId="8" w16cid:durableId="948314653">
    <w:abstractNumId w:val="2"/>
  </w:num>
  <w:num w:numId="9" w16cid:durableId="1759138056">
    <w:abstractNumId w:val="1"/>
  </w:num>
  <w:num w:numId="10" w16cid:durableId="1798180000">
    <w:abstractNumId w:val="0"/>
  </w:num>
  <w:num w:numId="11" w16cid:durableId="420611140">
    <w:abstractNumId w:val="14"/>
  </w:num>
  <w:num w:numId="12" w16cid:durableId="1818262772">
    <w:abstractNumId w:val="12"/>
  </w:num>
  <w:num w:numId="13" w16cid:durableId="1062099936">
    <w:abstractNumId w:val="13"/>
  </w:num>
  <w:num w:numId="14" w16cid:durableId="574511803">
    <w:abstractNumId w:val="11"/>
  </w:num>
  <w:num w:numId="15" w16cid:durableId="1560439426">
    <w:abstractNumId w:val="10"/>
  </w:num>
  <w:num w:numId="16" w16cid:durableId="1575046469">
    <w:abstractNumId w:val="16"/>
  </w:num>
  <w:num w:numId="17" w16cid:durableId="53822931">
    <w:abstractNumId w:val="17"/>
  </w:num>
  <w:num w:numId="18" w16cid:durableId="8225072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Baxter">
    <w15:presenceInfo w15:providerId="AD" w15:userId="S::Andy.Baxter@glasgow.ac.uk::f2c91b8a-6c10-44fd-9477-2edb7c110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8B"/>
    <w:rsid w:val="00000495"/>
    <w:rsid w:val="000019D2"/>
    <w:rsid w:val="000078C7"/>
    <w:rsid w:val="0001323E"/>
    <w:rsid w:val="000163AB"/>
    <w:rsid w:val="00021285"/>
    <w:rsid w:val="00022851"/>
    <w:rsid w:val="00024B8E"/>
    <w:rsid w:val="00026DB9"/>
    <w:rsid w:val="000323F6"/>
    <w:rsid w:val="000328E2"/>
    <w:rsid w:val="00037579"/>
    <w:rsid w:val="00040A52"/>
    <w:rsid w:val="00040D60"/>
    <w:rsid w:val="00042CA0"/>
    <w:rsid w:val="000431DD"/>
    <w:rsid w:val="000445FA"/>
    <w:rsid w:val="00044E60"/>
    <w:rsid w:val="000464CC"/>
    <w:rsid w:val="00050B29"/>
    <w:rsid w:val="000541D4"/>
    <w:rsid w:val="00061FB5"/>
    <w:rsid w:val="00066835"/>
    <w:rsid w:val="00080D40"/>
    <w:rsid w:val="00082526"/>
    <w:rsid w:val="00084F9F"/>
    <w:rsid w:val="00086B1E"/>
    <w:rsid w:val="00087460"/>
    <w:rsid w:val="000A1894"/>
    <w:rsid w:val="000A5276"/>
    <w:rsid w:val="000A540B"/>
    <w:rsid w:val="000A6D5B"/>
    <w:rsid w:val="000B00DA"/>
    <w:rsid w:val="000B2883"/>
    <w:rsid w:val="000B5D5D"/>
    <w:rsid w:val="000B5E5F"/>
    <w:rsid w:val="000B7F40"/>
    <w:rsid w:val="000D22CA"/>
    <w:rsid w:val="000D2E9C"/>
    <w:rsid w:val="000E44A2"/>
    <w:rsid w:val="000E712A"/>
    <w:rsid w:val="000F05F6"/>
    <w:rsid w:val="000F0AF6"/>
    <w:rsid w:val="000F6A84"/>
    <w:rsid w:val="00116009"/>
    <w:rsid w:val="00121E83"/>
    <w:rsid w:val="00123482"/>
    <w:rsid w:val="00127CD9"/>
    <w:rsid w:val="001332F5"/>
    <w:rsid w:val="0013473D"/>
    <w:rsid w:val="00143E80"/>
    <w:rsid w:val="00157564"/>
    <w:rsid w:val="00157F62"/>
    <w:rsid w:val="0016052E"/>
    <w:rsid w:val="00164A9F"/>
    <w:rsid w:val="0017507F"/>
    <w:rsid w:val="001810F4"/>
    <w:rsid w:val="00181D96"/>
    <w:rsid w:val="00191ABF"/>
    <w:rsid w:val="001A0291"/>
    <w:rsid w:val="001A4CD2"/>
    <w:rsid w:val="001A615B"/>
    <w:rsid w:val="001A6A3B"/>
    <w:rsid w:val="001A7E07"/>
    <w:rsid w:val="001C040F"/>
    <w:rsid w:val="001D107F"/>
    <w:rsid w:val="001D1EB9"/>
    <w:rsid w:val="001E2F5E"/>
    <w:rsid w:val="001F0D13"/>
    <w:rsid w:val="001F3E4D"/>
    <w:rsid w:val="002046C6"/>
    <w:rsid w:val="00211F03"/>
    <w:rsid w:val="002146BE"/>
    <w:rsid w:val="00220AB2"/>
    <w:rsid w:val="00225BC5"/>
    <w:rsid w:val="00233A67"/>
    <w:rsid w:val="00234AAC"/>
    <w:rsid w:val="00235C1E"/>
    <w:rsid w:val="00236177"/>
    <w:rsid w:val="002413CD"/>
    <w:rsid w:val="00243093"/>
    <w:rsid w:val="002470D0"/>
    <w:rsid w:val="00247887"/>
    <w:rsid w:val="00253B1B"/>
    <w:rsid w:val="002549F6"/>
    <w:rsid w:val="0027308B"/>
    <w:rsid w:val="00275F48"/>
    <w:rsid w:val="002770DD"/>
    <w:rsid w:val="002833BD"/>
    <w:rsid w:val="002A1734"/>
    <w:rsid w:val="002A3F88"/>
    <w:rsid w:val="002A4DE7"/>
    <w:rsid w:val="002A5167"/>
    <w:rsid w:val="002B014B"/>
    <w:rsid w:val="002B0255"/>
    <w:rsid w:val="002B45A8"/>
    <w:rsid w:val="002B5B86"/>
    <w:rsid w:val="002C16F4"/>
    <w:rsid w:val="002C17D4"/>
    <w:rsid w:val="002C6759"/>
    <w:rsid w:val="002C6F29"/>
    <w:rsid w:val="002C7369"/>
    <w:rsid w:val="002D1A4E"/>
    <w:rsid w:val="002D1B32"/>
    <w:rsid w:val="002D1E15"/>
    <w:rsid w:val="002D4918"/>
    <w:rsid w:val="002D641E"/>
    <w:rsid w:val="002E0F67"/>
    <w:rsid w:val="002E64F7"/>
    <w:rsid w:val="002F084F"/>
    <w:rsid w:val="002F485A"/>
    <w:rsid w:val="002F5BCC"/>
    <w:rsid w:val="002F6702"/>
    <w:rsid w:val="003017F9"/>
    <w:rsid w:val="003077F0"/>
    <w:rsid w:val="00312F3A"/>
    <w:rsid w:val="00320287"/>
    <w:rsid w:val="00323DFB"/>
    <w:rsid w:val="00334DB8"/>
    <w:rsid w:val="00342103"/>
    <w:rsid w:val="003475C8"/>
    <w:rsid w:val="003544E6"/>
    <w:rsid w:val="003619D6"/>
    <w:rsid w:val="00361DC8"/>
    <w:rsid w:val="0036749D"/>
    <w:rsid w:val="003714E3"/>
    <w:rsid w:val="00386D1E"/>
    <w:rsid w:val="003905D0"/>
    <w:rsid w:val="00396FAF"/>
    <w:rsid w:val="003A2864"/>
    <w:rsid w:val="003A4259"/>
    <w:rsid w:val="003A6396"/>
    <w:rsid w:val="003A6AB0"/>
    <w:rsid w:val="003B2CAB"/>
    <w:rsid w:val="003B329A"/>
    <w:rsid w:val="003B3F99"/>
    <w:rsid w:val="003C0592"/>
    <w:rsid w:val="003C24CE"/>
    <w:rsid w:val="003D0705"/>
    <w:rsid w:val="003D34A0"/>
    <w:rsid w:val="003F2B2D"/>
    <w:rsid w:val="003F43C9"/>
    <w:rsid w:val="004058BC"/>
    <w:rsid w:val="00407E2D"/>
    <w:rsid w:val="00413603"/>
    <w:rsid w:val="004216D6"/>
    <w:rsid w:val="004230DE"/>
    <w:rsid w:val="00426573"/>
    <w:rsid w:val="004268FB"/>
    <w:rsid w:val="0043597E"/>
    <w:rsid w:val="00437D20"/>
    <w:rsid w:val="00446CD0"/>
    <w:rsid w:val="004612E2"/>
    <w:rsid w:val="0048342E"/>
    <w:rsid w:val="00490AE6"/>
    <w:rsid w:val="00493B65"/>
    <w:rsid w:val="004A7922"/>
    <w:rsid w:val="004B0E38"/>
    <w:rsid w:val="004B2DC4"/>
    <w:rsid w:val="004B3A13"/>
    <w:rsid w:val="004B3F4D"/>
    <w:rsid w:val="004C068C"/>
    <w:rsid w:val="004C093C"/>
    <w:rsid w:val="004C167F"/>
    <w:rsid w:val="004E1D1E"/>
    <w:rsid w:val="004E1D40"/>
    <w:rsid w:val="004F068B"/>
    <w:rsid w:val="004F4D15"/>
    <w:rsid w:val="00502986"/>
    <w:rsid w:val="00504395"/>
    <w:rsid w:val="00510B11"/>
    <w:rsid w:val="0053138B"/>
    <w:rsid w:val="005319A0"/>
    <w:rsid w:val="005433E6"/>
    <w:rsid w:val="00547D9F"/>
    <w:rsid w:val="00550C56"/>
    <w:rsid w:val="0055348B"/>
    <w:rsid w:val="00573CA5"/>
    <w:rsid w:val="005769E3"/>
    <w:rsid w:val="00577C10"/>
    <w:rsid w:val="005851B4"/>
    <w:rsid w:val="00595DB9"/>
    <w:rsid w:val="005A4B7E"/>
    <w:rsid w:val="005A6CE0"/>
    <w:rsid w:val="005B0AA2"/>
    <w:rsid w:val="005B22B9"/>
    <w:rsid w:val="005B4C27"/>
    <w:rsid w:val="005B6FE9"/>
    <w:rsid w:val="005B7627"/>
    <w:rsid w:val="005C158D"/>
    <w:rsid w:val="005C4E97"/>
    <w:rsid w:val="005D4248"/>
    <w:rsid w:val="005D59D1"/>
    <w:rsid w:val="005D732A"/>
    <w:rsid w:val="005D7E06"/>
    <w:rsid w:val="005E0570"/>
    <w:rsid w:val="005E35FA"/>
    <w:rsid w:val="005E75FC"/>
    <w:rsid w:val="005F1331"/>
    <w:rsid w:val="005F33B5"/>
    <w:rsid w:val="005F5F25"/>
    <w:rsid w:val="005F6051"/>
    <w:rsid w:val="005F6BF8"/>
    <w:rsid w:val="00604EA7"/>
    <w:rsid w:val="00616A3A"/>
    <w:rsid w:val="006202E0"/>
    <w:rsid w:val="006205B9"/>
    <w:rsid w:val="00623FF8"/>
    <w:rsid w:val="00626188"/>
    <w:rsid w:val="006268BB"/>
    <w:rsid w:val="00630E0A"/>
    <w:rsid w:val="0063655F"/>
    <w:rsid w:val="006378BF"/>
    <w:rsid w:val="00645696"/>
    <w:rsid w:val="00646CCE"/>
    <w:rsid w:val="006558EF"/>
    <w:rsid w:val="006571E2"/>
    <w:rsid w:val="00667368"/>
    <w:rsid w:val="00667400"/>
    <w:rsid w:val="00667779"/>
    <w:rsid w:val="006722DF"/>
    <w:rsid w:val="00674CF0"/>
    <w:rsid w:val="006844D0"/>
    <w:rsid w:val="00685D40"/>
    <w:rsid w:val="00686EC6"/>
    <w:rsid w:val="00690B86"/>
    <w:rsid w:val="00693C8F"/>
    <w:rsid w:val="0069647B"/>
    <w:rsid w:val="00697438"/>
    <w:rsid w:val="006A5009"/>
    <w:rsid w:val="006B0CD1"/>
    <w:rsid w:val="006B1624"/>
    <w:rsid w:val="006B1DC8"/>
    <w:rsid w:val="006B7FA2"/>
    <w:rsid w:val="006C169F"/>
    <w:rsid w:val="006C2886"/>
    <w:rsid w:val="006C4C56"/>
    <w:rsid w:val="006C511D"/>
    <w:rsid w:val="006C5BD8"/>
    <w:rsid w:val="006E3C13"/>
    <w:rsid w:val="00707A15"/>
    <w:rsid w:val="00707B6A"/>
    <w:rsid w:val="007120FF"/>
    <w:rsid w:val="00713141"/>
    <w:rsid w:val="00716B1D"/>
    <w:rsid w:val="007172F3"/>
    <w:rsid w:val="00721C02"/>
    <w:rsid w:val="007313F8"/>
    <w:rsid w:val="00740A1F"/>
    <w:rsid w:val="00742418"/>
    <w:rsid w:val="00752E4A"/>
    <w:rsid w:val="00754329"/>
    <w:rsid w:val="00754557"/>
    <w:rsid w:val="0076002C"/>
    <w:rsid w:val="007654F0"/>
    <w:rsid w:val="00767080"/>
    <w:rsid w:val="007673FF"/>
    <w:rsid w:val="007708C5"/>
    <w:rsid w:val="00785AED"/>
    <w:rsid w:val="0078652B"/>
    <w:rsid w:val="00787045"/>
    <w:rsid w:val="00794045"/>
    <w:rsid w:val="0079591D"/>
    <w:rsid w:val="007A32A6"/>
    <w:rsid w:val="007B152C"/>
    <w:rsid w:val="007C6B5A"/>
    <w:rsid w:val="007C7DC3"/>
    <w:rsid w:val="007F18E5"/>
    <w:rsid w:val="0080580A"/>
    <w:rsid w:val="00807026"/>
    <w:rsid w:val="00812EE9"/>
    <w:rsid w:val="008173CC"/>
    <w:rsid w:val="008234ED"/>
    <w:rsid w:val="00823A1B"/>
    <w:rsid w:val="00836D1E"/>
    <w:rsid w:val="0083726A"/>
    <w:rsid w:val="0084000D"/>
    <w:rsid w:val="008400EE"/>
    <w:rsid w:val="0084031D"/>
    <w:rsid w:val="00852B13"/>
    <w:rsid w:val="008631F0"/>
    <w:rsid w:val="00864085"/>
    <w:rsid w:val="00871DFC"/>
    <w:rsid w:val="00881A72"/>
    <w:rsid w:val="00884167"/>
    <w:rsid w:val="00892BBB"/>
    <w:rsid w:val="008A364E"/>
    <w:rsid w:val="008A608D"/>
    <w:rsid w:val="008A673F"/>
    <w:rsid w:val="008B5C24"/>
    <w:rsid w:val="008B5F5B"/>
    <w:rsid w:val="008C7EEC"/>
    <w:rsid w:val="008D1272"/>
    <w:rsid w:val="008D2CAA"/>
    <w:rsid w:val="008D43BC"/>
    <w:rsid w:val="008D7F64"/>
    <w:rsid w:val="008E301D"/>
    <w:rsid w:val="008F0289"/>
    <w:rsid w:val="008F1140"/>
    <w:rsid w:val="009211DB"/>
    <w:rsid w:val="00930EB4"/>
    <w:rsid w:val="00931708"/>
    <w:rsid w:val="00931AD6"/>
    <w:rsid w:val="00943587"/>
    <w:rsid w:val="009527DF"/>
    <w:rsid w:val="00957264"/>
    <w:rsid w:val="00960C99"/>
    <w:rsid w:val="0097257D"/>
    <w:rsid w:val="009822A0"/>
    <w:rsid w:val="009868D8"/>
    <w:rsid w:val="00990D20"/>
    <w:rsid w:val="0099531D"/>
    <w:rsid w:val="009963E7"/>
    <w:rsid w:val="00997159"/>
    <w:rsid w:val="009B758E"/>
    <w:rsid w:val="009C36AB"/>
    <w:rsid w:val="009E0174"/>
    <w:rsid w:val="009E3AEA"/>
    <w:rsid w:val="009F31DE"/>
    <w:rsid w:val="009F46D8"/>
    <w:rsid w:val="009F51B5"/>
    <w:rsid w:val="009F5253"/>
    <w:rsid w:val="00A0690F"/>
    <w:rsid w:val="00A1238F"/>
    <w:rsid w:val="00A1243D"/>
    <w:rsid w:val="00A16AAE"/>
    <w:rsid w:val="00A34F0A"/>
    <w:rsid w:val="00A47870"/>
    <w:rsid w:val="00A50C99"/>
    <w:rsid w:val="00A56F06"/>
    <w:rsid w:val="00A66140"/>
    <w:rsid w:val="00A669CA"/>
    <w:rsid w:val="00A77FFC"/>
    <w:rsid w:val="00A86188"/>
    <w:rsid w:val="00A86DA8"/>
    <w:rsid w:val="00A91B62"/>
    <w:rsid w:val="00A9372B"/>
    <w:rsid w:val="00AB154A"/>
    <w:rsid w:val="00AB2A68"/>
    <w:rsid w:val="00AB3E18"/>
    <w:rsid w:val="00AB78A4"/>
    <w:rsid w:val="00AC072D"/>
    <w:rsid w:val="00B02429"/>
    <w:rsid w:val="00B104EE"/>
    <w:rsid w:val="00B23342"/>
    <w:rsid w:val="00B24DB9"/>
    <w:rsid w:val="00B2612C"/>
    <w:rsid w:val="00B2686F"/>
    <w:rsid w:val="00B3387B"/>
    <w:rsid w:val="00B36218"/>
    <w:rsid w:val="00B36966"/>
    <w:rsid w:val="00B41884"/>
    <w:rsid w:val="00B42ED1"/>
    <w:rsid w:val="00B54AD1"/>
    <w:rsid w:val="00B67F2D"/>
    <w:rsid w:val="00B71BB3"/>
    <w:rsid w:val="00B916A2"/>
    <w:rsid w:val="00B94CF6"/>
    <w:rsid w:val="00BA3E9F"/>
    <w:rsid w:val="00BB020D"/>
    <w:rsid w:val="00BB688A"/>
    <w:rsid w:val="00BC2A2D"/>
    <w:rsid w:val="00BC2CC5"/>
    <w:rsid w:val="00BC4FC2"/>
    <w:rsid w:val="00BE3C96"/>
    <w:rsid w:val="00BE7C10"/>
    <w:rsid w:val="00BF03F2"/>
    <w:rsid w:val="00BF25AB"/>
    <w:rsid w:val="00BF7FA7"/>
    <w:rsid w:val="00C05E9C"/>
    <w:rsid w:val="00C07315"/>
    <w:rsid w:val="00C136EB"/>
    <w:rsid w:val="00C13A96"/>
    <w:rsid w:val="00C31756"/>
    <w:rsid w:val="00C350A2"/>
    <w:rsid w:val="00C35F19"/>
    <w:rsid w:val="00C4108A"/>
    <w:rsid w:val="00C475BE"/>
    <w:rsid w:val="00C54013"/>
    <w:rsid w:val="00C54776"/>
    <w:rsid w:val="00C574B7"/>
    <w:rsid w:val="00C622DD"/>
    <w:rsid w:val="00C64899"/>
    <w:rsid w:val="00C706AE"/>
    <w:rsid w:val="00C75027"/>
    <w:rsid w:val="00C81646"/>
    <w:rsid w:val="00C90A4C"/>
    <w:rsid w:val="00C91BD8"/>
    <w:rsid w:val="00C97405"/>
    <w:rsid w:val="00CA7F72"/>
    <w:rsid w:val="00CC4CA3"/>
    <w:rsid w:val="00CC7233"/>
    <w:rsid w:val="00CD015F"/>
    <w:rsid w:val="00CD050A"/>
    <w:rsid w:val="00CD2461"/>
    <w:rsid w:val="00CD38A4"/>
    <w:rsid w:val="00CD3BF2"/>
    <w:rsid w:val="00CD796C"/>
    <w:rsid w:val="00CE69A1"/>
    <w:rsid w:val="00CE7169"/>
    <w:rsid w:val="00CF0085"/>
    <w:rsid w:val="00D0508B"/>
    <w:rsid w:val="00D233B2"/>
    <w:rsid w:val="00D32517"/>
    <w:rsid w:val="00D32D91"/>
    <w:rsid w:val="00D33B17"/>
    <w:rsid w:val="00D42040"/>
    <w:rsid w:val="00D4727E"/>
    <w:rsid w:val="00D472E7"/>
    <w:rsid w:val="00D53A19"/>
    <w:rsid w:val="00D74FC2"/>
    <w:rsid w:val="00D850A4"/>
    <w:rsid w:val="00D8519F"/>
    <w:rsid w:val="00D851AF"/>
    <w:rsid w:val="00D90E71"/>
    <w:rsid w:val="00D97CEE"/>
    <w:rsid w:val="00DB422B"/>
    <w:rsid w:val="00DB714A"/>
    <w:rsid w:val="00DB7CD3"/>
    <w:rsid w:val="00DC6833"/>
    <w:rsid w:val="00DD69F8"/>
    <w:rsid w:val="00DE3629"/>
    <w:rsid w:val="00DE7A89"/>
    <w:rsid w:val="00DF2BA8"/>
    <w:rsid w:val="00E0322D"/>
    <w:rsid w:val="00E03BBF"/>
    <w:rsid w:val="00E13415"/>
    <w:rsid w:val="00E13B49"/>
    <w:rsid w:val="00E2268B"/>
    <w:rsid w:val="00E2682F"/>
    <w:rsid w:val="00E26EFE"/>
    <w:rsid w:val="00E319BB"/>
    <w:rsid w:val="00E42FD9"/>
    <w:rsid w:val="00E730D9"/>
    <w:rsid w:val="00E740AA"/>
    <w:rsid w:val="00E9387F"/>
    <w:rsid w:val="00EA2F48"/>
    <w:rsid w:val="00EB091C"/>
    <w:rsid w:val="00EC04E5"/>
    <w:rsid w:val="00EC1853"/>
    <w:rsid w:val="00ED45AD"/>
    <w:rsid w:val="00ED557D"/>
    <w:rsid w:val="00ED562A"/>
    <w:rsid w:val="00ED7CCD"/>
    <w:rsid w:val="00EE2A8B"/>
    <w:rsid w:val="00EE43A0"/>
    <w:rsid w:val="00EE4F61"/>
    <w:rsid w:val="00EF1E43"/>
    <w:rsid w:val="00EF6734"/>
    <w:rsid w:val="00F028C9"/>
    <w:rsid w:val="00F040DF"/>
    <w:rsid w:val="00F04708"/>
    <w:rsid w:val="00F05201"/>
    <w:rsid w:val="00F10577"/>
    <w:rsid w:val="00F16076"/>
    <w:rsid w:val="00F172DA"/>
    <w:rsid w:val="00F200DE"/>
    <w:rsid w:val="00F2530E"/>
    <w:rsid w:val="00F256E3"/>
    <w:rsid w:val="00F30754"/>
    <w:rsid w:val="00F313C0"/>
    <w:rsid w:val="00F343FF"/>
    <w:rsid w:val="00F3707B"/>
    <w:rsid w:val="00F377BC"/>
    <w:rsid w:val="00F417BC"/>
    <w:rsid w:val="00F477A3"/>
    <w:rsid w:val="00F52867"/>
    <w:rsid w:val="00F66700"/>
    <w:rsid w:val="00F73CCD"/>
    <w:rsid w:val="00F73EE7"/>
    <w:rsid w:val="00F76270"/>
    <w:rsid w:val="00F801A1"/>
    <w:rsid w:val="00F829C2"/>
    <w:rsid w:val="00F92A38"/>
    <w:rsid w:val="00F93103"/>
    <w:rsid w:val="00F96385"/>
    <w:rsid w:val="00F96675"/>
    <w:rsid w:val="00F97EDA"/>
    <w:rsid w:val="00FA7856"/>
    <w:rsid w:val="00FB7A0E"/>
    <w:rsid w:val="00FC07D5"/>
    <w:rsid w:val="00FC68E0"/>
    <w:rsid w:val="00FC7A2D"/>
    <w:rsid w:val="00FC7B01"/>
    <w:rsid w:val="00FD1049"/>
    <w:rsid w:val="00FD1F17"/>
    <w:rsid w:val="00FD3DC7"/>
    <w:rsid w:val="00FE2CF7"/>
    <w:rsid w:val="00FE31E4"/>
    <w:rsid w:val="00FE3C41"/>
    <w:rsid w:val="00FE79A8"/>
    <w:rsid w:val="00FF3D92"/>
    <w:rsid w:val="00FF5E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EE6"/>
  <w15:chartTrackingRefBased/>
  <w15:docId w15:val="{D9E26C65-4645-4AD7-AE3B-7D3F4A3F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E43"/>
    <w:rPr>
      <w:rFonts w:ascii="Arial" w:hAnsi="Arial"/>
      <w:kern w:val="0"/>
      <w:sz w:val="24"/>
      <w14:ligatures w14:val="none"/>
    </w:rPr>
  </w:style>
  <w:style w:type="paragraph" w:styleId="Heading1">
    <w:name w:val="heading 1"/>
    <w:basedOn w:val="Normal"/>
    <w:next w:val="Body"/>
    <w:link w:val="Heading1Char"/>
    <w:uiPriority w:val="2"/>
    <w:qFormat/>
    <w:rsid w:val="00EF1E43"/>
    <w:pPr>
      <w:keepNext/>
      <w:keepLines/>
      <w:spacing w:before="360" w:after="240"/>
      <w:outlineLvl w:val="0"/>
    </w:pPr>
    <w:rPr>
      <w:rFonts w:eastAsiaTheme="majorEastAsia" w:cstheme="majorBidi"/>
      <w:b/>
      <w:sz w:val="36"/>
      <w:szCs w:val="32"/>
    </w:rPr>
  </w:style>
  <w:style w:type="paragraph" w:styleId="Heading2">
    <w:name w:val="heading 2"/>
    <w:basedOn w:val="Normal"/>
    <w:next w:val="Body"/>
    <w:link w:val="Heading2Char"/>
    <w:uiPriority w:val="3"/>
    <w:qFormat/>
    <w:rsid w:val="00EF1E43"/>
    <w:pPr>
      <w:keepNext/>
      <w:keepLines/>
      <w:spacing w:before="120" w:after="120" w:line="360" w:lineRule="auto"/>
      <w:outlineLvl w:val="1"/>
    </w:pPr>
    <w:rPr>
      <w:rFonts w:eastAsiaTheme="majorEastAsia" w:cstheme="majorBidi"/>
      <w:b/>
      <w:sz w:val="32"/>
      <w:szCs w:val="26"/>
    </w:rPr>
  </w:style>
  <w:style w:type="paragraph" w:styleId="Heading3">
    <w:name w:val="heading 3"/>
    <w:basedOn w:val="Normal"/>
    <w:next w:val="Body"/>
    <w:link w:val="Heading3Char"/>
    <w:uiPriority w:val="4"/>
    <w:qFormat/>
    <w:rsid w:val="00EF1E43"/>
    <w:pPr>
      <w:keepNext/>
      <w:keepLines/>
      <w:spacing w:before="120" w:after="120" w:line="360" w:lineRule="auto"/>
      <w:outlineLvl w:val="2"/>
    </w:pPr>
    <w:rPr>
      <w:rFonts w:eastAsiaTheme="majorEastAsia" w:cstheme="majorBidi"/>
      <w:b/>
      <w:sz w:val="28"/>
      <w:szCs w:val="24"/>
    </w:rPr>
  </w:style>
  <w:style w:type="paragraph" w:styleId="Heading4">
    <w:name w:val="heading 4"/>
    <w:basedOn w:val="Normal"/>
    <w:next w:val="Body"/>
    <w:link w:val="Heading4Char"/>
    <w:uiPriority w:val="5"/>
    <w:unhideWhenUsed/>
    <w:qFormat/>
    <w:rsid w:val="00EF1E43"/>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EF1E43"/>
    <w:pPr>
      <w:keepNext/>
      <w:keepLines/>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EF1E4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E4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E4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E4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EF1E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1E43"/>
  </w:style>
  <w:style w:type="paragraph" w:styleId="Title">
    <w:name w:val="Title"/>
    <w:basedOn w:val="Normal"/>
    <w:next w:val="Body"/>
    <w:link w:val="TitleChar"/>
    <w:uiPriority w:val="4"/>
    <w:qFormat/>
    <w:rsid w:val="00EF1E43"/>
    <w:pPr>
      <w:spacing w:after="36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4"/>
    <w:rsid w:val="00EF1E43"/>
    <w:rPr>
      <w:rFonts w:ascii="Arial" w:eastAsiaTheme="majorEastAsia" w:hAnsi="Arial" w:cstheme="majorBidi"/>
      <w:b/>
      <w:spacing w:val="-10"/>
      <w:kern w:val="28"/>
      <w:sz w:val="36"/>
      <w:szCs w:val="56"/>
      <w14:ligatures w14:val="none"/>
    </w:rPr>
  </w:style>
  <w:style w:type="paragraph" w:styleId="NoSpacing">
    <w:name w:val="No Spacing"/>
    <w:uiPriority w:val="1"/>
    <w:qFormat/>
    <w:rsid w:val="00EF1E43"/>
    <w:pPr>
      <w:spacing w:after="0" w:line="240" w:lineRule="auto"/>
    </w:pPr>
    <w:rPr>
      <w:rFonts w:ascii="Arial" w:hAnsi="Arial"/>
      <w:sz w:val="24"/>
    </w:rPr>
  </w:style>
  <w:style w:type="character" w:customStyle="1" w:styleId="Heading1Char">
    <w:name w:val="Heading 1 Char"/>
    <w:basedOn w:val="DefaultParagraphFont"/>
    <w:link w:val="Heading1"/>
    <w:uiPriority w:val="2"/>
    <w:rsid w:val="00EF1E43"/>
    <w:rPr>
      <w:rFonts w:ascii="Arial" w:eastAsiaTheme="majorEastAsia" w:hAnsi="Arial" w:cstheme="majorBidi"/>
      <w:b/>
      <w:kern w:val="0"/>
      <w:sz w:val="36"/>
      <w:szCs w:val="32"/>
      <w14:ligatures w14:val="none"/>
    </w:rPr>
  </w:style>
  <w:style w:type="character" w:customStyle="1" w:styleId="Heading2Char">
    <w:name w:val="Heading 2 Char"/>
    <w:basedOn w:val="DefaultParagraphFont"/>
    <w:link w:val="Heading2"/>
    <w:uiPriority w:val="3"/>
    <w:rsid w:val="00EF1E43"/>
    <w:rPr>
      <w:rFonts w:ascii="Arial" w:eastAsiaTheme="majorEastAsia" w:hAnsi="Arial" w:cstheme="majorBidi"/>
      <w:b/>
      <w:kern w:val="0"/>
      <w:sz w:val="32"/>
      <w:szCs w:val="26"/>
      <w14:ligatures w14:val="none"/>
    </w:rPr>
  </w:style>
  <w:style w:type="character" w:customStyle="1" w:styleId="Heading3Char">
    <w:name w:val="Heading 3 Char"/>
    <w:basedOn w:val="DefaultParagraphFont"/>
    <w:link w:val="Heading3"/>
    <w:uiPriority w:val="4"/>
    <w:rsid w:val="00EF1E43"/>
    <w:rPr>
      <w:rFonts w:ascii="Arial" w:eastAsiaTheme="majorEastAsia" w:hAnsi="Arial" w:cstheme="majorBidi"/>
      <w:b/>
      <w:kern w:val="0"/>
      <w:sz w:val="28"/>
      <w:szCs w:val="24"/>
      <w14:ligatures w14:val="none"/>
    </w:rPr>
  </w:style>
  <w:style w:type="paragraph" w:styleId="Caption">
    <w:name w:val="caption"/>
    <w:basedOn w:val="Normal"/>
    <w:next w:val="Caption2"/>
    <w:uiPriority w:val="7"/>
    <w:qFormat/>
    <w:rsid w:val="00EF1E43"/>
    <w:pPr>
      <w:spacing w:before="120" w:after="0" w:line="240" w:lineRule="auto"/>
    </w:pPr>
    <w:rPr>
      <w:b/>
      <w:iCs/>
      <w:sz w:val="20"/>
      <w:szCs w:val="18"/>
    </w:rPr>
  </w:style>
  <w:style w:type="paragraph" w:customStyle="1" w:styleId="Caption2">
    <w:name w:val="Caption 2"/>
    <w:basedOn w:val="Caption"/>
    <w:uiPriority w:val="7"/>
    <w:qFormat/>
    <w:rsid w:val="00EF1E43"/>
    <w:pPr>
      <w:spacing w:before="0" w:after="360"/>
    </w:pPr>
    <w:rPr>
      <w:b w:val="0"/>
    </w:rPr>
  </w:style>
  <w:style w:type="paragraph" w:customStyle="1" w:styleId="Captionspace">
    <w:name w:val="Caption space"/>
    <w:basedOn w:val="Caption"/>
    <w:next w:val="Body"/>
    <w:uiPriority w:val="8"/>
    <w:qFormat/>
    <w:rsid w:val="00EF1E43"/>
    <w:pPr>
      <w:spacing w:before="0" w:after="160"/>
    </w:pPr>
    <w:rPr>
      <w:b w:val="0"/>
    </w:rPr>
  </w:style>
  <w:style w:type="character" w:customStyle="1" w:styleId="Heading4Char">
    <w:name w:val="Heading 4 Char"/>
    <w:basedOn w:val="DefaultParagraphFont"/>
    <w:link w:val="Heading4"/>
    <w:uiPriority w:val="5"/>
    <w:rsid w:val="00EF1E43"/>
    <w:rPr>
      <w:rFonts w:ascii="Arial" w:eastAsiaTheme="majorEastAsia" w:hAnsi="Arial" w:cstheme="majorBidi"/>
      <w:b/>
      <w:iCs/>
      <w:kern w:val="0"/>
      <w:sz w:val="24"/>
      <w14:ligatures w14:val="none"/>
    </w:rPr>
  </w:style>
  <w:style w:type="character" w:customStyle="1" w:styleId="Heading5Char">
    <w:name w:val="Heading 5 Char"/>
    <w:basedOn w:val="DefaultParagraphFont"/>
    <w:link w:val="Heading5"/>
    <w:uiPriority w:val="9"/>
    <w:rsid w:val="00EF1E43"/>
    <w:rPr>
      <w:rFonts w:ascii="Arial" w:eastAsiaTheme="majorEastAsia" w:hAnsi="Arial" w:cstheme="majorBidi"/>
      <w:i/>
      <w:kern w:val="0"/>
      <w:sz w:val="24"/>
      <w14:ligatures w14:val="none"/>
    </w:rPr>
  </w:style>
  <w:style w:type="paragraph" w:customStyle="1" w:styleId="Body">
    <w:name w:val="Body"/>
    <w:basedOn w:val="Normal"/>
    <w:qFormat/>
    <w:rsid w:val="00EF1E43"/>
    <w:pPr>
      <w:spacing w:after="240" w:line="360" w:lineRule="auto"/>
    </w:pPr>
  </w:style>
  <w:style w:type="paragraph" w:customStyle="1" w:styleId="HiddenHeading">
    <w:name w:val="Hidden Heading"/>
    <w:basedOn w:val="Heading3"/>
    <w:next w:val="Body"/>
    <w:uiPriority w:val="6"/>
    <w:unhideWhenUsed/>
    <w:qFormat/>
    <w:rsid w:val="00EF1E43"/>
    <w:rPr>
      <w:vanish/>
    </w:rPr>
  </w:style>
  <w:style w:type="character" w:customStyle="1" w:styleId="Heading6Char">
    <w:name w:val="Heading 6 Char"/>
    <w:basedOn w:val="DefaultParagraphFont"/>
    <w:link w:val="Heading6"/>
    <w:uiPriority w:val="9"/>
    <w:semiHidden/>
    <w:rsid w:val="00EF1E43"/>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EF1E43"/>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EF1E43"/>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EF1E43"/>
    <w:rPr>
      <w:rFonts w:asciiTheme="majorHAnsi" w:eastAsiaTheme="majorEastAsia" w:hAnsiTheme="majorHAnsi" w:cstheme="majorBidi"/>
      <w:i/>
      <w:iCs/>
      <w:color w:val="272727" w:themeColor="text1" w:themeTint="D8"/>
      <w:kern w:val="0"/>
      <w:sz w:val="21"/>
      <w:szCs w:val="21"/>
      <w14:ligatures w14:val="none"/>
    </w:rPr>
  </w:style>
  <w:style w:type="paragraph" w:styleId="NormalWeb">
    <w:name w:val="Normal (Web)"/>
    <w:basedOn w:val="Normal"/>
    <w:uiPriority w:val="99"/>
    <w:semiHidden/>
    <w:unhideWhenUsed/>
    <w:rsid w:val="00EF1E43"/>
    <w:pPr>
      <w:spacing w:before="100" w:beforeAutospacing="1" w:after="100" w:afterAutospacing="1" w:line="240" w:lineRule="auto"/>
    </w:pPr>
    <w:rPr>
      <w:rFonts w:ascii="Times New Roman" w:eastAsia="Times New Roman" w:hAnsi="Times New Roman" w:cs="Times New Roman"/>
      <w:szCs w:val="24"/>
    </w:rPr>
  </w:style>
  <w:style w:type="table" w:styleId="PlainTable2">
    <w:name w:val="Plain Table 2"/>
    <w:basedOn w:val="TableNormal"/>
    <w:uiPriority w:val="42"/>
    <w:rsid w:val="00EF1E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EF1E43"/>
    <w:rPr>
      <w:color w:val="808080"/>
    </w:rPr>
  </w:style>
  <w:style w:type="table" w:styleId="TableGrid">
    <w:name w:val="Table Grid"/>
    <w:basedOn w:val="TableNormal"/>
    <w:uiPriority w:val="39"/>
    <w:rsid w:val="00F9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963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A608D"/>
    <w:rPr>
      <w:color w:val="0563C1" w:themeColor="hyperlink"/>
      <w:u w:val="single"/>
    </w:rPr>
  </w:style>
  <w:style w:type="character" w:styleId="UnresolvedMention">
    <w:name w:val="Unresolved Mention"/>
    <w:basedOn w:val="DefaultParagraphFont"/>
    <w:uiPriority w:val="99"/>
    <w:semiHidden/>
    <w:unhideWhenUsed/>
    <w:rsid w:val="008A608D"/>
    <w:rPr>
      <w:color w:val="605E5C"/>
      <w:shd w:val="clear" w:color="auto" w:fill="E1DFDD"/>
    </w:rPr>
  </w:style>
  <w:style w:type="character" w:styleId="CommentReference">
    <w:name w:val="annotation reference"/>
    <w:basedOn w:val="DefaultParagraphFont"/>
    <w:uiPriority w:val="99"/>
    <w:semiHidden/>
    <w:unhideWhenUsed/>
    <w:rsid w:val="002C16F4"/>
    <w:rPr>
      <w:sz w:val="16"/>
      <w:szCs w:val="16"/>
    </w:rPr>
  </w:style>
  <w:style w:type="paragraph" w:styleId="CommentText">
    <w:name w:val="annotation text"/>
    <w:basedOn w:val="Normal"/>
    <w:link w:val="CommentTextChar"/>
    <w:uiPriority w:val="99"/>
    <w:unhideWhenUsed/>
    <w:rsid w:val="002C16F4"/>
    <w:pPr>
      <w:spacing w:line="240" w:lineRule="auto"/>
    </w:pPr>
    <w:rPr>
      <w:sz w:val="20"/>
      <w:szCs w:val="20"/>
    </w:rPr>
  </w:style>
  <w:style w:type="character" w:customStyle="1" w:styleId="CommentTextChar">
    <w:name w:val="Comment Text Char"/>
    <w:basedOn w:val="DefaultParagraphFont"/>
    <w:link w:val="CommentText"/>
    <w:uiPriority w:val="99"/>
    <w:rsid w:val="002C16F4"/>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C16F4"/>
    <w:rPr>
      <w:b/>
      <w:bCs/>
    </w:rPr>
  </w:style>
  <w:style w:type="character" w:customStyle="1" w:styleId="CommentSubjectChar">
    <w:name w:val="Comment Subject Char"/>
    <w:basedOn w:val="CommentTextChar"/>
    <w:link w:val="CommentSubject"/>
    <w:uiPriority w:val="99"/>
    <w:semiHidden/>
    <w:rsid w:val="002C16F4"/>
    <w:rPr>
      <w:rFonts w:ascii="Arial" w:hAnsi="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7902">
      <w:bodyDiv w:val="1"/>
      <w:marLeft w:val="0"/>
      <w:marRight w:val="0"/>
      <w:marTop w:val="0"/>
      <w:marBottom w:val="0"/>
      <w:divBdr>
        <w:top w:val="none" w:sz="0" w:space="0" w:color="auto"/>
        <w:left w:val="none" w:sz="0" w:space="0" w:color="auto"/>
        <w:bottom w:val="none" w:sz="0" w:space="0" w:color="auto"/>
        <w:right w:val="none" w:sz="0" w:space="0" w:color="auto"/>
      </w:divBdr>
      <w:divsChild>
        <w:div w:id="1316225907">
          <w:marLeft w:val="0"/>
          <w:marRight w:val="0"/>
          <w:marTop w:val="0"/>
          <w:marBottom w:val="0"/>
          <w:divBdr>
            <w:top w:val="none" w:sz="0" w:space="0" w:color="auto"/>
            <w:left w:val="none" w:sz="0" w:space="0" w:color="auto"/>
            <w:bottom w:val="none" w:sz="0" w:space="0" w:color="auto"/>
            <w:right w:val="none" w:sz="0" w:space="0" w:color="auto"/>
          </w:divBdr>
          <w:divsChild>
            <w:div w:id="1280449036">
              <w:marLeft w:val="0"/>
              <w:marRight w:val="0"/>
              <w:marTop w:val="0"/>
              <w:marBottom w:val="0"/>
              <w:divBdr>
                <w:top w:val="none" w:sz="0" w:space="0" w:color="auto"/>
                <w:left w:val="none" w:sz="0" w:space="0" w:color="auto"/>
                <w:bottom w:val="none" w:sz="0" w:space="0" w:color="auto"/>
                <w:right w:val="none" w:sz="0" w:space="0" w:color="auto"/>
              </w:divBdr>
              <w:divsChild>
                <w:div w:id="243144918">
                  <w:marLeft w:val="0"/>
                  <w:marRight w:val="0"/>
                  <w:marTop w:val="0"/>
                  <w:marBottom w:val="0"/>
                  <w:divBdr>
                    <w:top w:val="none" w:sz="0" w:space="0" w:color="auto"/>
                    <w:left w:val="none" w:sz="0" w:space="0" w:color="auto"/>
                    <w:bottom w:val="none" w:sz="0" w:space="0" w:color="auto"/>
                    <w:right w:val="none" w:sz="0" w:space="0" w:color="auto"/>
                  </w:divBdr>
                  <w:divsChild>
                    <w:div w:id="1749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osf.io/knajb/"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My%20Documents\Custom%20Office%20Templates\Normal%20-%20no%20numbe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7361F34151AD4CB4937C35094C3086" ma:contentTypeVersion="16" ma:contentTypeDescription="Create a new document." ma:contentTypeScope="" ma:versionID="56e925be9e533fd96456808a7bde2a66">
  <xsd:schema xmlns:xsd="http://www.w3.org/2001/XMLSchema" xmlns:xs="http://www.w3.org/2001/XMLSchema" xmlns:p="http://schemas.microsoft.com/office/2006/metadata/properties" xmlns:ns2="dfc37e71-6ceb-4805-8d82-a5133c1b297a" xmlns:ns3="3e226327-9260-42c8-a426-3418972299bd" targetNamespace="http://schemas.microsoft.com/office/2006/metadata/properties" ma:root="true" ma:fieldsID="5dfed0227e5268795af403c2a89ca829" ns2:_="" ns3:_="">
    <xsd:import namespace="dfc37e71-6ceb-4805-8d82-a5133c1b297a"/>
    <xsd:import namespace="3e226327-9260-42c8-a426-3418972299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37e71-6ceb-4805-8d82-a5133c1b2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26327-9260-42c8-a426-3418972299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d7e00c-764f-4549-9653-673e97245d2c}" ma:internalName="TaxCatchAll" ma:showField="CatchAllData" ma:web="3e226327-9260-42c8-a426-3418972299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c37e71-6ceb-4805-8d82-a5133c1b297a">
      <Terms xmlns="http://schemas.microsoft.com/office/infopath/2007/PartnerControls"/>
    </lcf76f155ced4ddcb4097134ff3c332f>
    <TaxCatchAll xmlns="3e226327-9260-42c8-a426-3418972299b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10BB5-AFEB-4397-B91C-251494920F42}">
  <ds:schemaRefs>
    <ds:schemaRef ds:uri="http://schemas.microsoft.com/sharepoint/v3/contenttype/forms"/>
  </ds:schemaRefs>
</ds:datastoreItem>
</file>

<file path=customXml/itemProps2.xml><?xml version="1.0" encoding="utf-8"?>
<ds:datastoreItem xmlns:ds="http://schemas.openxmlformats.org/officeDocument/2006/customXml" ds:itemID="{464CF269-ECC7-4299-A8AA-77BF6D44A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37e71-6ceb-4805-8d82-a5133c1b297a"/>
    <ds:schemaRef ds:uri="3e226327-9260-42c8-a426-341897229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73AD8-BFE4-45F6-B845-0C07472DEED2}">
  <ds:schemaRefs>
    <ds:schemaRef ds:uri="http://schemas.microsoft.com/office/2006/metadata/properties"/>
    <ds:schemaRef ds:uri="http://schemas.microsoft.com/office/infopath/2007/PartnerControls"/>
    <ds:schemaRef ds:uri="dfc37e71-6ceb-4805-8d82-a5133c1b297a"/>
    <ds:schemaRef ds:uri="3e226327-9260-42c8-a426-3418972299bd"/>
  </ds:schemaRefs>
</ds:datastoreItem>
</file>

<file path=customXml/itemProps4.xml><?xml version="1.0" encoding="utf-8"?>
<ds:datastoreItem xmlns:ds="http://schemas.openxmlformats.org/officeDocument/2006/customXml" ds:itemID="{802C8065-92E9-4601-8620-9D5235BED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 - no numbers.dotm</Template>
  <TotalTime>13</TotalTime>
  <Pages>11</Pages>
  <Words>12372</Words>
  <Characters>70526</Characters>
  <Application>Microsoft Office Word</Application>
  <DocSecurity>0</DocSecurity>
  <Lines>587</Lines>
  <Paragraphs>165</Paragraphs>
  <ScaleCrop>false</ScaleCrop>
  <Company/>
  <LinksUpToDate>false</LinksUpToDate>
  <CharactersWithSpaces>82733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Baxter</dc:creator>
  <cp:keywords/>
  <dc:description/>
  <cp:lastModifiedBy>Andy Baxter</cp:lastModifiedBy>
  <cp:revision>2</cp:revision>
  <dcterms:created xsi:type="dcterms:W3CDTF">2023-09-07T10:32:00Z</dcterms:created>
  <dcterms:modified xsi:type="dcterms:W3CDTF">2023-09-07T10:32:00Z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http://csl.mendeley.com/styles/481764751/harvard-cite-them-right</vt:lpwstr>
  </property>
  <property fmtid="{D5CDD505-2E9C-101B-9397-08002B2CF9AE}" pid="9" name="Mendeley Recent Style Name 3_1">
    <vt:lpwstr>Cite Them Right 10th edition - Harvard - Andrew Baxter</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Citation Style_1">
    <vt:lpwstr>http://csl.mendeley.com/styles/481764751/harvard-cite-them-right</vt:lpwstr>
  </property>
  <property fmtid="{D5CDD505-2E9C-101B-9397-08002B2CF9AE}" pid="24" name="Mendeley Unique User Id_1">
    <vt:lpwstr>f0d5138d-1ac7-397c-94b7-3b1ff177732f</vt:lpwstr>
  </property>
  <property fmtid="{D5CDD505-2E9C-101B-9397-08002B2CF9AE}" pid="25" name="MediaServiceImageTags">
    <vt:lpwstr/>
  </property>
  <property fmtid="{D5CDD505-2E9C-101B-9397-08002B2CF9AE}" pid="26" name="ContentTypeId">
    <vt:lpwstr>0x010100FC7361F34151AD4CB4937C35094C3086</vt:lpwstr>
  </property>
</Properties>
</file>