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1639B" w14:textId="6E35749B" w:rsidR="00AE1AB5" w:rsidRDefault="001D307F" w:rsidP="00001B75">
      <w:pPr>
        <w:pStyle w:val="Heading1"/>
      </w:pPr>
      <w:r>
        <w:t>Supplement</w:t>
      </w:r>
      <w:r w:rsidR="00DE57B5">
        <w:t>ary materials</w:t>
      </w:r>
      <w:r>
        <w:t xml:space="preserve">: </w:t>
      </w:r>
      <w:r w:rsidR="00AE1AB5" w:rsidRPr="006562AD">
        <w:t>Tailoring levels of evidence</w:t>
      </w:r>
      <w:r w:rsidR="00AE1AB5">
        <w:t xml:space="preserve"> in trials comparing </w:t>
      </w:r>
      <w:r w:rsidR="00DE57B5">
        <w:t xml:space="preserve">treatment options </w:t>
      </w:r>
      <w:r w:rsidR="00AE1AB5">
        <w:t>in common use</w:t>
      </w:r>
    </w:p>
    <w:p w14:paraId="13FB1303" w14:textId="31E657B2" w:rsidR="005244D0" w:rsidRDefault="003E5463" w:rsidP="003E5463">
      <w:pPr>
        <w:pStyle w:val="Heading2"/>
      </w:pPr>
      <w:bookmarkStart w:id="0" w:name="_Ref169616810"/>
      <w:r>
        <w:t>Sample size calculation methods</w:t>
      </w:r>
    </w:p>
    <w:p w14:paraId="615430C5" w14:textId="11795E84" w:rsidR="00C53A64" w:rsidRPr="00C53A64" w:rsidRDefault="00C53A64" w:rsidP="00C53A64">
      <w:r>
        <w:t>This section gives the concepts and code to compute the sample sizes. A Stata program and its output are also available in the supplementary materials.</w:t>
      </w:r>
    </w:p>
    <w:p w14:paraId="5743AE82" w14:textId="77777777" w:rsidR="00894587" w:rsidRDefault="00894587" w:rsidP="003E5463">
      <w:pPr>
        <w:pStyle w:val="Heading3"/>
      </w:pPr>
    </w:p>
    <w:p w14:paraId="4AAC4FEF" w14:textId="0D60D7CE"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6F6A9758" w:rsidR="003E5463" w:rsidRPr="00FE2715" w:rsidRDefault="003E5463" w:rsidP="00271FF0">
      <w:pPr>
        <w:pStyle w:val="Typeface"/>
      </w:pPr>
      <w:r w:rsidRPr="00FE2715">
        <w:t>artbin, pr(</w:t>
      </w:r>
      <w:r w:rsidR="00894587">
        <w:t>0.50 0.55</w:t>
      </w:r>
      <w:r w:rsidRPr="00FE2715">
        <w:t>) power(</w:t>
      </w:r>
      <w:r w:rsidR="00894587">
        <w:t>0.90</w:t>
      </w:r>
      <w:r w:rsidRPr="00FE2715">
        <w:t>) alpha(</w:t>
      </w:r>
      <w:r w:rsidR="0003435F">
        <w:t>0</w:t>
      </w:r>
      <w:r w:rsidRPr="00FE2715">
        <w:t>.05)</w:t>
      </w:r>
    </w:p>
    <w:p w14:paraId="0DF3E3D1" w14:textId="77777777" w:rsidR="00894587" w:rsidRDefault="00894587" w:rsidP="003E5463">
      <w:pPr>
        <w:pStyle w:val="Heading3"/>
      </w:pPr>
    </w:p>
    <w:p w14:paraId="7EA4494E" w14:textId="2A1BF788" w:rsidR="003E5463" w:rsidRDefault="003E5463" w:rsidP="003E5463">
      <w:pPr>
        <w:pStyle w:val="Heading3"/>
      </w:pPr>
      <w:r>
        <w:t xml:space="preserve">Superiority of NACRT over NACT </w:t>
      </w:r>
      <w:r w:rsidR="001A6884">
        <w:t>or</w:t>
      </w:r>
      <w:r>
        <w:t xml:space="preserve"> of NACT over NACRT</w:t>
      </w:r>
    </w:p>
    <w:p w14:paraId="4788A82D" w14:textId="1539008E"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0A366B81" w:rsidR="001A6884" w:rsidRPr="001A6884" w:rsidRDefault="001A6884" w:rsidP="00271FF0">
      <w:pPr>
        <w:pStyle w:val="Typeface"/>
      </w:pPr>
      <w:r w:rsidRPr="001A6884">
        <w:t>artbin, pr(</w:t>
      </w:r>
      <w:r w:rsidR="00894587">
        <w:t>0.50 0.55</w:t>
      </w:r>
      <w:r w:rsidRPr="001A6884">
        <w:t>) power(</w:t>
      </w:r>
      <w:r w:rsidR="00894587">
        <w:t>0.90</w:t>
      </w:r>
      <w:r w:rsidRPr="001A6884">
        <w:t>) alpha(.05) onesided</w:t>
      </w:r>
    </w:p>
    <w:p w14:paraId="4BA71061" w14:textId="77777777" w:rsidR="00894587" w:rsidRDefault="00894587" w:rsidP="003E5463">
      <w:pPr>
        <w:pStyle w:val="Heading3"/>
      </w:pPr>
    </w:p>
    <w:p w14:paraId="4BABD16F" w14:textId="1D867E46" w:rsidR="003E5463" w:rsidRDefault="003E5463" w:rsidP="003E5463">
      <w:pPr>
        <w:pStyle w:val="Heading3"/>
      </w:pPr>
      <w:r>
        <w:t>Non-inferiority of NACT to NACRT OR Non-inferiority of NACRT to NACT</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3E6EFD3A" w:rsidR="00C707AE" w:rsidRPr="00C707AE" w:rsidRDefault="00C707AE" w:rsidP="00271FF0">
      <w:pPr>
        <w:pStyle w:val="Typeface"/>
      </w:pPr>
      <w:r w:rsidRPr="00C707AE">
        <w:t>artbin, pr(</w:t>
      </w:r>
      <w:r w:rsidR="00894587">
        <w:t xml:space="preserve">0.50 </w:t>
      </w:r>
      <w:r w:rsidRPr="00C707AE">
        <w:t>.5) power(</w:t>
      </w:r>
      <w:r w:rsidR="00894587">
        <w:t>0.90</w:t>
      </w:r>
      <w:r w:rsidRPr="00C707AE">
        <w:t>) margin(-.05) onesided</w:t>
      </w:r>
    </w:p>
    <w:p w14:paraId="61AB7008" w14:textId="77777777" w:rsidR="00894587" w:rsidRDefault="00894587" w:rsidP="003E5463">
      <w:pPr>
        <w:pStyle w:val="Heading3"/>
      </w:pPr>
    </w:p>
    <w:p w14:paraId="06F2471B" w14:textId="55D4D991"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C26118D" w:rsidR="00F06057" w:rsidRDefault="00F06057" w:rsidP="00271FF0">
      <w:pPr>
        <w:pStyle w:val="Typeface"/>
      </w:pPr>
      <w:r>
        <w:t>artbin, pr(</w:t>
      </w:r>
      <w:r w:rsidR="00894587">
        <w:t>0.50 0.55</w:t>
      </w:r>
      <w:r>
        <w:t>) power(</w:t>
      </w:r>
      <w:r w:rsidR="00894587">
        <w:t>0.90</w:t>
      </w:r>
      <w:r>
        <w:t xml:space="preserve">) </w:t>
      </w:r>
      <w:r w:rsidRPr="00271FF0">
        <w:t>alpha</w:t>
      </w:r>
      <w:r>
        <w:t>(.2)</w:t>
      </w:r>
    </w:p>
    <w:p w14:paraId="192269A1" w14:textId="4C0891EA" w:rsidR="002265AB" w:rsidRDefault="002265AB" w:rsidP="002265AB">
      <w:r>
        <w:t>or to 40%:</w:t>
      </w:r>
    </w:p>
    <w:p w14:paraId="6D9683B3" w14:textId="206E4929" w:rsidR="00F06057" w:rsidRPr="00F06057" w:rsidRDefault="00F06057" w:rsidP="00271FF0">
      <w:pPr>
        <w:pStyle w:val="Typeface"/>
      </w:pPr>
      <w:r>
        <w:t>artbin, pr(</w:t>
      </w:r>
      <w:r w:rsidR="00894587">
        <w:t>0.50 0.55</w:t>
      </w:r>
      <w:r>
        <w:t>) power(</w:t>
      </w:r>
      <w:r w:rsidR="00894587">
        <w:t>0.90</w:t>
      </w:r>
      <w:r>
        <w:t>) alpha(.4)</w:t>
      </w:r>
    </w:p>
    <w:p w14:paraId="07702955" w14:textId="77777777" w:rsidR="00894587" w:rsidRDefault="00894587" w:rsidP="003E5463">
      <w:pPr>
        <w:pStyle w:val="Heading3"/>
      </w:pPr>
    </w:p>
    <w:p w14:paraId="6B06693A" w14:textId="50F2A351" w:rsidR="003E5463" w:rsidRDefault="003E5463" w:rsidP="003E5463">
      <w:pPr>
        <w:pStyle w:val="Heading3"/>
      </w:pPr>
      <w:r>
        <w:t>Bayesian design (non-informative prior)</w:t>
      </w:r>
    </w:p>
    <w:p w14:paraId="263F06B3" w14:textId="385E2196" w:rsidR="004732E5" w:rsidRDefault="004732E5" w:rsidP="004732E5">
      <w:r>
        <w:t xml:space="preserve">We computed this with the user-written software </w:t>
      </w:r>
      <w:r w:rsidRPr="00B338D9">
        <w:rPr>
          <w:rFonts w:ascii="Courier New" w:hAnsi="Courier New" w:cs="Courier New"/>
        </w:rPr>
        <w:t>bayes</w:t>
      </w:r>
      <w:r w:rsidR="005E0AAB" w:rsidRPr="00B338D9">
        <w:rPr>
          <w:rFonts w:ascii="Courier New" w:hAnsi="Courier New" w:cs="Courier New"/>
        </w:rPr>
        <w:t>power</w:t>
      </w:r>
      <w:r>
        <w:t xml:space="preserve"> (</w:t>
      </w:r>
      <w:r w:rsidR="00C91529">
        <w:t>based on the methods of Turner et al</w:t>
      </w:r>
      <w:r w:rsidR="00C91529">
        <w:fldChar w:fldCharType="begin"/>
      </w:r>
      <w:r w:rsidR="00C91529">
        <w:instrText xml:space="preserve"> ADDIN ZOTERO_ITEM CSL_CITATION {"citationID":"DX7UXWbv","properties":{"unsorted":false,"formattedCitation":"\\super 2\\nosupersub{}","plainCitation":"2","noteIndex":0},"citationItems":[{"id":4246,"uris":["http://zotero.org/users/14244340/items/NMQXJ72G"],"itemData":{"id":4246,"type":"article-journal","abstract":"Bayesian analysis of a non‐inferiority trial is advantageous in allowing direct probability statements to be made about the relative treatment difference rather than relying on an arbitrary and often poorly justified non‐inferiority margin. When the primary analysis will be Bayesian, a Bayesian approach to sample size determination will often be appropriate for consistency with the analysis. We demonstrate three Bayesian approaches to choosing sample size for non‐inferiority trials with binary outcomes and review their advantages and disadvantages. First, we present a predictive power approach for determining sample size using the probability that the trial will produce a convincing result in the final analysis. Next, we determine sample size by considering the expected posterior probability of non‐inferiority in the trial. Finally, we demonstrate a precision‐based approach. We apply these methods to a non‐inferiority trial in antiretroviral therapy for treatment of HIV‐infected children. A predictive power approach would be most accessible in practical settings, because it is analogous to the standard frequentist approach. Sample sizes are larger than with frequentist calculations unless an informative analysis prior is specified, because appropriate allowance is made for uncertainty in the assumed design parameters, ignored in frequentist calculations. An expected posterior probability approach will lead to a smaller sample size and is appropriate when the focus is on estimating posterior probability rather than on testing. A precision‐based approach would be useful when sample size is restricted by limits on recruitment or costs, but it would be difficult to decide on sample size using this approach alone.","citation-key":"turnerPracticalApproachesBayesian2023","container-title":"Statistics in Medicine","DOI":"10.1002/sim.9661","ISSN":"0277-6715","issue":"8","page":"1127-1138","title":"Practical approaches to Bayesian sample size determination in non‐inferiority trials with binary outcomes","URL":"https://onlinelibrary.wiley.com/doi/10.1002/sim.9661","volume":"42","author":[{"family":"Turner","given":"Rebecca M"},{"family":"Clements","given":"Michelle N"},{"family":"Quartagno","given":"Matteo"},{"family":"Cornelius","given":"Victoria"},{"family":"Cro","given":"Suzie"},{"family":"Ford","given":"Deborah"},{"family":"Tweed","given":"Conor D"},{"family":"Walker","given":"A Sarah"},{"family":"White","given":"Ian R"}],"issued":{"date-parts":[["2023",4,15]]}}}],"schema":"https://github.com/citation-style-language/schema/raw/master/csl-citation.json"} </w:instrText>
      </w:r>
      <w:r w:rsidR="00C91529">
        <w:fldChar w:fldCharType="separate"/>
      </w:r>
      <w:r w:rsidR="00C91529" w:rsidRPr="00C91529">
        <w:rPr>
          <w:rFonts w:ascii="Calibri" w:hAnsi="Calibri" w:cs="Calibri"/>
          <w:vertAlign w:val="superscript"/>
        </w:rPr>
        <w:t>2</w:t>
      </w:r>
      <w:r w:rsidR="00C91529">
        <w:fldChar w:fldCharType="end"/>
      </w:r>
      <w:r w:rsidR="00C91529">
        <w:t xml:space="preserve"> and </w:t>
      </w:r>
      <w:r>
        <w:t xml:space="preserve">available at </w:t>
      </w:r>
      <w:hyperlink r:id="rId8" w:history="1">
        <w:r w:rsidR="005E0AAB" w:rsidRPr="001258AD">
          <w:rPr>
            <w:rStyle w:val="Hyperlink"/>
          </w:rPr>
          <w:t>https://githu</w:t>
        </w:r>
        <w:r w:rsidR="005E0AAB" w:rsidRPr="001258AD">
          <w:rPr>
            <w:rStyle w:val="Hyperlink"/>
          </w:rPr>
          <w:t>b</w:t>
        </w:r>
        <w:r w:rsidR="005E0AAB" w:rsidRPr="001258AD">
          <w:rPr>
            <w:rStyle w:val="Hyperlink"/>
          </w:rPr>
          <w:t>.com/CoRE-CTI/Tailoring</w:t>
        </w:r>
      </w:hyperlink>
      <w:r w:rsidR="005E0AAB">
        <w:t>).</w:t>
      </w:r>
      <w:r>
        <w:t xml:space="preserve"> The command</w:t>
      </w:r>
      <w:r w:rsidR="00E02C7D">
        <w:t xml:space="preserve"> below </w:t>
      </w:r>
      <w:r w:rsidR="0020495B">
        <w:t xml:space="preserve">demonstrates that the total sample size of 1780 </w:t>
      </w:r>
      <w:r w:rsidR="00271FF0">
        <w:t xml:space="preserve">(890+890) </w:t>
      </w:r>
      <w:r w:rsidR="0020495B">
        <w:t xml:space="preserve">is enough to give 90% probability </w:t>
      </w:r>
      <w:r w:rsidR="00F646AA">
        <w:lastRenderedPageBreak/>
        <w:t>that the posterior probability of benefit</w:t>
      </w:r>
      <w:r w:rsidR="00A5546B">
        <w:t>, calculated with non-informative priors,</w:t>
      </w:r>
      <w:r w:rsidR="00F646AA">
        <w:t xml:space="preserve"> will exceed 0.8</w:t>
      </w:r>
      <w:r w:rsidR="006538F7">
        <w:t>:</w:t>
      </w:r>
    </w:p>
    <w:p w14:paraId="244D11C8" w14:textId="77777777" w:rsidR="00C91529" w:rsidRPr="00271FF0" w:rsidRDefault="005E0AAB" w:rsidP="00271FF0">
      <w:pPr>
        <w:pStyle w:val="Typeface"/>
      </w:pPr>
      <w:r w:rsidRPr="00271FF0">
        <w:t xml:space="preserve">bayespower, n1(890) n0(890) </w:t>
      </w:r>
      <w:r w:rsidR="00C91529" w:rsidRPr="00271FF0">
        <w:t>///</w:t>
      </w:r>
    </w:p>
    <w:p w14:paraId="27952B02" w14:textId="77777777" w:rsidR="00C91529" w:rsidRPr="00271FF0" w:rsidRDefault="005E0AAB" w:rsidP="00B338D9">
      <w:pPr>
        <w:pStyle w:val="Typeface"/>
        <w:ind w:left="1440"/>
      </w:pPr>
      <w:r w:rsidRPr="00271FF0">
        <w:t xml:space="preserve">priorspec(ms) </w:t>
      </w:r>
      <w:r w:rsidR="00C91529" w:rsidRPr="00271FF0">
        <w:t>///</w:t>
      </w:r>
    </w:p>
    <w:p w14:paraId="6E64C9DF" w14:textId="41545BC4" w:rsidR="00C91529" w:rsidRPr="00271FF0" w:rsidRDefault="005E0AAB" w:rsidP="00B338D9">
      <w:pPr>
        <w:pStyle w:val="Typeface"/>
        <w:ind w:left="1440"/>
      </w:pPr>
      <w:r w:rsidRPr="00271FF0">
        <w:t>prior1d(</w:t>
      </w:r>
      <w:r w:rsidR="00894587" w:rsidRPr="00271FF0">
        <w:t>0.55</w:t>
      </w:r>
      <w:r w:rsidRPr="00271FF0">
        <w:t xml:space="preserve"> 0) prior0d(</w:t>
      </w:r>
      <w:r w:rsidR="00894587" w:rsidRPr="00271FF0">
        <w:t xml:space="preserve">0.50 </w:t>
      </w:r>
      <w:r w:rsidRPr="00271FF0">
        <w:t>0)</w:t>
      </w:r>
      <w:r w:rsidR="00C91529" w:rsidRPr="00271FF0">
        <w:t xml:space="preserve"> ///</w:t>
      </w:r>
      <w:r w:rsidRPr="00271FF0">
        <w:t xml:space="preserve"> </w:t>
      </w:r>
    </w:p>
    <w:p w14:paraId="5AE6C9D4" w14:textId="3A6AB632" w:rsidR="00C91529" w:rsidRPr="00271FF0" w:rsidRDefault="005E0AAB" w:rsidP="00B338D9">
      <w:pPr>
        <w:pStyle w:val="Typeface"/>
        <w:ind w:left="1440"/>
      </w:pPr>
      <w:r w:rsidRPr="00271FF0">
        <w:t>prior1a(</w:t>
      </w:r>
      <w:r w:rsidR="00894587" w:rsidRPr="00271FF0">
        <w:t xml:space="preserve">0.50 </w:t>
      </w:r>
      <w:r w:rsidR="00190BBD" w:rsidRPr="00271FF0">
        <w:t>0</w:t>
      </w:r>
      <w:r w:rsidRPr="00271FF0">
        <w:t>.2</w:t>
      </w:r>
      <w:r w:rsidR="00C91529" w:rsidRPr="00271FF0">
        <w:t>9</w:t>
      </w:r>
      <w:r w:rsidRPr="00271FF0">
        <w:t>) prior0a(</w:t>
      </w:r>
      <w:r w:rsidR="00894587" w:rsidRPr="00271FF0">
        <w:t xml:space="preserve">0.50 </w:t>
      </w:r>
      <w:r w:rsidR="00190BBD" w:rsidRPr="00271FF0">
        <w:t>0</w:t>
      </w:r>
      <w:r w:rsidRPr="00271FF0">
        <w:t>.2</w:t>
      </w:r>
      <w:r w:rsidR="00C91529" w:rsidRPr="00271FF0">
        <w:t>9</w:t>
      </w:r>
      <w:r w:rsidRPr="00271FF0">
        <w:t xml:space="preserve">) </w:t>
      </w:r>
      <w:r w:rsidR="00C91529" w:rsidRPr="00271FF0">
        <w:t>///</w:t>
      </w:r>
    </w:p>
    <w:p w14:paraId="5561DD25" w14:textId="1095B8FF" w:rsidR="005E0AAB" w:rsidRPr="00271FF0" w:rsidRDefault="005E0AAB" w:rsidP="00B338D9">
      <w:pPr>
        <w:pStyle w:val="Typeface"/>
        <w:ind w:left="1440"/>
      </w:pPr>
      <w:r w:rsidRPr="00271FF0">
        <w:t>seed(3) criteria(</w:t>
      </w:r>
      <w:r w:rsidR="00190BBD" w:rsidRPr="00271FF0">
        <w:t>0</w:t>
      </w:r>
      <w:r w:rsidRPr="00271FF0">
        <w:t xml:space="preserve">.80) </w:t>
      </w:r>
    </w:p>
    <w:p w14:paraId="3040466A" w14:textId="7FA929F4" w:rsidR="00C91529" w:rsidRDefault="000420B0" w:rsidP="005E0AAB">
      <w:r>
        <w:t>In t</w:t>
      </w:r>
      <w:r w:rsidR="00C91529">
        <w:t>his command</w:t>
      </w:r>
      <w:r>
        <w:t xml:space="preserve">, </w:t>
      </w:r>
      <w:r w:rsidRPr="00B338D9">
        <w:rPr>
          <w:rFonts w:ascii="Courier New" w:hAnsi="Courier New" w:cs="Courier New"/>
        </w:rPr>
        <w:t>priorspec(ms)</w:t>
      </w:r>
      <w:r>
        <w:t xml:space="preserve"> specifies that the design and analysis priors for the true outcome probabilities in the two arms will be specified by their mean and standard deviation (SD). The design priors specified by </w:t>
      </w:r>
      <w:r w:rsidRPr="00B338D9">
        <w:rPr>
          <w:rFonts w:ascii="Courier New" w:hAnsi="Courier New" w:cs="Courier New"/>
        </w:rPr>
        <w:t>prior1d()</w:t>
      </w:r>
      <w:r>
        <w:t xml:space="preserve"> and </w:t>
      </w:r>
      <w:r w:rsidRPr="00B338D9">
        <w:rPr>
          <w:rFonts w:ascii="Courier New" w:hAnsi="Courier New" w:cs="Courier New"/>
        </w:rPr>
        <w:t>prior0d()</w:t>
      </w:r>
      <w:r>
        <w:t xml:space="preserve"> are given zero SD, indicating that the outcome probabilities are fixed (as in the frequentist calculation). </w:t>
      </w:r>
      <w:r w:rsidR="00C91529">
        <w:t xml:space="preserve">The non-informative analysis priors </w:t>
      </w:r>
      <w:r>
        <w:t xml:space="preserve">specified by </w:t>
      </w:r>
      <w:r w:rsidRPr="001C6BE5">
        <w:rPr>
          <w:rFonts w:ascii="Courier New" w:hAnsi="Courier New" w:cs="Courier New"/>
        </w:rPr>
        <w:t>prior1</w:t>
      </w:r>
      <w:r>
        <w:rPr>
          <w:rFonts w:ascii="Courier New" w:hAnsi="Courier New" w:cs="Courier New"/>
        </w:rPr>
        <w:t>a</w:t>
      </w:r>
      <w:r w:rsidRPr="001C6BE5">
        <w:rPr>
          <w:rFonts w:ascii="Courier New" w:hAnsi="Courier New" w:cs="Courier New"/>
        </w:rPr>
        <w:t>()</w:t>
      </w:r>
      <w:r>
        <w:t xml:space="preserve"> and </w:t>
      </w:r>
      <w:r w:rsidRPr="001C6BE5">
        <w:rPr>
          <w:rFonts w:ascii="Courier New" w:hAnsi="Courier New" w:cs="Courier New"/>
        </w:rPr>
        <w:t>prior0</w:t>
      </w:r>
      <w:r>
        <w:rPr>
          <w:rFonts w:ascii="Courier New" w:hAnsi="Courier New" w:cs="Courier New"/>
        </w:rPr>
        <w:t>a</w:t>
      </w:r>
      <w:r w:rsidRPr="001C6BE5">
        <w:rPr>
          <w:rFonts w:ascii="Courier New" w:hAnsi="Courier New" w:cs="Courier New"/>
        </w:rPr>
        <w:t>()</w:t>
      </w:r>
      <w:r>
        <w:t xml:space="preserve"> </w:t>
      </w:r>
      <w:r w:rsidR="00C91529">
        <w:t>are taken as beta(1,1)</w:t>
      </w:r>
      <w:r w:rsidR="00271FF0">
        <w:t>,</w:t>
      </w:r>
      <w:r w:rsidR="00C91529">
        <w:t xml:space="preserve"> which has mean 0.50 and standard deviation 0.29.</w:t>
      </w:r>
    </w:p>
    <w:p w14:paraId="6516E329" w14:textId="064605E8"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r w:rsidR="00271FF0">
        <w:t xml:space="preserve">(282+282)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10E1D696" w14:textId="77777777" w:rsidR="00C91529" w:rsidRDefault="005E0AAB" w:rsidP="00271FF0">
      <w:pPr>
        <w:pStyle w:val="Typeface"/>
      </w:pPr>
      <w:r>
        <w:t>bayespower, n1(</w:t>
      </w:r>
      <w:r w:rsidRPr="0020180F">
        <w:t>282</w:t>
      </w:r>
      <w:r>
        <w:t>) n0(</w:t>
      </w:r>
      <w:r w:rsidRPr="0020180F">
        <w:t>282</w:t>
      </w:r>
      <w:r>
        <w:t xml:space="preserve">) </w:t>
      </w:r>
      <w:r w:rsidR="00C91529">
        <w:t>///</w:t>
      </w:r>
    </w:p>
    <w:p w14:paraId="346F96A8" w14:textId="77777777" w:rsidR="00271FF0" w:rsidRDefault="005E0AAB" w:rsidP="00B338D9">
      <w:pPr>
        <w:pStyle w:val="Typeface"/>
        <w:ind w:left="1440"/>
      </w:pPr>
      <w:r>
        <w:t xml:space="preserve">priorspec(ms) </w:t>
      </w:r>
      <w:r w:rsidR="00271FF0">
        <w:t>///</w:t>
      </w:r>
    </w:p>
    <w:p w14:paraId="3240079E" w14:textId="5EBFF968" w:rsidR="00C91529" w:rsidRDefault="005E0AAB" w:rsidP="00B338D9">
      <w:pPr>
        <w:pStyle w:val="Typeface"/>
        <w:ind w:left="1440"/>
      </w:pPr>
      <w:r>
        <w:t>prior1d(</w:t>
      </w:r>
      <w:r w:rsidR="00894587">
        <w:t>0.55</w:t>
      </w:r>
      <w:r>
        <w:t xml:space="preserve"> </w:t>
      </w:r>
      <w:r w:rsidR="00190BBD">
        <w:t>0</w:t>
      </w:r>
      <w:r>
        <w:t>) prior0d(</w:t>
      </w:r>
      <w:r w:rsidR="00894587">
        <w:t xml:space="preserve">0.50 </w:t>
      </w:r>
      <w:r w:rsidR="00190BBD">
        <w:t>0</w:t>
      </w:r>
      <w:r>
        <w:t xml:space="preserve">) </w:t>
      </w:r>
      <w:r w:rsidR="00C91529">
        <w:t>///</w:t>
      </w:r>
    </w:p>
    <w:p w14:paraId="6D75A037" w14:textId="29A480A0" w:rsidR="00C91529" w:rsidRDefault="005E0AAB" w:rsidP="00B338D9">
      <w:pPr>
        <w:pStyle w:val="Typeface"/>
        <w:ind w:left="1440"/>
      </w:pPr>
      <w:r>
        <w:t>prior1a(</w:t>
      </w:r>
      <w:r w:rsidR="00894587">
        <w:t xml:space="preserve">0.50 </w:t>
      </w:r>
      <w:r w:rsidR="00190BBD">
        <w:t>0</w:t>
      </w:r>
      <w:r>
        <w:t>.2</w:t>
      </w:r>
      <w:r w:rsidR="00C91529">
        <w:t>9</w:t>
      </w:r>
      <w:r>
        <w:t>) prior0a(</w:t>
      </w:r>
      <w:r w:rsidR="00894587">
        <w:t xml:space="preserve">0.50 </w:t>
      </w:r>
      <w:r w:rsidR="00190BBD">
        <w:t>0</w:t>
      </w:r>
      <w:r>
        <w:t>.2</w:t>
      </w:r>
      <w:r w:rsidR="00C91529">
        <w:t>9</w:t>
      </w:r>
      <w:r>
        <w:t xml:space="preserve">) </w:t>
      </w:r>
      <w:r w:rsidR="00C91529">
        <w:t>///</w:t>
      </w:r>
    </w:p>
    <w:p w14:paraId="3EF8A6E6" w14:textId="1BCEF40F" w:rsidR="005E0AAB" w:rsidRDefault="005E0AAB" w:rsidP="00B338D9">
      <w:pPr>
        <w:pStyle w:val="Typeface"/>
        <w:ind w:left="1440"/>
      </w:pPr>
      <w:r>
        <w:t>seed(3) criteria(</w:t>
      </w:r>
      <w:r w:rsidR="00190BBD">
        <w:t>0</w:t>
      </w:r>
      <w:r>
        <w:t xml:space="preserve">.80) </w:t>
      </w:r>
    </w:p>
    <w:p w14:paraId="4E4E65F0" w14:textId="77777777" w:rsidR="00894587" w:rsidRDefault="00894587" w:rsidP="003E5463">
      <w:pPr>
        <w:pStyle w:val="Heading3"/>
      </w:pPr>
    </w:p>
    <w:p w14:paraId="3FC16752" w14:textId="692512C8" w:rsidR="003E5463" w:rsidRDefault="003E5463" w:rsidP="003E5463">
      <w:pPr>
        <w:pStyle w:val="Heading3"/>
      </w:pPr>
      <w:r>
        <w:t>Decision-based approach</w:t>
      </w:r>
    </w:p>
    <w:p w14:paraId="3C9306F0" w14:textId="77777777" w:rsidR="00074C91" w:rsidRDefault="009D0207" w:rsidP="003E5463">
      <w:r>
        <w:t xml:space="preserve">We use standard software for this using the following argument. </w:t>
      </w:r>
    </w:p>
    <w:p w14:paraId="6B46E1BF" w14:textId="243D4A00" w:rsidR="00074C91" w:rsidRDefault="008C1E81" w:rsidP="00825AB4">
      <w:pPr>
        <w:pStyle w:val="ListParagraph"/>
        <w:numPr>
          <w:ilvl w:val="0"/>
          <w:numId w:val="21"/>
        </w:numPr>
      </w:pPr>
      <w:r>
        <w:t xml:space="preserve">Decision theory proposes using the better treatment, regardless of the significance level. However, standard sample size software is based on significance levels. We use a trick to link these two approaches. Suppose treatment A is truly better, and we do a one-sided test of the null hypothesis that treatments are equal against the alternative that A is better. In this test, the one-sided p-value is below 0.5 if and only if the estimated treatment difference favours A. </w:t>
      </w:r>
      <w:r w:rsidR="005E469D">
        <w:t xml:space="preserve">So the </w:t>
      </w:r>
      <w:r w:rsidR="00DA1024">
        <w:t xml:space="preserve">probability of correctly identifying the better treatment </w:t>
      </w:r>
      <w:r w:rsidR="00741D0C">
        <w:t>equals</w:t>
      </w:r>
      <w:r w:rsidR="00DA1024">
        <w:t xml:space="preserve"> the power from a standard sample size calculation with </w:t>
      </w:r>
      <w:r>
        <w:t xml:space="preserve">a highly non-standard </w:t>
      </w:r>
      <w:r w:rsidR="00DA1024">
        <w:t xml:space="preserve">50% one-sided </w:t>
      </w:r>
      <w:r w:rsidR="00D6168A" w:rsidRPr="00D6168A">
        <w:t>significance</w:t>
      </w:r>
      <w:r w:rsidR="00D6168A">
        <w:t xml:space="preserve"> </w:t>
      </w:r>
      <w:r w:rsidR="00DA1024">
        <w:t xml:space="preserve">level. </w:t>
      </w:r>
    </w:p>
    <w:p w14:paraId="4802925B" w14:textId="5CFEE4B2" w:rsidR="00074C91" w:rsidRDefault="00074C91" w:rsidP="00825AB4">
      <w:pPr>
        <w:pStyle w:val="ListParagraph"/>
        <w:numPr>
          <w:ilvl w:val="0"/>
          <w:numId w:val="21"/>
        </w:num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p>
    <w:p w14:paraId="624082DA" w14:textId="63567E0D" w:rsidR="008C1E81" w:rsidRDefault="008C1E81" w:rsidP="004611D6">
      <w:pPr>
        <w:pStyle w:val="ListParagraph"/>
        <w:ind w:left="360"/>
        <w:rPr>
          <w:rFonts w:eastAsiaTheme="minorEastAsia"/>
        </w:rPr>
      </w:pPr>
      <w:r>
        <w:t xml:space="preserve">A mathematical explanation follows. Let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and </w:t>
      </w:r>
      <m:oMath>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be the probabilities of the adverse outcome on treatments A and B respectively, and suppose </w:t>
      </w:r>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w:t>
      </w:r>
      <w:r w:rsidR="00B338D9">
        <w:t>The table shows the probabilities of adverse outcome under various</w:t>
      </w:r>
      <w:r w:rsidR="004611D6">
        <w:t xml:space="preserve"> treatment</w:t>
      </w:r>
      <w:r w:rsidR="00B338D9">
        <w:t xml:space="preserve"> settings. </w:t>
      </w:r>
    </w:p>
    <w:tbl>
      <w:tblPr>
        <w:tblStyle w:val="GridTable4"/>
        <w:tblW w:w="4612" w:type="pct"/>
        <w:tblInd w:w="353" w:type="dxa"/>
        <w:tblLook w:val="06A0" w:firstRow="1" w:lastRow="0" w:firstColumn="1" w:lastColumn="0" w:noHBand="1" w:noVBand="1"/>
      </w:tblPr>
      <w:tblGrid>
        <w:gridCol w:w="4394"/>
        <w:gridCol w:w="3922"/>
      </w:tblGrid>
      <w:tr w:rsidR="00B338D9" w14:paraId="78F433C7" w14:textId="77777777" w:rsidTr="004611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pct"/>
          </w:tcPr>
          <w:p w14:paraId="528C458C" w14:textId="236DDAE1" w:rsidR="00B338D9" w:rsidRDefault="004611D6" w:rsidP="004611D6">
            <w:pPr>
              <w:pStyle w:val="ListParagraph"/>
              <w:keepNext/>
              <w:ind w:left="0"/>
            </w:pPr>
            <w:r>
              <w:lastRenderedPageBreak/>
              <w:t>Treatment</w:t>
            </w:r>
          </w:p>
        </w:tc>
        <w:tc>
          <w:tcPr>
            <w:tcW w:w="2358" w:type="pct"/>
          </w:tcPr>
          <w:p w14:paraId="6A54F069" w14:textId="5B45A18C" w:rsidR="00B338D9" w:rsidRDefault="00B338D9" w:rsidP="004611D6">
            <w:pPr>
              <w:pStyle w:val="ListParagraph"/>
              <w:keepNext/>
              <w:ind w:left="0"/>
              <w:jc w:val="center"/>
              <w:cnfStyle w:val="100000000000" w:firstRow="1" w:lastRow="0" w:firstColumn="0" w:lastColumn="0" w:oddVBand="0" w:evenVBand="0" w:oddHBand="0" w:evenHBand="0" w:firstRowFirstColumn="0" w:firstRowLastColumn="0" w:lastRowFirstColumn="0" w:lastRowLastColumn="0"/>
            </w:pPr>
            <w:r>
              <w:t>Probability of adverse outcome</w:t>
            </w:r>
          </w:p>
        </w:tc>
      </w:tr>
      <w:tr w:rsidR="00B338D9" w14:paraId="319BA6B5" w14:textId="77777777" w:rsidTr="004611D6">
        <w:tc>
          <w:tcPr>
            <w:cnfStyle w:val="001000000000" w:firstRow="0" w:lastRow="0" w:firstColumn="1" w:lastColumn="0" w:oddVBand="0" w:evenVBand="0" w:oddHBand="0" w:evenHBand="0" w:firstRowFirstColumn="0" w:firstRowLastColumn="0" w:lastRowFirstColumn="0" w:lastRowLastColumn="0"/>
            <w:tcW w:w="2642" w:type="pct"/>
          </w:tcPr>
          <w:p w14:paraId="4B735D17" w14:textId="48E32978" w:rsidR="00B338D9" w:rsidRDefault="00B338D9" w:rsidP="004611D6">
            <w:pPr>
              <w:pStyle w:val="ListParagraph"/>
              <w:keepNext/>
              <w:ind w:left="0"/>
            </w:pPr>
            <w:r>
              <w:t>Use A (</w:t>
            </w:r>
            <w:r w:rsidR="004611D6">
              <w:t>perfect knowledge</w:t>
            </w:r>
            <w:r>
              <w:t>)</w:t>
            </w:r>
          </w:p>
        </w:tc>
        <w:tc>
          <w:tcPr>
            <w:tcW w:w="2358" w:type="pct"/>
          </w:tcPr>
          <w:p w14:paraId="23C728AE" w14:textId="40C98A0C"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r>
      <w:tr w:rsidR="00B338D9" w14:paraId="4789E249" w14:textId="77777777" w:rsidTr="004611D6">
        <w:tc>
          <w:tcPr>
            <w:cnfStyle w:val="001000000000" w:firstRow="0" w:lastRow="0" w:firstColumn="1" w:lastColumn="0" w:oddVBand="0" w:evenVBand="0" w:oddHBand="0" w:evenHBand="0" w:firstRowFirstColumn="0" w:firstRowLastColumn="0" w:lastRowFirstColumn="0" w:lastRowLastColumn="0"/>
            <w:tcW w:w="2642" w:type="pct"/>
          </w:tcPr>
          <w:p w14:paraId="3B572A4C" w14:textId="42CF30F6" w:rsidR="00B338D9" w:rsidRDefault="00B338D9" w:rsidP="004611D6">
            <w:pPr>
              <w:pStyle w:val="ListParagraph"/>
              <w:keepNext/>
              <w:ind w:left="0"/>
            </w:pPr>
            <w:r>
              <w:t>Use B</w:t>
            </w:r>
          </w:p>
        </w:tc>
        <w:tc>
          <w:tcPr>
            <w:tcW w:w="2358" w:type="pct"/>
          </w:tcPr>
          <w:p w14:paraId="19FE7676" w14:textId="7C90E3E2"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oMath>
            </m:oMathPara>
          </w:p>
        </w:tc>
      </w:tr>
      <w:tr w:rsidR="00B338D9" w14:paraId="263FD7F1"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4" w:space="0" w:color="666666" w:themeColor="text1" w:themeTint="99"/>
            </w:tcBorders>
          </w:tcPr>
          <w:p w14:paraId="0FBAF884" w14:textId="0EA51F6C" w:rsidR="00B338D9" w:rsidRDefault="00B338D9" w:rsidP="004611D6">
            <w:pPr>
              <w:pStyle w:val="ListParagraph"/>
              <w:keepNext/>
              <w:ind w:left="0"/>
            </w:pPr>
            <w:r>
              <w:t>No data: equal use of A and B</w:t>
            </w:r>
          </w:p>
        </w:tc>
        <w:tc>
          <w:tcPr>
            <w:tcW w:w="2358" w:type="pct"/>
            <w:tcBorders>
              <w:bottom w:val="single" w:sz="4" w:space="0" w:color="666666" w:themeColor="text1" w:themeTint="99"/>
            </w:tcBorders>
          </w:tcPr>
          <w:p w14:paraId="12DCAC4F" w14:textId="4530D1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oMath>
            </m:oMathPara>
          </w:p>
        </w:tc>
      </w:tr>
      <w:tr w:rsidR="004611D6" w14:paraId="2F597147"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18" w:space="0" w:color="666666" w:themeColor="text1" w:themeTint="99"/>
            </w:tcBorders>
          </w:tcPr>
          <w:p w14:paraId="5A1B8F45" w14:textId="77777777" w:rsidR="004611D6" w:rsidRDefault="004611D6" w:rsidP="00BC0A91">
            <w:pPr>
              <w:pStyle w:val="ListParagraph"/>
              <w:keepNext/>
              <w:ind w:left="0"/>
            </w:pPr>
            <w:r>
              <w:t xml:space="preserve">Trial data: use A with probability </w:t>
            </w:r>
            <m:oMath>
              <m:r>
                <m:rPr>
                  <m:sty m:val="bi"/>
                </m:rPr>
                <w:rPr>
                  <w:rFonts w:ascii="Cambria Math" w:hAnsi="Cambria Math"/>
                </w:rPr>
                <m:t>power</m:t>
              </m:r>
            </m:oMath>
          </w:p>
        </w:tc>
        <w:tc>
          <w:tcPr>
            <w:tcW w:w="2358" w:type="pct"/>
            <w:tcBorders>
              <w:bottom w:val="single" w:sz="18" w:space="0" w:color="666666" w:themeColor="text1" w:themeTint="99"/>
            </w:tcBorders>
          </w:tcPr>
          <w:p w14:paraId="6E5433F0" w14:textId="77777777" w:rsidR="004611D6" w:rsidRDefault="004611D6" w:rsidP="00BC0A91">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power×</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d>
                  <m:dPr>
                    <m:ctrlPr>
                      <w:rPr>
                        <w:rFonts w:ascii="Cambria Math" w:eastAsia="Calibri" w:hAnsi="Cambria Math" w:cs="Arial"/>
                        <w:i/>
                      </w:rPr>
                    </m:ctrlPr>
                  </m:dPr>
                  <m:e>
                    <m:r>
                      <w:rPr>
                        <w:rFonts w:ascii="Cambria Math" w:eastAsia="Calibri" w:hAnsi="Cambria Math" w:cs="Arial"/>
                      </w:rPr>
                      <m:t>1-power</m:t>
                    </m:r>
                  </m:e>
                </m:d>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oMath>
            </m:oMathPara>
          </w:p>
        </w:tc>
      </w:tr>
      <w:tr w:rsidR="00B338D9" w14:paraId="180BF988"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top w:val="single" w:sz="18" w:space="0" w:color="666666" w:themeColor="text1" w:themeTint="99"/>
              <w:bottom w:val="single" w:sz="4" w:space="0" w:color="666666" w:themeColor="text1" w:themeTint="99"/>
            </w:tcBorders>
          </w:tcPr>
          <w:p w14:paraId="458AC684" w14:textId="77777777" w:rsidR="00B338D9" w:rsidRDefault="00B338D9" w:rsidP="004611D6">
            <w:pPr>
              <w:pStyle w:val="ListParagraph"/>
              <w:keepNext/>
              <w:ind w:left="0"/>
            </w:pPr>
            <w:r>
              <w:t>Gain from perfect knowledge cf no data</w:t>
            </w:r>
          </w:p>
        </w:tc>
        <w:tc>
          <w:tcPr>
            <w:tcW w:w="2358" w:type="pct"/>
            <w:tcBorders>
              <w:top w:val="single" w:sz="18" w:space="0" w:color="666666" w:themeColor="text1" w:themeTint="99"/>
              <w:bottom w:val="single" w:sz="4" w:space="0" w:color="666666" w:themeColor="text1" w:themeTint="99"/>
            </w:tcBorders>
          </w:tcPr>
          <w:p w14:paraId="77EE9D0D" w14:textId="777777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r w:rsidR="00B338D9" w14:paraId="539EA893"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18" w:space="0" w:color="666666" w:themeColor="text1" w:themeTint="99"/>
            </w:tcBorders>
          </w:tcPr>
          <w:p w14:paraId="5AAF85F3" w14:textId="481FF840" w:rsidR="00B338D9" w:rsidRDefault="00B338D9" w:rsidP="008C1E81">
            <w:pPr>
              <w:pStyle w:val="ListParagraph"/>
              <w:ind w:left="0"/>
            </w:pPr>
            <w:r>
              <w:t>Gain from trial data cf no data</w:t>
            </w:r>
          </w:p>
        </w:tc>
        <w:tc>
          <w:tcPr>
            <w:tcW w:w="2358" w:type="pct"/>
            <w:tcBorders>
              <w:bottom w:val="single" w:sz="18" w:space="0" w:color="666666" w:themeColor="text1" w:themeTint="99"/>
            </w:tcBorders>
          </w:tcPr>
          <w:p w14:paraId="1AB2ACDF" w14:textId="377E0942" w:rsidR="00B338D9" w:rsidRDefault="00000000" w:rsidP="008C1E81">
            <w:pPr>
              <w:pStyle w:val="ListParagraph"/>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bl>
    <w:p w14:paraId="2A74E6D2" w14:textId="00260304" w:rsidR="00B338D9" w:rsidRDefault="00B338D9" w:rsidP="004611D6">
      <w:pPr>
        <w:pStyle w:val="ListParagraph"/>
        <w:ind w:left="360"/>
      </w:pPr>
      <w:r>
        <w:t>The gain from trial data, expressed as a fraction of the gain from perfect data, is</w:t>
      </w:r>
      <w:r w:rsidR="004611D6">
        <w:t xml:space="preserve"> therefore</w:t>
      </w:r>
    </w:p>
    <w:p w14:paraId="1C6CA2DA" w14:textId="14305D55" w:rsidR="00B338D9" w:rsidRDefault="00000000" w:rsidP="00B338D9">
      <w:pPr>
        <w:pStyle w:val="ListParagraph"/>
      </w:pPr>
      <m:oMathPara>
        <m:oMath>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num>
            <m:den>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den>
          </m:f>
          <m:r>
            <w:rPr>
              <w:rFonts w:ascii="Cambria Math" w:eastAsiaTheme="minorEastAsia" w:hAnsi="Cambria Math"/>
            </w:rPr>
            <m:t>=</m:t>
          </m:r>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num>
            <m:den>
              <m:r>
                <w:rPr>
                  <w:rFonts w:ascii="Cambria Math" w:eastAsia="Calibri" w:hAnsi="Cambria Math" w:cs="Arial"/>
                </w:rPr>
                <m:t>1/2</m:t>
              </m:r>
            </m:den>
          </m:f>
          <m:r>
            <w:rPr>
              <w:rFonts w:ascii="Cambria Math" w:hAnsi="Cambria Math"/>
            </w:rPr>
            <m:t>=2×power-1.</m:t>
          </m:r>
        </m:oMath>
      </m:oMathPara>
    </w:p>
    <w:p w14:paraId="389C5DE2" w14:textId="28B1B903"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we can use standard sample size software</w:t>
      </w:r>
      <w:r w:rsidR="00CF5C0A">
        <w:t xml:space="preserve"> with </w:t>
      </w:r>
      <w:r w:rsidR="004611D6">
        <w:t xml:space="preserve">one-soded significance level set to 0.5 and </w:t>
      </w:r>
      <w:r w:rsidR="00CF5C0A">
        <w:t xml:space="preserve">the power set to </w:t>
      </w:r>
      <w:r w:rsidR="00894587">
        <w:t>90%</w:t>
      </w:r>
      <w:r w:rsidR="0075715E">
        <w:t>:</w:t>
      </w:r>
    </w:p>
    <w:p w14:paraId="42657354" w14:textId="06D2909E" w:rsidR="0075715E" w:rsidRDefault="0075715E" w:rsidP="00271FF0">
      <w:pPr>
        <w:pStyle w:val="Typeface"/>
      </w:pPr>
      <w:r>
        <w:t>artbin, pr(</w:t>
      </w:r>
      <w:r w:rsidR="00894587">
        <w:t>0.50 0.55</w:t>
      </w:r>
      <w:r>
        <w:t>) power(</w:t>
      </w:r>
      <w:r w:rsidR="00894587">
        <w:t>0.90</w:t>
      </w:r>
      <w:r>
        <w:t>) alpha(</w:t>
      </w:r>
      <w:r w:rsidR="00190BBD">
        <w:t>0.50</w:t>
      </w:r>
      <w:r>
        <w:t>) onesided</w:t>
      </w:r>
    </w:p>
    <w:p w14:paraId="568ECD82" w14:textId="77777777" w:rsidR="0075715E" w:rsidRDefault="0075715E" w:rsidP="00271FF0">
      <w:pPr>
        <w:pStyle w:val="Typeface"/>
      </w:pPr>
    </w:p>
    <w:p w14:paraId="75E0B61E" w14:textId="7A11DC45" w:rsidR="00561877" w:rsidRDefault="00561877" w:rsidP="00561877">
      <w:pPr>
        <w:pStyle w:val="Heading1"/>
      </w:pPr>
      <w:r>
        <w:t>Reference</w:t>
      </w:r>
      <w:r w:rsidR="00550DED">
        <w:t>s</w:t>
      </w:r>
    </w:p>
    <w:p w14:paraId="6694D8CD" w14:textId="77777777" w:rsidR="00C91529" w:rsidRPr="00C91529" w:rsidRDefault="00561877" w:rsidP="00C91529">
      <w:pPr>
        <w:pStyle w:val="Bibliography"/>
      </w:pPr>
      <w:r>
        <w:fldChar w:fldCharType="begin"/>
      </w:r>
      <w:r>
        <w:instrText xml:space="preserve"> ADDIN ZOTERO_BIBL {"uncited":[],"omitted":[],"custom":[]} CSL_BIBLIOGRAPHY </w:instrText>
      </w:r>
      <w:r>
        <w:fldChar w:fldCharType="separate"/>
      </w:r>
      <w:r w:rsidR="00C91529" w:rsidRPr="00C91529">
        <w:t>1.</w:t>
      </w:r>
      <w:r w:rsidR="00C91529" w:rsidRPr="00C91529">
        <w:tab/>
        <w:t xml:space="preserve">Marley-Zagar E, White IR, Royston P, Barthel FMS, Parmar MKB, Babiker AG. artbin: Extended sample size for randomized trials with binary outcomes. </w:t>
      </w:r>
      <w:r w:rsidR="00C91529" w:rsidRPr="00C91529">
        <w:rPr>
          <w:i/>
          <w:iCs/>
        </w:rPr>
        <w:t>Stata J</w:t>
      </w:r>
      <w:r w:rsidR="00C91529" w:rsidRPr="00C91529">
        <w:t>. 2023;23(1):24-52. doi:10.1177/1536867X231161971</w:t>
      </w:r>
    </w:p>
    <w:p w14:paraId="774E28BB" w14:textId="77777777" w:rsidR="00C91529" w:rsidRPr="00C91529" w:rsidRDefault="00C91529" w:rsidP="00C91529">
      <w:pPr>
        <w:pStyle w:val="Bibliography"/>
      </w:pPr>
      <w:r w:rsidRPr="00C91529">
        <w:t>2.</w:t>
      </w:r>
      <w:r w:rsidRPr="00C91529">
        <w:tab/>
        <w:t xml:space="preserve">Turner RM, Clements MN, Quartagno M, et al. Practical approaches to Bayesian sample size determination in non‐inferiority trials with binary outcomes. </w:t>
      </w:r>
      <w:r w:rsidRPr="00C91529">
        <w:rPr>
          <w:i/>
          <w:iCs/>
        </w:rPr>
        <w:t>Stat Med</w:t>
      </w:r>
      <w:r w:rsidRPr="00C91529">
        <w:t>. 2023;42(8):1127-1138. doi:10.1002/sim.9661</w:t>
      </w:r>
    </w:p>
    <w:p w14:paraId="67BC59FD" w14:textId="4513A54C" w:rsidR="00561877" w:rsidRPr="00561877" w:rsidRDefault="00561877" w:rsidP="00561877">
      <w:pPr>
        <w:sectPr w:rsidR="00561877" w:rsidRPr="00561877" w:rsidSect="00661982">
          <w:footerReference w:type="default" r:id="rId9"/>
          <w:pgSz w:w="11906" w:h="16838" w:code="9"/>
          <w:pgMar w:top="1440" w:right="1440" w:bottom="1440" w:left="1440" w:header="709" w:footer="709" w:gutter="0"/>
          <w:cols w:space="708"/>
          <w:docGrid w:linePitch="360"/>
        </w:sectPr>
      </w:pPr>
      <w:r>
        <w:fldChar w:fldCharType="end"/>
      </w:r>
    </w:p>
    <w:p w14:paraId="49C3A49C" w14:textId="35EB6C39" w:rsidR="00AE1AB5" w:rsidRPr="00464256" w:rsidRDefault="00AE1AB5" w:rsidP="005D3DD8">
      <w:pPr>
        <w:pStyle w:val="Caption"/>
      </w:pPr>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50DED">
        <w:rPr>
          <w:b/>
          <w:bCs/>
          <w:noProof/>
        </w:rPr>
        <w:t>1</w:t>
      </w:r>
      <w:r w:rsidR="00D72C26" w:rsidRPr="006F0587">
        <w:rPr>
          <w:b/>
          <w:bCs/>
          <w:noProof/>
        </w:rPr>
        <w:fldChar w:fldCharType="end"/>
      </w:r>
      <w:bookmarkEnd w:id="0"/>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1" w:name="_Ref169885346"/>
      <w:r w:rsidR="00965624">
        <w:t>.</w:t>
      </w:r>
      <w:r w:rsidR="0009360C">
        <w:br w:type="page"/>
      </w:r>
    </w:p>
    <w:bookmarkEnd w:id="1"/>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2"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2"/>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9C31E" w14:textId="77777777" w:rsidR="00582CCB" w:rsidRDefault="00582CCB" w:rsidP="001E61B7">
      <w:pPr>
        <w:spacing w:after="0"/>
      </w:pPr>
      <w:r>
        <w:separator/>
      </w:r>
    </w:p>
  </w:endnote>
  <w:endnote w:type="continuationSeparator" w:id="0">
    <w:p w14:paraId="631E3C72" w14:textId="77777777" w:rsidR="00582CCB" w:rsidRDefault="00582CCB" w:rsidP="001E61B7">
      <w:pPr>
        <w:spacing w:after="0"/>
      </w:pPr>
      <w:r>
        <w:continuationSeparator/>
      </w:r>
    </w:p>
  </w:endnote>
  <w:endnote w:type="continuationNotice" w:id="1">
    <w:p w14:paraId="5430C7F8" w14:textId="77777777" w:rsidR="00582CCB" w:rsidRDefault="00582CCB">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55B3" w14:textId="77777777" w:rsidR="00582CCB" w:rsidRDefault="00582CCB" w:rsidP="001E61B7">
      <w:pPr>
        <w:spacing w:after="0"/>
      </w:pPr>
      <w:r>
        <w:separator/>
      </w:r>
    </w:p>
  </w:footnote>
  <w:footnote w:type="continuationSeparator" w:id="0">
    <w:p w14:paraId="7E24895E" w14:textId="77777777" w:rsidR="00582CCB" w:rsidRDefault="00582CCB" w:rsidP="001E61B7">
      <w:pPr>
        <w:spacing w:after="0"/>
      </w:pPr>
      <w:r>
        <w:continuationSeparator/>
      </w:r>
    </w:p>
  </w:footnote>
  <w:footnote w:type="continuationNotice" w:id="1">
    <w:p w14:paraId="344EDA57" w14:textId="77777777" w:rsidR="00582CCB" w:rsidRDefault="00582CCB">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543D"/>
    <w:rsid w:val="00027CB7"/>
    <w:rsid w:val="00032A57"/>
    <w:rsid w:val="00033D8F"/>
    <w:rsid w:val="0003435F"/>
    <w:rsid w:val="00034E11"/>
    <w:rsid w:val="0003508B"/>
    <w:rsid w:val="000362A6"/>
    <w:rsid w:val="00040B80"/>
    <w:rsid w:val="000420B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5633"/>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0BBD"/>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1FF0"/>
    <w:rsid w:val="002736A7"/>
    <w:rsid w:val="002739DA"/>
    <w:rsid w:val="0027546E"/>
    <w:rsid w:val="00275486"/>
    <w:rsid w:val="00275538"/>
    <w:rsid w:val="00276C5C"/>
    <w:rsid w:val="00280CC2"/>
    <w:rsid w:val="0028132A"/>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2155"/>
    <w:rsid w:val="002C3FC0"/>
    <w:rsid w:val="002C4D66"/>
    <w:rsid w:val="002C7F98"/>
    <w:rsid w:val="002D1D9B"/>
    <w:rsid w:val="002D372F"/>
    <w:rsid w:val="002D6182"/>
    <w:rsid w:val="002D6DC3"/>
    <w:rsid w:val="002D700C"/>
    <w:rsid w:val="002D73A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A2"/>
    <w:rsid w:val="004611D6"/>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97DC8"/>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0DED"/>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CCB"/>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D6DB8"/>
    <w:rsid w:val="006E0AF4"/>
    <w:rsid w:val="006E1960"/>
    <w:rsid w:val="006E1B40"/>
    <w:rsid w:val="006E1F6F"/>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CFC"/>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587"/>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1E81"/>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60BD"/>
    <w:rsid w:val="009C7286"/>
    <w:rsid w:val="009D0207"/>
    <w:rsid w:val="009D0869"/>
    <w:rsid w:val="009D0974"/>
    <w:rsid w:val="009D16B8"/>
    <w:rsid w:val="009D621A"/>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38D9"/>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3DA1"/>
    <w:rsid w:val="00BD50B2"/>
    <w:rsid w:val="00BD57C5"/>
    <w:rsid w:val="00BD5A7F"/>
    <w:rsid w:val="00BD5AEE"/>
    <w:rsid w:val="00BD6204"/>
    <w:rsid w:val="00BD7071"/>
    <w:rsid w:val="00BD748D"/>
    <w:rsid w:val="00BD7D65"/>
    <w:rsid w:val="00BE00E2"/>
    <w:rsid w:val="00BE025D"/>
    <w:rsid w:val="00BE0D0F"/>
    <w:rsid w:val="00BE0E5C"/>
    <w:rsid w:val="00BE433F"/>
    <w:rsid w:val="00BE5F8A"/>
    <w:rsid w:val="00BE62DE"/>
    <w:rsid w:val="00BF27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529"/>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1BA"/>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126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0B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AE"/>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271FF0"/>
    <w:pPr>
      <w:keepNext/>
      <w:ind w:left="720"/>
      <w:contextualSpacing/>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 w:type="table" w:styleId="PlainTable2">
    <w:name w:val="Plain Table 2"/>
    <w:basedOn w:val="TableNormal"/>
    <w:uiPriority w:val="42"/>
    <w:rsid w:val="004611D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4611D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RE-CTI/Tailorin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Normal.dotm</Template>
  <TotalTime>34</TotalTime>
  <Pages>5</Pages>
  <Words>1933</Words>
  <Characters>11022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3</cp:revision>
  <cp:lastPrinted>2026-07-27T09:17:00Z</cp:lastPrinted>
  <dcterms:created xsi:type="dcterms:W3CDTF">2026-07-24T13:45:00Z</dcterms:created>
  <dcterms:modified xsi:type="dcterms:W3CDTF">2026-07-27T09:44:00Z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id="vdQVcZX2"/&gt;&lt;style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