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066F" w14:textId="77777777" w:rsidR="008B0728" w:rsidRDefault="00000000">
      <w:pPr>
        <w:pStyle w:val="Heading1"/>
      </w:pPr>
      <w:bookmarkStart w:id="0" w:name="mrc-lecture-1-derivation-guide-1"/>
      <w:r>
        <w:t>MRC Lecture 1 — Derivation Guide 1</w:t>
      </w:r>
    </w:p>
    <w:p w14:paraId="043DBE53" w14:textId="77777777" w:rsidR="008B0728" w:rsidRDefault="00000000">
      <w:pPr>
        <w:pStyle w:val="Heading1"/>
      </w:pPr>
      <w:bookmarkStart w:id="1" w:name="X9de0ec27b4691cd0050c76ff188dcf6c4096246"/>
      <w:bookmarkEnd w:id="0"/>
      <w:r>
        <w:t>The Dot Product: Algebraic and Geometric Definitions</w:t>
      </w:r>
    </w:p>
    <w:p w14:paraId="4FBB1C24" w14:textId="77777777" w:rsidR="008B0728" w:rsidRPr="002E0765" w:rsidRDefault="00000000">
      <w:pPr>
        <w:rPr>
          <w:lang w:val="de-DE"/>
        </w:rPr>
      </w:pPr>
      <w:r w:rsidRPr="002E0765">
        <w:rPr>
          <w:lang w:val="de-DE"/>
        </w:rPr>
        <w:t>Sai T. Reddy — ETH Zurich / BIIE</w:t>
      </w:r>
    </w:p>
    <w:p w14:paraId="58336E70" w14:textId="77777777" w:rsidR="008B0728" w:rsidRDefault="003F7CEB">
      <w:r>
        <w:rPr>
          <w:noProof/>
        </w:rPr>
      </w:r>
      <w:r>
        <w:pict w14:anchorId="3C1F7394">
          <v:rect id="Horizontal Line 1"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820A4F7" w14:textId="77777777" w:rsidR="008B0728" w:rsidRDefault="00000000">
      <w:pPr>
        <w:pStyle w:val="Heading2"/>
      </w:pPr>
      <w:bookmarkStart w:id="2" w:name="motivation"/>
      <w:r>
        <w:t>1. Motivation</w:t>
      </w:r>
    </w:p>
    <w:p w14:paraId="27656F40" w14:textId="77777777" w:rsidR="008B0728" w:rsidRDefault="00000000">
      <w:r>
        <w:t xml:space="preserve">Every compatibility score in this course — between an antibody and an antigen, between a transcription factor and a DNA site, between a transformer query and a key — is computed as a </w:t>
      </w:r>
      <w:r>
        <w:rPr>
          <w:b/>
          <w:bCs/>
        </w:rPr>
        <w:t>dot product</w:t>
      </w:r>
      <w:r>
        <w:t xml:space="preserve"> of two vectors. The dot product is the atomic operation of molecular recognition computing. This guide derives the dot product from both its algebraic and geometric definitions, proves their equivalence, and works through examples with molecular interpretation.</w:t>
      </w:r>
    </w:p>
    <w:p w14:paraId="7969A3B8" w14:textId="77777777" w:rsidR="008B0728" w:rsidRDefault="003F7CEB">
      <w:r>
        <w:rPr>
          <w:noProof/>
        </w:rPr>
      </w:r>
      <w:r>
        <w:pict w14:anchorId="13B741A8">
          <v:rect id="Horizontal Line 2"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4BAAFE5" w14:textId="77777777" w:rsidR="008B0728" w:rsidRDefault="00000000">
      <w:pPr>
        <w:pStyle w:val="Heading2"/>
      </w:pPr>
      <w:bookmarkStart w:id="3" w:name="the-algebraic-definition"/>
      <w:bookmarkEnd w:id="2"/>
      <w:r>
        <w:t>2. The Algebraic Definition</w:t>
      </w:r>
    </w:p>
    <w:p w14:paraId="68FACD2A" w14:textId="77777777" w:rsidR="008B0728" w:rsidRDefault="00000000">
      <w:r>
        <w:rPr>
          <w:b/>
          <w:bCs/>
        </w:rPr>
        <w:t>Definition.</w:t>
      </w:r>
      <w:r>
        <w:t xml:space="preserve"> Given two vectors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oMath>
      <w:r>
        <w:t xml:space="preserv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their dot product (also called inner product or scalar product) is:</w:t>
      </w:r>
    </w:p>
    <w:p w14:paraId="789DB073"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n</m:t>
              </m:r>
            </m:sub>
          </m:sSub>
        </m:oMath>
      </m:oMathPara>
    </w:p>
    <w:p w14:paraId="54873711" w14:textId="77777777" w:rsidR="008B0728" w:rsidRDefault="00000000">
      <w:r>
        <w:t>The dot product takes two vectors as input and produces a single real number (a scalar) as output.</w:t>
      </w:r>
    </w:p>
    <w:p w14:paraId="62587ACA" w14:textId="1CC20EF7" w:rsidR="008B0728" w:rsidRDefault="002E0765">
      <w:r>
        <w:rPr>
          <w:b/>
          <w:bCs/>
        </w:rPr>
        <w:br/>
      </w:r>
      <w:r w:rsidR="00000000">
        <w:rPr>
          <w:b/>
          <w:bCs/>
        </w:rPr>
        <w:t>Properties of the dot product:</w:t>
      </w:r>
      <w:r>
        <w:rPr>
          <w:b/>
          <w:bCs/>
        </w:rPr>
        <w:br/>
      </w:r>
    </w:p>
    <w:p w14:paraId="776B7BA2" w14:textId="77777777" w:rsidR="008B0728" w:rsidRDefault="00000000">
      <w:pPr>
        <w:numPr>
          <w:ilvl w:val="0"/>
          <w:numId w:val="3"/>
        </w:numPr>
      </w:pPr>
      <w:r>
        <w:t xml:space="preserve">Commutativity: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oMath>
    </w:p>
    <w:p w14:paraId="7172F766" w14:textId="77777777" w:rsidR="008B0728" w:rsidRDefault="00000000">
      <w:pPr>
        <w:numPr>
          <w:ilvl w:val="0"/>
          <w:numId w:val="3"/>
        </w:numPr>
      </w:pPr>
      <w:r>
        <w:t xml:space="preserve">Distributivity: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m:rPr>
                <m:sty m:val="b"/>
              </m:rPr>
              <w:rPr>
                <w:rFonts w:ascii="Cambria Math" w:hAnsi="Cambria Math"/>
              </w:rPr>
              <m:t>b</m:t>
            </m:r>
            <m:r>
              <m:rPr>
                <m:sty m:val="p"/>
              </m:rPr>
              <w:rPr>
                <w:rFonts w:ascii="Cambria Math" w:hAnsi="Cambria Math"/>
              </w:rPr>
              <m:t>+</m:t>
            </m:r>
            <m:r>
              <m:rPr>
                <m:sty m:val="b"/>
              </m:rPr>
              <w:rPr>
                <w:rFonts w:ascii="Cambria Math" w:hAnsi="Cambria Math"/>
              </w:rPr>
              <m:t>c</m:t>
            </m:r>
          </m:e>
        </m:d>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c</m:t>
        </m:r>
      </m:oMath>
    </w:p>
    <w:p w14:paraId="628A0681" w14:textId="77777777" w:rsidR="008B0728" w:rsidRDefault="00000000">
      <w:pPr>
        <w:numPr>
          <w:ilvl w:val="0"/>
          <w:numId w:val="3"/>
        </w:numPr>
      </w:pPr>
      <w:r>
        <w:t xml:space="preserve">Scalar multiplication: </w:t>
      </w:r>
      <m:oMath>
        <m:d>
          <m:dPr>
            <m:ctrlPr>
              <w:rPr>
                <w:rFonts w:ascii="Cambria Math" w:hAnsi="Cambria Math"/>
              </w:rPr>
            </m:ctrlPr>
          </m:dPr>
          <m:e>
            <m:r>
              <w:rPr>
                <w:rFonts w:ascii="Cambria Math" w:hAnsi="Cambria Math"/>
              </w:rPr>
              <m:t>α</m:t>
            </m:r>
            <m:r>
              <m:rPr>
                <m:sty m:val="b"/>
              </m:rPr>
              <w:rPr>
                <w:rFonts w:ascii="Cambria Math" w:hAnsi="Cambria Math"/>
              </w:rPr>
              <m:t>a</m:t>
            </m:r>
          </m:e>
        </m:d>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α</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oMath>
    </w:p>
    <w:p w14:paraId="642865D7" w14:textId="77777777" w:rsidR="008B0728" w:rsidRDefault="00000000">
      <w:pPr>
        <w:numPr>
          <w:ilvl w:val="0"/>
          <w:numId w:val="3"/>
        </w:numPr>
      </w:pPr>
      <w:r>
        <w:t xml:space="preserve">Positive definiteness: </w:t>
      </w:r>
      <m:oMath>
        <m:r>
          <m:rPr>
            <m:sty m:val="b"/>
          </m:rPr>
          <w:rPr>
            <w:rFonts w:ascii="Cambria Math" w:hAnsi="Cambria Math"/>
          </w:rPr>
          <m:t>a</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0</m:t>
        </m:r>
      </m:oMath>
      <w:r>
        <w:t xml:space="preserve">, with equality if and only if </w:t>
      </w:r>
      <m:oMath>
        <m:r>
          <m:rPr>
            <m:sty m:val="b"/>
          </m:rPr>
          <w:rPr>
            <w:rFonts w:ascii="Cambria Math" w:hAnsi="Cambria Math"/>
          </w:rPr>
          <m:t>a</m:t>
        </m:r>
        <m:r>
          <m:rPr>
            <m:sty m:val="p"/>
          </m:rPr>
          <w:rPr>
            <w:rFonts w:ascii="Cambria Math" w:hAnsi="Cambria Math"/>
          </w:rPr>
          <m:t>=</m:t>
        </m:r>
        <m:r>
          <m:rPr>
            <m:sty m:val="b"/>
          </m:rPr>
          <w:rPr>
            <w:rFonts w:ascii="Cambria Math" w:hAnsi="Cambria Math"/>
          </w:rPr>
          <m:t>0</m:t>
        </m:r>
      </m:oMath>
    </w:p>
    <w:p w14:paraId="7CD7E748" w14:textId="0294F19C" w:rsidR="008B0728" w:rsidRDefault="002E0765">
      <w:r>
        <w:br/>
      </w:r>
      <w:r w:rsidR="00000000">
        <w:t xml:space="preserve">Property (iii) is called </w:t>
      </w:r>
      <w:r w:rsidR="00000000">
        <w:rPr>
          <w:b/>
          <w:bCs/>
        </w:rPr>
        <w:t>bilinearity</w:t>
      </w:r>
      <w:r w:rsidR="00000000">
        <w:t xml:space="preserve"> (linearity in both arguments). This property will become central in Lecture 5, where we show that the binding energy between two molecules decomposes as a bilinear function of their features — which is precisely a dot product.</w:t>
      </w:r>
    </w:p>
    <w:p w14:paraId="01D0B0DE" w14:textId="77777777" w:rsidR="008B0728" w:rsidRDefault="003F7CEB">
      <w:r>
        <w:rPr>
          <w:noProof/>
        </w:rPr>
      </w:r>
      <w:r>
        <w:pict w14:anchorId="7C6920DA">
          <v:rect id="Horizontal Line 3"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E1DE3EE" w14:textId="77777777" w:rsidR="008B0728" w:rsidRDefault="00000000">
      <w:pPr>
        <w:pStyle w:val="Heading2"/>
      </w:pPr>
      <w:bookmarkStart w:id="4" w:name="worked-example-1-numerical-computation"/>
      <w:bookmarkEnd w:id="3"/>
      <w:r>
        <w:t>3. Worked Example 1: Numerical Computation</w:t>
      </w:r>
    </w:p>
    <w:p w14:paraId="1BBDEC8B" w14:textId="77777777" w:rsidR="008B0728" w:rsidRDefault="00000000">
      <w:r>
        <w:rPr>
          <w:b/>
          <w:bCs/>
        </w:rPr>
        <w:t>Problem.</w:t>
      </w:r>
      <w:r>
        <w:t xml:space="preserve"> Compute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oMath>
      <w:r>
        <w:t xml:space="preserve"> for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w:t>
      </w:r>
    </w:p>
    <w:p w14:paraId="60285B1F" w14:textId="77777777" w:rsidR="008B0728" w:rsidRDefault="00000000">
      <w:r>
        <w:rPr>
          <w:b/>
          <w:bCs/>
        </w:rPr>
        <w:t>Step 1.</w:t>
      </w:r>
      <w:r>
        <w:t xml:space="preserve"> Multiply corresponding components:</w:t>
      </w:r>
    </w:p>
    <w:p w14:paraId="073CB12C" w14:textId="77777777" w:rsidR="008B0728"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m:oMathPara>
    </w:p>
    <w:p w14:paraId="3E659098" w14:textId="77777777" w:rsidR="008B0728"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oMath>
      </m:oMathPara>
    </w:p>
    <w:p w14:paraId="5968E61E" w14:textId="77777777" w:rsidR="008B0728"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m:oMathPara>
    </w:p>
    <w:p w14:paraId="2850F101" w14:textId="77777777" w:rsidR="008B0728" w:rsidRDefault="00000000">
      <w:r>
        <w:rPr>
          <w:b/>
          <w:bCs/>
        </w:rPr>
        <w:t>Step 2.</w:t>
      </w:r>
      <w:r>
        <w:t xml:space="preserve"> Sum the products:</w:t>
      </w:r>
    </w:p>
    <w:p w14:paraId="443A809D" w14:textId="5BC4E4F5" w:rsidR="008B0728" w:rsidRDefault="00000000">
      <m:oMathPara>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5</m:t>
          </m:r>
          <m:r>
            <w:br/>
          </m:r>
        </m:oMath>
      </m:oMathPara>
    </w:p>
    <w:p w14:paraId="1364EB4B" w14:textId="77777777" w:rsidR="008B0728" w:rsidRDefault="00000000">
      <w:r>
        <w:t>The result is a single number: 5. The vectors are “mostly aligned” — their dot product is positive.</w:t>
      </w:r>
    </w:p>
    <w:p w14:paraId="21A35113" w14:textId="77777777" w:rsidR="008B0728" w:rsidRDefault="003F7CEB">
      <w:r>
        <w:rPr>
          <w:noProof/>
        </w:rPr>
      </w:r>
      <w:r>
        <w:pict w14:anchorId="0DB7CFBC">
          <v:rect id="Horizontal Line 4"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169FB8E" w14:textId="77777777" w:rsidR="008B0728" w:rsidRDefault="00000000">
      <w:pPr>
        <w:pStyle w:val="Heading2"/>
      </w:pPr>
      <w:bookmarkStart w:id="5" w:name="the-geometric-definition"/>
      <w:bookmarkEnd w:id="4"/>
      <w:r>
        <w:t>4. The Geometric Definition</w:t>
      </w:r>
    </w:p>
    <w:p w14:paraId="29E42C29" w14:textId="77777777" w:rsidR="008B0728" w:rsidRDefault="00000000">
      <w:r>
        <w:rPr>
          <w:b/>
          <w:bCs/>
        </w:rPr>
        <w:t>Definition.</w:t>
      </w:r>
      <w:r>
        <w:t xml:space="preserve"> The dot product can equivalently be written as:</w:t>
      </w:r>
    </w:p>
    <w:p w14:paraId="317EF5DD"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oMath>
      </m:oMathPara>
    </w:p>
    <w:p w14:paraId="6EAAF85F" w14:textId="77777777" w:rsidR="008B0728" w:rsidRDefault="00000000">
      <w:r>
        <w:lastRenderedPageBreak/>
        <w:t xml:space="preserve">where </w:t>
      </w:r>
      <m:oMath>
        <m:r>
          <m:rPr>
            <m:sty m:val="p"/>
          </m:rPr>
          <w:rPr>
            <w:rFonts w:ascii="Cambria Math" w:hAnsi="Cambria Math"/>
          </w:rPr>
          <m:t>∥</m:t>
        </m:r>
        <m:r>
          <m:rPr>
            <m:sty m:val="b"/>
          </m:rPr>
          <w:rPr>
            <w:rFonts w:ascii="Cambria Math" w:hAnsi="Cambria Math"/>
          </w:rPr>
          <m:t>a</m:t>
        </m:r>
        <m:r>
          <m:rPr>
            <m:sty m:val="p"/>
          </m:rPr>
          <w:rPr>
            <w:rFonts w:ascii="Cambria Math" w:hAnsi="Cambria Math"/>
          </w:rPr>
          <m:t>∥</m:t>
        </m:r>
      </m:oMath>
      <w:r>
        <w:t xml:space="preserve"> is the length (Euclidean norm) of </w:t>
      </w:r>
      <m:oMath>
        <m:r>
          <m:rPr>
            <m:sty m:val="b"/>
          </m:rPr>
          <w:rPr>
            <w:rFonts w:ascii="Cambria Math" w:hAnsi="Cambria Math"/>
          </w:rPr>
          <m:t>a</m:t>
        </m:r>
      </m:oMath>
      <w:r>
        <w:t xml:space="preserve">, </w:t>
      </w:r>
      <m:oMath>
        <m:r>
          <m:rPr>
            <m:sty m:val="p"/>
          </m:rPr>
          <w:rPr>
            <w:rFonts w:ascii="Cambria Math" w:hAnsi="Cambria Math"/>
          </w:rPr>
          <m:t>∥</m:t>
        </m:r>
        <m:r>
          <m:rPr>
            <m:sty m:val="b"/>
          </m:rPr>
          <w:rPr>
            <w:rFonts w:ascii="Cambria Math" w:hAnsi="Cambria Math"/>
          </w:rPr>
          <m:t>b</m:t>
        </m:r>
        <m:r>
          <m:rPr>
            <m:sty m:val="p"/>
          </m:rPr>
          <w:rPr>
            <w:rFonts w:ascii="Cambria Math" w:hAnsi="Cambria Math"/>
          </w:rPr>
          <m:t>∥</m:t>
        </m:r>
      </m:oMath>
      <w:r>
        <w:t xml:space="preserve"> is the length of </w:t>
      </w:r>
      <m:oMath>
        <m:r>
          <m:rPr>
            <m:sty m:val="b"/>
          </m:rPr>
          <w:rPr>
            <w:rFonts w:ascii="Cambria Math" w:hAnsi="Cambria Math"/>
          </w:rPr>
          <m:t>b</m:t>
        </m:r>
      </m:oMath>
      <w:r>
        <w:t xml:space="preserve">, and </w:t>
      </w:r>
      <m:oMath>
        <m:r>
          <w:rPr>
            <w:rFonts w:ascii="Cambria Math" w:hAnsi="Cambria Math"/>
          </w:rPr>
          <m:t>θ</m:t>
        </m:r>
      </m:oMath>
      <w:r>
        <w:t xml:space="preserve"> is the angle between the two vectors.</w:t>
      </w:r>
    </w:p>
    <w:p w14:paraId="30075397" w14:textId="77777777" w:rsidR="008B0728" w:rsidRDefault="00000000">
      <w:r>
        <w:rPr>
          <w:b/>
          <w:bCs/>
        </w:rPr>
        <w:t>The Euclidean norm.</w:t>
      </w:r>
      <w:r>
        <w:t xml:space="preserve"> The length of a vector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t xml:space="preserve"> is:</w:t>
      </w:r>
    </w:p>
    <w:p w14:paraId="241EA418"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a</m:t>
          </m:r>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2</m:t>
                  </m:r>
                </m:sup>
              </m:sSubSup>
            </m:e>
          </m:rad>
        </m:oMath>
      </m:oMathPara>
    </w:p>
    <w:p w14:paraId="4689F733" w14:textId="77777777" w:rsidR="008B0728" w:rsidRDefault="00000000">
      <w:r>
        <w:t xml:space="preserve">Note that </w:t>
      </w:r>
      <m:oMath>
        <m:r>
          <m:rPr>
            <m:sty m:val="p"/>
          </m:rPr>
          <w:rPr>
            <w:rFonts w:ascii="Cambria Math" w:hAnsi="Cambria Math"/>
          </w:rPr>
          <m:t>∥</m:t>
        </m:r>
        <m:r>
          <m:rPr>
            <m:sty m:val="b"/>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a</m:t>
        </m:r>
      </m:oMath>
      <w:r>
        <w:t>, i.e., the squared length of a vector is its dot product with itself.</w:t>
      </w:r>
    </w:p>
    <w:p w14:paraId="35DD2822" w14:textId="77777777" w:rsidR="008B0728" w:rsidRDefault="003F7CEB">
      <w:r>
        <w:rPr>
          <w:noProof/>
        </w:rPr>
      </w:r>
      <w:r>
        <w:pict w14:anchorId="49D6864E">
          <v:rect id="Horizontal Line 5"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0597A92" w14:textId="77777777" w:rsidR="008B0728" w:rsidRDefault="00000000">
      <w:pPr>
        <w:pStyle w:val="Heading2"/>
      </w:pPr>
      <w:bookmarkStart w:id="6" w:name="proof-of-equivalence"/>
      <w:bookmarkEnd w:id="5"/>
      <w:r>
        <w:t>5. Proof of Equivalence</w:t>
      </w:r>
    </w:p>
    <w:p w14:paraId="03BFDAD4" w14:textId="77777777" w:rsidR="008B0728" w:rsidRDefault="00000000">
      <w:r>
        <w:t>We prove that the algebraic and geometric definitions are consistent. The key tool is the law of cosines.</w:t>
      </w:r>
    </w:p>
    <w:p w14:paraId="723ABBCC" w14:textId="77777777" w:rsidR="008B0728" w:rsidRDefault="00000000">
      <w:r>
        <w:rPr>
          <w:b/>
          <w:bCs/>
        </w:rPr>
        <w:t>Setup.</w:t>
      </w:r>
      <w:r>
        <w:t xml:space="preserve"> Consider vectors </w:t>
      </w:r>
      <m:oMath>
        <m:r>
          <m:rPr>
            <m:sty m:val="b"/>
          </m:rPr>
          <w:rPr>
            <w:rFonts w:ascii="Cambria Math" w:hAnsi="Cambria Math"/>
          </w:rPr>
          <m:t>a</m:t>
        </m:r>
      </m:oMath>
      <w:r>
        <w:t xml:space="preserve"> and </w:t>
      </w:r>
      <m:oMath>
        <m:r>
          <m:rPr>
            <m:sty m:val="b"/>
          </m:rPr>
          <w:rPr>
            <w:rFonts w:ascii="Cambria Math" w:hAnsi="Cambria Math"/>
          </w:rPr>
          <m:t>b</m:t>
        </m:r>
      </m:oMath>
      <w:r>
        <w:t xml:space="preserv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with angle </w:t>
      </w:r>
      <m:oMath>
        <m:r>
          <w:rPr>
            <w:rFonts w:ascii="Cambria Math" w:hAnsi="Cambria Math"/>
          </w:rPr>
          <m:t>θ</m:t>
        </m:r>
      </m:oMath>
      <w:r>
        <w:t xml:space="preserve"> between them. The vector from the tip of </w:t>
      </w:r>
      <m:oMath>
        <m:r>
          <m:rPr>
            <m:sty m:val="b"/>
          </m:rPr>
          <w:rPr>
            <w:rFonts w:ascii="Cambria Math" w:hAnsi="Cambria Math"/>
          </w:rPr>
          <m:t>b</m:t>
        </m:r>
      </m:oMath>
      <w:r>
        <w:t xml:space="preserve"> to the tip of </w:t>
      </w:r>
      <m:oMath>
        <m:r>
          <m:rPr>
            <m:sty m:val="b"/>
          </m:rPr>
          <w:rPr>
            <w:rFonts w:ascii="Cambria Math" w:hAnsi="Cambria Math"/>
          </w:rPr>
          <m:t>a</m:t>
        </m:r>
      </m:oMath>
      <w:r>
        <w:t xml:space="preserve"> is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oMath>
      <w:r>
        <w:t>.</w:t>
      </w:r>
    </w:p>
    <w:p w14:paraId="524385F1" w14:textId="77777777" w:rsidR="008B0728" w:rsidRDefault="00000000">
      <w:r>
        <w:rPr>
          <w:b/>
          <w:bCs/>
        </w:rPr>
        <w:t>Step 1.</w:t>
      </w:r>
      <w:r>
        <w:t xml:space="preserve"> The law of cosines applied to the triangle formed by </w:t>
      </w:r>
      <m:oMath>
        <m:r>
          <m:rPr>
            <m:sty m:val="b"/>
          </m:rPr>
          <w:rPr>
            <w:rFonts w:ascii="Cambria Math" w:hAnsi="Cambria Math"/>
          </w:rPr>
          <m:t>a</m:t>
        </m:r>
      </m:oMath>
      <w:r>
        <w:t xml:space="preserve">, </w:t>
      </w:r>
      <m:oMath>
        <m:r>
          <m:rPr>
            <m:sty m:val="b"/>
          </m:rPr>
          <w:rPr>
            <w:rFonts w:ascii="Cambria Math" w:hAnsi="Cambria Math"/>
          </w:rPr>
          <m:t>b</m:t>
        </m:r>
      </m:oMath>
      <w:r>
        <w:t xml:space="preserve">, and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oMath>
      <w:r>
        <w:t xml:space="preserve"> gives:</w:t>
      </w:r>
    </w:p>
    <w:p w14:paraId="037659C7"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oMath>
      </m:oMathPara>
    </w:p>
    <w:p w14:paraId="6E5ED7FE" w14:textId="77777777" w:rsidR="008B0728" w:rsidRDefault="00000000">
      <w:r>
        <w:rPr>
          <w:b/>
          <w:bCs/>
        </w:rPr>
        <w:t>Step 2.</w:t>
      </w:r>
      <w:r>
        <w:t xml:space="preserve"> Expand the left side using the algebraic definition:</w:t>
      </w:r>
    </w:p>
    <w:p w14:paraId="47912E06"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oMath>
      </m:oMathPara>
    </w:p>
    <w:p w14:paraId="279F74AC"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2</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b</m:t>
          </m:r>
        </m:oMath>
      </m:oMathPara>
    </w:p>
    <w:p w14:paraId="2B4BB1D1"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1F175C5" w14:textId="77777777" w:rsidR="008B0728" w:rsidRDefault="00000000">
      <w:r>
        <w:rPr>
          <w:b/>
          <w:bCs/>
        </w:rPr>
        <w:t>Step 3.</w:t>
      </w:r>
      <w:r>
        <w:t xml:space="preserve"> Set the two expressions equal:</w:t>
      </w:r>
    </w:p>
    <w:p w14:paraId="773FCE0C"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oMath>
      </m:oMathPara>
    </w:p>
    <w:p w14:paraId="65D08723" w14:textId="77777777" w:rsidR="008B0728" w:rsidRDefault="00000000">
      <w:r>
        <w:rPr>
          <w:b/>
          <w:bCs/>
        </w:rPr>
        <w:t>Step 4.</w:t>
      </w:r>
      <w:r>
        <w:t xml:space="preserve"> Cancel </w:t>
      </w:r>
      <m:oMath>
        <m:r>
          <m:rPr>
            <m:sty m:val="p"/>
          </m:rPr>
          <w:rPr>
            <w:rFonts w:ascii="Cambria Math" w:hAnsi="Cambria Math"/>
          </w:rPr>
          <m:t>∥</m:t>
        </m:r>
        <m:r>
          <m:rPr>
            <m:sty m:val="b"/>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b"/>
          </m:rP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from both sides:</w:t>
      </w:r>
    </w:p>
    <w:p w14:paraId="0BDD2F65" w14:textId="77777777" w:rsidR="008B0728" w:rsidRDefault="00000000">
      <m:oMathPara>
        <m:oMathParaPr>
          <m:jc m:val="center"/>
        </m:oMathParaPr>
        <m:oMath>
          <m:r>
            <m:rPr>
              <m:sty m:val="p"/>
            </m:rPr>
            <w:rPr>
              <w:rFonts w:ascii="Cambria Math" w:hAnsi="Cambria Math"/>
            </w:rPr>
            <m:t>-</m:t>
          </m:r>
          <m:r>
            <w:rPr>
              <w:rFonts w:ascii="Cambria Math" w:hAnsi="Cambria Math"/>
            </w:rPr>
            <m:t>2</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oMath>
      </m:oMathPara>
    </w:p>
    <w:p w14:paraId="3F6FFBD3" w14:textId="77777777" w:rsidR="008B0728" w:rsidRDefault="00000000">
      <w:r>
        <w:rPr>
          <w:b/>
          <w:bCs/>
        </w:rPr>
        <w:t>Step 5.</w:t>
      </w:r>
      <w:r>
        <w:t xml:space="preserve"> Divide by </w:t>
      </w:r>
      <m:oMath>
        <m:r>
          <m:rPr>
            <m:sty m:val="p"/>
          </m:rPr>
          <w:rPr>
            <w:rFonts w:ascii="Cambria Math" w:hAnsi="Cambria Math"/>
          </w:rPr>
          <m:t>-</m:t>
        </m:r>
        <m:r>
          <w:rPr>
            <w:rFonts w:ascii="Cambria Math" w:hAnsi="Cambria Math"/>
          </w:rPr>
          <m:t>2</m:t>
        </m:r>
      </m:oMath>
      <w:r>
        <w:t>:</w:t>
      </w:r>
    </w:p>
    <w:p w14:paraId="461CA817"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θ  </m:t>
          </m:r>
          <m:r>
            <m:rPr>
              <m:sty m:val="p"/>
            </m:rPr>
            <w:rPr>
              <w:rFonts w:ascii="Cambria Math" w:hAnsi="Cambria Math"/>
            </w:rPr>
            <m:t>◼</m:t>
          </m:r>
        </m:oMath>
      </m:oMathPara>
    </w:p>
    <w:p w14:paraId="54695D69" w14:textId="77777777" w:rsidR="008B0728" w:rsidRDefault="00000000">
      <w:r>
        <w:t>The two definitions are equivalent. The algebraic definition is what you compute. The geometric definition is what it means.</w:t>
      </w:r>
    </w:p>
    <w:p w14:paraId="693163ED" w14:textId="77777777" w:rsidR="008B0728" w:rsidRDefault="003F7CEB">
      <w:r>
        <w:rPr>
          <w:noProof/>
        </w:rPr>
      </w:r>
      <w:r>
        <w:pict w14:anchorId="672F0C66">
          <v:rect id="Horizontal Line 6"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6D372AF" w14:textId="77777777" w:rsidR="008B0728" w:rsidRDefault="00000000">
      <w:pPr>
        <w:pStyle w:val="Heading2"/>
      </w:pPr>
      <w:bookmarkStart w:id="7" w:name="geometric-interpretation"/>
      <w:bookmarkEnd w:id="6"/>
      <w:r>
        <w:t>6. Geometric Interpretation</w:t>
      </w:r>
    </w:p>
    <w:p w14:paraId="18E37985" w14:textId="77777777" w:rsidR="008B0728" w:rsidRDefault="00000000">
      <w:r>
        <w:t>The geometric definition reveals three regimes:</w:t>
      </w:r>
    </w:p>
    <w:p w14:paraId="69B9A3E7" w14:textId="77777777" w:rsidR="008B0728" w:rsidRDefault="00000000">
      <w:r>
        <w:rPr>
          <w:b/>
          <w:bCs/>
        </w:rPr>
        <w:t xml:space="preserve">Case 1: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oMath>
      <w:r>
        <w:rPr>
          <w:b/>
          <w:bCs/>
        </w:rPr>
        <w:t xml:space="preserve"> (parallel vectors).</w:t>
      </w:r>
    </w:p>
    <w:p w14:paraId="11D1C4CA"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0</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oMath>
      </m:oMathPara>
    </w:p>
    <w:p w14:paraId="37773421" w14:textId="77777777" w:rsidR="008B0728" w:rsidRDefault="00000000">
      <w:r>
        <w:t>The dot product is maximized. The vectors point in the same direction. In a molecular embedding space, this means the two molecules are maximally compatible — they are predicted to bind.</w:t>
      </w:r>
    </w:p>
    <w:p w14:paraId="7317990C" w14:textId="77777777" w:rsidR="008B0728" w:rsidRDefault="00000000">
      <w:r>
        <w:rPr>
          <w:b/>
          <w:bCs/>
        </w:rPr>
        <w:t xml:space="preserve">Case 2: </w:t>
      </w:r>
      <m:oMath>
        <m:r>
          <w:rPr>
            <w:rFonts w:ascii="Cambria Math" w:hAnsi="Cambria Math"/>
          </w:rPr>
          <m:t>θ</m:t>
        </m:r>
        <m:r>
          <m:rPr>
            <m:sty m:val="p"/>
          </m:rPr>
          <w:rPr>
            <w:rFonts w:ascii="Cambria Math" w:hAnsi="Cambria Math"/>
          </w:rPr>
          <m:t>=</m:t>
        </m:r>
        <m:r>
          <w:rPr>
            <w:rFonts w:ascii="Cambria Math" w:hAnsi="Cambria Math"/>
          </w:rPr>
          <m:t>90</m:t>
        </m:r>
        <m:r>
          <m:rPr>
            <m:sty m:val="p"/>
          </m:rPr>
          <w:rPr>
            <w:rFonts w:ascii="Cambria Math" w:hAnsi="Cambria Math"/>
          </w:rPr>
          <m:t>°</m:t>
        </m:r>
      </m:oMath>
      <w:r>
        <w:rPr>
          <w:b/>
          <w:bCs/>
        </w:rPr>
        <w:t xml:space="preserve"> (orthogonal vectors).</w:t>
      </w:r>
    </w:p>
    <w:p w14:paraId="6B575100"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90</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0FCB5F92" w14:textId="77777777" w:rsidR="008B0728" w:rsidRDefault="00000000">
      <w:r>
        <w:t>The dot product is zero. The vectors are perpendicular. The two molecules share no relevant features — they are unrelated.</w:t>
      </w:r>
    </w:p>
    <w:p w14:paraId="081E0D2E" w14:textId="77777777" w:rsidR="008B0728" w:rsidRDefault="00000000">
      <w:r>
        <w:rPr>
          <w:b/>
          <w:bCs/>
        </w:rPr>
        <w:t xml:space="preserve">Case 3: </w:t>
      </w:r>
      <m:oMath>
        <m:r>
          <w:rPr>
            <w:rFonts w:ascii="Cambria Math" w:hAnsi="Cambria Math"/>
          </w:rPr>
          <m:t>θ</m:t>
        </m:r>
        <m:r>
          <m:rPr>
            <m:sty m:val="p"/>
          </m:rPr>
          <w:rPr>
            <w:rFonts w:ascii="Cambria Math" w:hAnsi="Cambria Math"/>
          </w:rPr>
          <m:t>=</m:t>
        </m:r>
        <m:r>
          <w:rPr>
            <w:rFonts w:ascii="Cambria Math" w:hAnsi="Cambria Math"/>
          </w:rPr>
          <m:t>180</m:t>
        </m:r>
        <m:r>
          <m:rPr>
            <m:sty m:val="p"/>
          </m:rPr>
          <w:rPr>
            <w:rFonts w:ascii="Cambria Math" w:hAnsi="Cambria Math"/>
          </w:rPr>
          <m:t>°</m:t>
        </m:r>
      </m:oMath>
      <w:r>
        <w:rPr>
          <w:b/>
          <w:bCs/>
        </w:rPr>
        <w:t xml:space="preserve"> (antiparallel vectors).</w:t>
      </w:r>
    </w:p>
    <w:p w14:paraId="03EC467A"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180</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oMath>
      </m:oMathPara>
    </w:p>
    <w:p w14:paraId="1A58629B" w14:textId="77777777" w:rsidR="008B0728" w:rsidRDefault="00000000">
      <w:r>
        <w:t>The dot product is minimized (most negative). The vectors point in opposite directions. The two molecules are maximally incompatible.</w:t>
      </w:r>
    </w:p>
    <w:p w14:paraId="4BCB9532" w14:textId="77777777" w:rsidR="008B0728" w:rsidRDefault="00000000">
      <w:r>
        <w:rPr>
          <w:b/>
          <w:bCs/>
        </w:rPr>
        <w:t>Summary:</w:t>
      </w:r>
      <w:r>
        <w:t xml:space="preserve"> The dot product measures alignment. Positive means compatible. Zero means unrelated. Negative means incompatible. This interpretation carries through the entire course.</w:t>
      </w:r>
    </w:p>
    <w:p w14:paraId="5C27848A" w14:textId="77777777" w:rsidR="008B0728" w:rsidRDefault="003F7CEB">
      <w:r>
        <w:rPr>
          <w:noProof/>
        </w:rPr>
      </w:r>
      <w:r>
        <w:pict w14:anchorId="6E8F1E09">
          <v:rect id="Horizontal Line 7"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314991E" w14:textId="77777777" w:rsidR="008B0728" w:rsidRDefault="00000000">
      <w:pPr>
        <w:pStyle w:val="Heading2"/>
      </w:pPr>
      <w:bookmarkStart w:id="8" w:name="worked-example-2-geometric-computation"/>
      <w:bookmarkEnd w:id="7"/>
      <w:r>
        <w:t>7. Worked Example 2: Geometric Computation</w:t>
      </w:r>
    </w:p>
    <w:p w14:paraId="7842FED1" w14:textId="77777777" w:rsidR="008B0728" w:rsidRDefault="00000000">
      <w:r>
        <w:rPr>
          <w:b/>
          <w:bCs/>
        </w:rPr>
        <w:t>Problem.</w:t>
      </w:r>
      <w:r>
        <w:t xml:space="preserve"> For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(same vectors as Example 1), verify the geometric formula and find the angle between them.</w:t>
      </w:r>
    </w:p>
    <w:p w14:paraId="3D369FEC" w14:textId="77777777" w:rsidR="008B0728" w:rsidRDefault="00000000">
      <w:r>
        <w:rPr>
          <w:b/>
          <w:bCs/>
        </w:rPr>
        <w:t>Step 1.</w:t>
      </w:r>
      <w:r>
        <w:t xml:space="preserve"> Compute the norms:</w:t>
      </w:r>
    </w:p>
    <w:p w14:paraId="73A1EE48" w14:textId="77777777" w:rsidR="008B0728" w:rsidRDefault="00000000">
      <m:oMathPara>
        <m:oMathParaPr>
          <m:jc m:val="center"/>
        </m:oMathParaPr>
        <m:oMath>
          <m:r>
            <m:rPr>
              <m:sty m:val="p"/>
            </m:rPr>
            <w:rPr>
              <w:rFonts w:ascii="Cambria Math" w:hAnsi="Cambria Math"/>
            </w:rPr>
            <w:lastRenderedPageBreak/>
            <m:t>∥</m:t>
          </m:r>
          <m:r>
            <m:rPr>
              <m:sty m:val="b"/>
            </m:rPr>
            <w:rPr>
              <w:rFonts w:ascii="Cambria Math" w:hAnsi="Cambria Math"/>
            </w:rPr>
            <m:t>a</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rad>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r>
            <m:rPr>
              <m:sty m:val="p"/>
            </m:rPr>
            <w:rPr>
              <w:rFonts w:ascii="Cambria Math" w:hAnsi="Cambria Math"/>
            </w:rPr>
            <m:t>≈</m:t>
          </m:r>
          <m:r>
            <w:rPr>
              <w:rFonts w:ascii="Cambria Math" w:hAnsi="Cambria Math"/>
            </w:rPr>
            <m:t>3.742</m:t>
          </m:r>
        </m:oMath>
      </m:oMathPara>
    </w:p>
    <w:p w14:paraId="263F4049" w14:textId="77777777" w:rsidR="008B0728" w:rsidRDefault="00000000">
      <m:oMathPara>
        <m:oMathParaPr>
          <m:jc m:val="center"/>
        </m:oMathParaPr>
        <m:oMath>
          <m:r>
            <m:rPr>
              <m:sty m:val="p"/>
            </m:rPr>
            <w:rPr>
              <w:rFonts w:ascii="Cambria Math" w:hAnsi="Cambria Math"/>
            </w:rPr>
            <m:t>∥</m:t>
          </m:r>
          <m:r>
            <m:rPr>
              <m:sty m:val="b"/>
            </m:rPr>
            <w:rPr>
              <w:rFonts w:ascii="Cambria Math" w:hAnsi="Cambria Math"/>
            </w:rPr>
            <m:t>b</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18</m:t>
              </m:r>
            </m:e>
          </m:rad>
          <m:r>
            <m:rPr>
              <m:sty m:val="p"/>
            </m:rPr>
            <w:rPr>
              <w:rFonts w:ascii="Cambria Math" w:hAnsi="Cambria Math"/>
            </w:rPr>
            <m:t>≈</m:t>
          </m:r>
          <m:r>
            <w:rPr>
              <w:rFonts w:ascii="Cambria Math" w:hAnsi="Cambria Math"/>
            </w:rPr>
            <m:t>4.243</m:t>
          </m:r>
        </m:oMath>
      </m:oMathPara>
    </w:p>
    <w:p w14:paraId="6391FB39" w14:textId="77777777" w:rsidR="008B0728" w:rsidRDefault="00000000">
      <w:r>
        <w:rPr>
          <w:b/>
          <w:bCs/>
        </w:rPr>
        <w:t>Step 2.</w:t>
      </w:r>
      <w:r>
        <w:t xml:space="preserve"> Use the algebraic result from Example 1: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5</m:t>
        </m:r>
      </m:oMath>
      <w:r>
        <w:t>.</w:t>
      </w:r>
    </w:p>
    <w:p w14:paraId="725F9737" w14:textId="77777777" w:rsidR="008B0728" w:rsidRDefault="00000000">
      <w:r>
        <w:rPr>
          <w:b/>
          <w:bCs/>
        </w:rPr>
        <w:t>Step 3.</w:t>
      </w:r>
      <w:r>
        <w:t xml:space="preserve"> Solve for </w:t>
      </w:r>
      <m:oMath>
        <m:r>
          <m:rPr>
            <m:sty m:val="p"/>
          </m:rPr>
          <w:rPr>
            <w:rFonts w:ascii="Cambria Math" w:hAnsi="Cambria Math"/>
          </w:rPr>
          <m:t>cos</m:t>
        </m:r>
        <m:r>
          <w:rPr>
            <w:rFonts w:ascii="Cambria Math" w:hAnsi="Cambria Math"/>
          </w:rPr>
          <m:t>θ</m:t>
        </m:r>
      </m:oMath>
      <w:r>
        <w:t>:</w:t>
      </w:r>
    </w:p>
    <w:p w14:paraId="58390D31" w14:textId="77777777" w:rsidR="008B0728" w:rsidRDefault="00000000">
      <m:oMathPara>
        <m:oMathParaPr>
          <m:jc m:val="center"/>
        </m:oMathParaPr>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14</m:t>
                  </m:r>
                </m:e>
              </m:rad>
              <m:r>
                <m:rPr>
                  <m:sty m:val="p"/>
                </m:rPr>
                <w:rPr>
                  <w:rFonts w:ascii="Cambria Math" w:hAnsi="Cambria Math"/>
                </w:rPr>
                <m:t>×</m:t>
              </m:r>
              <m:rad>
                <m:radPr>
                  <m:degHide m:val="1"/>
                  <m:ctrlPr>
                    <w:rPr>
                      <w:rFonts w:ascii="Cambria Math" w:hAnsi="Cambria Math"/>
                    </w:rPr>
                  </m:ctrlPr>
                </m:radPr>
                <m:deg/>
                <m:e>
                  <m:r>
                    <w:rPr>
                      <w:rFonts w:ascii="Cambria Math" w:hAnsi="Cambria Math"/>
                    </w:rPr>
                    <m:t>18</m:t>
                  </m:r>
                </m:e>
              </m:rad>
            </m:den>
          </m:f>
          <m:r>
            <m:rPr>
              <m:sty m:val="p"/>
            </m:rPr>
            <w:rPr>
              <w:rFonts w:ascii="Cambria Math" w:hAnsi="Cambria Math"/>
            </w:rPr>
            <m:t>=</m:t>
          </m:r>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252</m:t>
                  </m:r>
                </m:e>
              </m:rad>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15.875</m:t>
              </m:r>
            </m:den>
          </m:f>
          <m:r>
            <m:rPr>
              <m:sty m:val="p"/>
            </m:rPr>
            <w:rPr>
              <w:rFonts w:ascii="Cambria Math" w:hAnsi="Cambria Math"/>
            </w:rPr>
            <m:t>≈</m:t>
          </m:r>
          <m:r>
            <w:rPr>
              <w:rFonts w:ascii="Cambria Math" w:hAnsi="Cambria Math"/>
            </w:rPr>
            <m:t>0.315</m:t>
          </m:r>
        </m:oMath>
      </m:oMathPara>
    </w:p>
    <w:p w14:paraId="1FBC0684" w14:textId="77777777" w:rsidR="008B0728" w:rsidRDefault="00000000">
      <w:r>
        <w:rPr>
          <w:b/>
          <w:bCs/>
        </w:rPr>
        <w:t>Step 4.</w:t>
      </w:r>
      <w:r>
        <w:t xml:space="preserve"> Find the angle:</w:t>
      </w:r>
    </w:p>
    <w:p w14:paraId="0B52B725" w14:textId="77777777" w:rsidR="008B0728" w:rsidRDefault="00000000">
      <m:oMathPara>
        <m:oMathParaPr>
          <m:jc m:val="center"/>
        </m:oMathParaPr>
        <m:oMath>
          <m:r>
            <w:rPr>
              <w:rFonts w:ascii="Cambria Math" w:hAnsi="Cambria Math"/>
            </w:rPr>
            <m:t>θ</m:t>
          </m:r>
          <m:r>
            <m:rPr>
              <m:sty m:val="p"/>
            </m:rPr>
            <w:rPr>
              <w:rFonts w:ascii="Cambria Math" w:hAnsi="Cambria Math"/>
            </w:rPr>
            <m:t>=arccos</m:t>
          </m:r>
          <m:d>
            <m:dPr>
              <m:ctrlPr>
                <w:rPr>
                  <w:rFonts w:ascii="Cambria Math" w:hAnsi="Cambria Math"/>
                </w:rPr>
              </m:ctrlPr>
            </m:dPr>
            <m:e>
              <m:r>
                <w:rPr>
                  <w:rFonts w:ascii="Cambria Math" w:hAnsi="Cambria Math"/>
                </w:rPr>
                <m:t>0.315</m:t>
              </m:r>
            </m:e>
          </m:d>
          <m:r>
            <m:rPr>
              <m:sty m:val="p"/>
            </m:rPr>
            <w:rPr>
              <w:rFonts w:ascii="Cambria Math" w:hAnsi="Cambria Math"/>
            </w:rPr>
            <m:t>≈</m:t>
          </m:r>
          <m:r>
            <w:rPr>
              <w:rFonts w:ascii="Cambria Math" w:hAnsi="Cambria Math"/>
            </w:rPr>
            <m:t>71.6</m:t>
          </m:r>
          <m:r>
            <m:rPr>
              <m:sty m:val="p"/>
            </m:rPr>
            <w:rPr>
              <w:rFonts w:ascii="Cambria Math" w:hAnsi="Cambria Math"/>
            </w:rPr>
            <m:t>°</m:t>
          </m:r>
        </m:oMath>
      </m:oMathPara>
    </w:p>
    <w:p w14:paraId="7F48BAF6" w14:textId="77777777" w:rsidR="008B0728" w:rsidRDefault="00000000">
      <w:r>
        <w:t>The vectors are at about 72° — partially aligned but far from parallel. The dot product (5) is positive, consistent with this angle being less than 90°.</w:t>
      </w:r>
    </w:p>
    <w:p w14:paraId="24397C3C" w14:textId="77777777" w:rsidR="008B0728" w:rsidRDefault="003F7CEB">
      <w:r>
        <w:rPr>
          <w:noProof/>
        </w:rPr>
      </w:r>
      <w:r>
        <w:pict w14:anchorId="7499FD03">
          <v:rect id="Horizontal Line 8"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5FCFDB" w14:textId="77777777" w:rsidR="008B0728" w:rsidRDefault="00000000">
      <w:pPr>
        <w:pStyle w:val="Heading2"/>
      </w:pPr>
      <w:bookmarkStart w:id="9" w:name="X20943f2531dde7f958b9f6627a00cd8219f2fc9"/>
      <w:bookmarkEnd w:id="8"/>
      <w:r>
        <w:t>8. Worked Example 3: Molecular Interpretation</w:t>
      </w:r>
    </w:p>
    <w:p w14:paraId="12B5D808" w14:textId="77777777" w:rsidR="008B0728" w:rsidRDefault="00000000">
      <w:r>
        <w:rPr>
          <w:b/>
          <w:bCs/>
        </w:rPr>
        <w:t>Problem.</w:t>
      </w:r>
      <w:r>
        <w:t xml:space="preserve"> Consider a simplified 3-dimensional binding feature space where the three dimensions represent: (1) electrostatic complementarity, (2) shape complementarity, and (3) hydrophobic contact strength. An antibody has feature vector </w:t>
      </w:r>
      <m:oMath>
        <m:sSub>
          <m:sSubPr>
            <m:ctrlPr>
              <w:rPr>
                <w:rFonts w:ascii="Cambria Math" w:hAnsi="Cambria Math"/>
              </w:rPr>
            </m:ctrlPr>
          </m:sSubPr>
          <m:e>
            <m:r>
              <m:rPr>
                <m:sty m:val="b"/>
              </m:rPr>
              <w:rPr>
                <w:rFonts w:ascii="Cambria Math" w:hAnsi="Cambria Math"/>
              </w:rPr>
              <m:t>a</m:t>
            </m:r>
          </m:e>
          <m:sub>
            <m:r>
              <m:rPr>
                <m:nor/>
              </m:rPr>
              <m:t>Ab</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Two candidate antigens have feature vectors </w:t>
      </w:r>
      <m:oMath>
        <m:sSub>
          <m:sSubPr>
            <m:ctrlPr>
              <w:rPr>
                <w:rFonts w:ascii="Cambria Math" w:hAnsi="Cambria Math"/>
              </w:rPr>
            </m:ctrlPr>
          </m:sSubPr>
          <m:e>
            <m:r>
              <m:rPr>
                <m:sty m:val="b"/>
              </m:rPr>
              <w:rPr>
                <w:rFonts w:ascii="Cambria Math" w:hAnsi="Cambria Math"/>
              </w:rPr>
              <m:t>b</m:t>
            </m:r>
          </m:e>
          <m:sub>
            <m:r>
              <m:rPr>
                <m:nor/>
              </m:rPr>
              <m:t>Ag1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and </w:t>
      </w:r>
      <m:oMath>
        <m:sSub>
          <m:sSubPr>
            <m:ctrlPr>
              <w:rPr>
                <w:rFonts w:ascii="Cambria Math" w:hAnsi="Cambria Math"/>
              </w:rPr>
            </m:ctrlPr>
          </m:sSubPr>
          <m:e>
            <m:r>
              <m:rPr>
                <m:sty m:val="b"/>
              </m:rPr>
              <w:rPr>
                <w:rFonts w:ascii="Cambria Math" w:hAnsi="Cambria Math"/>
              </w:rPr>
              <m:t>b</m:t>
            </m:r>
          </m:e>
          <m:sub>
            <m:r>
              <m:rPr>
                <m:nor/>
              </m:rPr>
              <m:t>Ag2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e>
        </m:d>
      </m:oMath>
      <w:r>
        <w:t>. Which antigen is the antibody more likely to bind?</w:t>
      </w:r>
    </w:p>
    <w:p w14:paraId="652D6BB8" w14:textId="77777777" w:rsidR="008B0728" w:rsidRDefault="00000000">
      <w:r>
        <w:rPr>
          <w:b/>
          <w:bCs/>
        </w:rPr>
        <w:t>Step 1.</w:t>
      </w:r>
      <w:r>
        <w:t xml:space="preserve"> Compute the dot product with Antigen 1:</w:t>
      </w:r>
    </w:p>
    <w:p w14:paraId="1A8A5042" w14:textId="77777777" w:rsidR="008B0728" w:rsidRPr="002E0765" w:rsidRDefault="00000000">
      <w:pPr>
        <w:rPr>
          <w:lang w:val="de-DE"/>
        </w:rPr>
      </w:pPr>
      <m:oMathPara>
        <m:oMathParaPr>
          <m:jc m:val="center"/>
        </m:oMathParaPr>
        <m:oMath>
          <m:sSub>
            <m:sSubPr>
              <m:ctrlPr>
                <w:rPr>
                  <w:rFonts w:ascii="Cambria Math" w:hAnsi="Cambria Math"/>
                </w:rPr>
              </m:ctrlPr>
            </m:sSubPr>
            <m:e>
              <m:r>
                <m:rPr>
                  <m:sty m:val="b"/>
                </m:rPr>
                <w:rPr>
                  <w:rFonts w:ascii="Cambria Math" w:hAnsi="Cambria Math"/>
                </w:rPr>
                <m:t>a</m:t>
              </m:r>
            </m:e>
            <m:sub>
              <m:r>
                <m:rPr>
                  <m:nor/>
                </m:rPr>
                <w:rPr>
                  <w:lang w:val="de-DE"/>
                </w:rPr>
                <m:t>Ab</m:t>
              </m:r>
            </m:sub>
          </m:sSub>
          <m:r>
            <m:rPr>
              <m:sty m:val="p"/>
            </m:rPr>
            <w:rPr>
              <w:rFonts w:ascii="Cambria Math" w:hAnsi="Cambria Math"/>
              <w:lang w:val="de-DE"/>
            </w:rPr>
            <m:t>⋅</m:t>
          </m:r>
          <m:sSub>
            <m:sSubPr>
              <m:ctrlPr>
                <w:rPr>
                  <w:rFonts w:ascii="Cambria Math" w:hAnsi="Cambria Math"/>
                </w:rPr>
              </m:ctrlPr>
            </m:sSubPr>
            <m:e>
              <m:r>
                <m:rPr>
                  <m:sty m:val="b"/>
                </m:rPr>
                <w:rPr>
                  <w:rFonts w:ascii="Cambria Math" w:hAnsi="Cambria Math"/>
                </w:rPr>
                <m:t>b</m:t>
              </m:r>
            </m:e>
            <m:sub>
              <m:r>
                <m:rPr>
                  <m:nor/>
                </m:rPr>
                <w:rPr>
                  <w:lang w:val="de-DE"/>
                </w:rPr>
                <m:t>Ag1</m:t>
              </m:r>
            </m:sub>
          </m:sSub>
          <m:r>
            <m:rPr>
              <m:sty m:val="p"/>
            </m:rPr>
            <w:rPr>
              <w:rFonts w:ascii="Cambria Math" w:hAnsi="Cambria Math"/>
              <w:lang w:val="de-DE"/>
            </w:rPr>
            <m:t>=</m:t>
          </m:r>
          <m:r>
            <w:rPr>
              <w:rFonts w:ascii="Cambria Math" w:hAnsi="Cambria Math"/>
              <w:lang w:val="de-DE"/>
            </w:rPr>
            <m:t>2</m:t>
          </m:r>
          <m:d>
            <m:dPr>
              <m:ctrlPr>
                <w:rPr>
                  <w:rFonts w:ascii="Cambria Math" w:hAnsi="Cambria Math"/>
                </w:rPr>
              </m:ctrlPr>
            </m:dPr>
            <m:e>
              <m:r>
                <w:rPr>
                  <w:rFonts w:ascii="Cambria Math" w:hAnsi="Cambria Math"/>
                  <w:lang w:val="de-DE"/>
                </w:rPr>
                <m:t>1</m:t>
              </m:r>
            </m:e>
          </m:d>
          <m:r>
            <m:rPr>
              <m:sty m:val="p"/>
            </m:rPr>
            <w:rPr>
              <w:rFonts w:ascii="Cambria Math" w:hAnsi="Cambria Math"/>
              <w:lang w:val="de-DE"/>
            </w:rPr>
            <m:t>+</m:t>
          </m:r>
          <m:d>
            <m:dPr>
              <m:ctrlPr>
                <w:rPr>
                  <w:rFonts w:ascii="Cambria Math" w:hAnsi="Cambria Math"/>
                </w:rPr>
              </m:ctrlPr>
            </m:dPr>
            <m:e>
              <m:r>
                <m:rPr>
                  <m:sty m:val="p"/>
                </m:rPr>
                <w:rPr>
                  <w:rFonts w:ascii="Cambria Math" w:hAnsi="Cambria Math"/>
                  <w:lang w:val="de-DE"/>
                </w:rPr>
                <m:t>-</m:t>
              </m:r>
              <m:r>
                <w:rPr>
                  <w:rFonts w:ascii="Cambria Math" w:hAnsi="Cambria Math"/>
                  <w:lang w:val="de-DE"/>
                </w:rPr>
                <m:t>1</m:t>
              </m:r>
            </m:e>
          </m:d>
          <m:d>
            <m:dPr>
              <m:ctrlPr>
                <w:rPr>
                  <w:rFonts w:ascii="Cambria Math" w:hAnsi="Cambria Math"/>
                </w:rPr>
              </m:ctrlPr>
            </m:dPr>
            <m:e>
              <m:r>
                <m:rPr>
                  <m:sty m:val="p"/>
                </m:rPr>
                <w:rPr>
                  <w:rFonts w:ascii="Cambria Math" w:hAnsi="Cambria Math"/>
                  <w:lang w:val="de-DE"/>
                </w:rPr>
                <m:t>-</m:t>
              </m:r>
              <m:r>
                <w:rPr>
                  <w:rFonts w:ascii="Cambria Math" w:hAnsi="Cambria Math"/>
                  <w:lang w:val="de-DE"/>
                </w:rPr>
                <m:t>2</m:t>
              </m:r>
            </m:e>
          </m:d>
          <m:r>
            <m:rPr>
              <m:sty m:val="p"/>
            </m:rPr>
            <w:rPr>
              <w:rFonts w:ascii="Cambria Math" w:hAnsi="Cambria Math"/>
              <w:lang w:val="de-DE"/>
            </w:rPr>
            <m:t>+</m:t>
          </m:r>
          <m:r>
            <w:rPr>
              <w:rFonts w:ascii="Cambria Math" w:hAnsi="Cambria Math"/>
              <w:lang w:val="de-DE"/>
            </w:rPr>
            <m:t>3</m:t>
          </m:r>
          <m:d>
            <m:dPr>
              <m:ctrlPr>
                <w:rPr>
                  <w:rFonts w:ascii="Cambria Math" w:hAnsi="Cambria Math"/>
                </w:rPr>
              </m:ctrlPr>
            </m:dPr>
            <m:e>
              <m:r>
                <w:rPr>
                  <w:rFonts w:ascii="Cambria Math" w:hAnsi="Cambria Math"/>
                  <w:lang w:val="de-DE"/>
                </w:rPr>
                <m:t>2</m:t>
              </m:r>
            </m:e>
          </m:d>
          <m:r>
            <m:rPr>
              <m:sty m:val="p"/>
            </m:rPr>
            <w:rPr>
              <w:rFonts w:ascii="Cambria Math" w:hAnsi="Cambria Math"/>
              <w:lang w:val="de-DE"/>
            </w:rPr>
            <m:t>=</m:t>
          </m:r>
          <m:r>
            <w:rPr>
              <w:rFonts w:ascii="Cambria Math" w:hAnsi="Cambria Math"/>
              <w:lang w:val="de-DE"/>
            </w:rPr>
            <m:t>2</m:t>
          </m:r>
          <m:r>
            <m:rPr>
              <m:sty m:val="p"/>
            </m:rPr>
            <w:rPr>
              <w:rFonts w:ascii="Cambria Math" w:hAnsi="Cambria Math"/>
              <w:lang w:val="de-DE"/>
            </w:rPr>
            <m:t>+</m:t>
          </m:r>
          <m:r>
            <w:rPr>
              <w:rFonts w:ascii="Cambria Math" w:hAnsi="Cambria Math"/>
              <w:lang w:val="de-DE"/>
            </w:rPr>
            <m:t>2</m:t>
          </m:r>
          <m:r>
            <m:rPr>
              <m:sty m:val="p"/>
            </m:rPr>
            <w:rPr>
              <w:rFonts w:ascii="Cambria Math" w:hAnsi="Cambria Math"/>
              <w:lang w:val="de-DE"/>
            </w:rPr>
            <m:t>+</m:t>
          </m:r>
          <m:r>
            <w:rPr>
              <w:rFonts w:ascii="Cambria Math" w:hAnsi="Cambria Math"/>
              <w:lang w:val="de-DE"/>
            </w:rPr>
            <m:t>6</m:t>
          </m:r>
          <m:r>
            <m:rPr>
              <m:sty m:val="p"/>
            </m:rPr>
            <w:rPr>
              <w:rFonts w:ascii="Cambria Math" w:hAnsi="Cambria Math"/>
              <w:lang w:val="de-DE"/>
            </w:rPr>
            <m:t>=</m:t>
          </m:r>
          <m:r>
            <w:rPr>
              <w:rFonts w:ascii="Cambria Math" w:hAnsi="Cambria Math"/>
              <w:lang w:val="de-DE"/>
            </w:rPr>
            <m:t>10</m:t>
          </m:r>
        </m:oMath>
      </m:oMathPara>
    </w:p>
    <w:p w14:paraId="4735A25B" w14:textId="77777777" w:rsidR="008B0728" w:rsidRDefault="00000000">
      <w:r w:rsidRPr="002E0765">
        <w:rPr>
          <w:b/>
          <w:bCs/>
          <w:lang w:val="de-DE"/>
        </w:rPr>
        <w:t>Step 2.</w:t>
      </w:r>
      <w:r w:rsidRPr="002E0765">
        <w:rPr>
          <w:lang w:val="de-DE"/>
        </w:rPr>
        <w:t xml:space="preserve"> </w:t>
      </w:r>
      <w:r>
        <w:t>Compute the dot product with Antigen 2:</w:t>
      </w:r>
    </w:p>
    <w:p w14:paraId="6FA2679B" w14:textId="77777777" w:rsidR="008B0728" w:rsidRPr="002E0765" w:rsidRDefault="00000000">
      <w:pPr>
        <w:rPr>
          <w:lang w:val="de-DE"/>
        </w:rPr>
      </w:pPr>
      <m:oMathPara>
        <m:oMathParaPr>
          <m:jc m:val="center"/>
        </m:oMathParaPr>
        <m:oMath>
          <m:sSub>
            <m:sSubPr>
              <m:ctrlPr>
                <w:rPr>
                  <w:rFonts w:ascii="Cambria Math" w:hAnsi="Cambria Math"/>
                </w:rPr>
              </m:ctrlPr>
            </m:sSubPr>
            <m:e>
              <m:r>
                <m:rPr>
                  <m:sty m:val="b"/>
                </m:rPr>
                <w:rPr>
                  <w:rFonts w:ascii="Cambria Math" w:hAnsi="Cambria Math"/>
                </w:rPr>
                <m:t>a</m:t>
              </m:r>
            </m:e>
            <m:sub>
              <m:r>
                <m:rPr>
                  <m:nor/>
                </m:rPr>
                <w:rPr>
                  <w:lang w:val="de-DE"/>
                </w:rPr>
                <m:t>Ab</m:t>
              </m:r>
            </m:sub>
          </m:sSub>
          <m:r>
            <m:rPr>
              <m:sty m:val="p"/>
            </m:rPr>
            <w:rPr>
              <w:rFonts w:ascii="Cambria Math" w:hAnsi="Cambria Math"/>
              <w:lang w:val="de-DE"/>
            </w:rPr>
            <m:t>⋅</m:t>
          </m:r>
          <m:sSub>
            <m:sSubPr>
              <m:ctrlPr>
                <w:rPr>
                  <w:rFonts w:ascii="Cambria Math" w:hAnsi="Cambria Math"/>
                </w:rPr>
              </m:ctrlPr>
            </m:sSubPr>
            <m:e>
              <m:r>
                <m:rPr>
                  <m:sty m:val="b"/>
                </m:rPr>
                <w:rPr>
                  <w:rFonts w:ascii="Cambria Math" w:hAnsi="Cambria Math"/>
                </w:rPr>
                <m:t>b</m:t>
              </m:r>
            </m:e>
            <m:sub>
              <m:r>
                <m:rPr>
                  <m:nor/>
                </m:rPr>
                <w:rPr>
                  <w:lang w:val="de-DE"/>
                </w:rPr>
                <m:t>Ag2</m:t>
              </m:r>
            </m:sub>
          </m:sSub>
          <m:r>
            <m:rPr>
              <m:sty m:val="p"/>
            </m:rPr>
            <w:rPr>
              <w:rFonts w:ascii="Cambria Math" w:hAnsi="Cambria Math"/>
              <w:lang w:val="de-DE"/>
            </w:rPr>
            <m:t>=</m:t>
          </m:r>
          <m:r>
            <w:rPr>
              <w:rFonts w:ascii="Cambria Math" w:hAnsi="Cambria Math"/>
              <w:lang w:val="de-DE"/>
            </w:rPr>
            <m:t>2</m:t>
          </m:r>
          <m:d>
            <m:dPr>
              <m:ctrlPr>
                <w:rPr>
                  <w:rFonts w:ascii="Cambria Math" w:hAnsi="Cambria Math"/>
                </w:rPr>
              </m:ctrlPr>
            </m:dPr>
            <m:e>
              <m:r>
                <m:rPr>
                  <m:sty m:val="p"/>
                </m:rPr>
                <w:rPr>
                  <w:rFonts w:ascii="Cambria Math" w:hAnsi="Cambria Math"/>
                  <w:lang w:val="de-DE"/>
                </w:rPr>
                <m:t>-</m:t>
              </m:r>
              <m:r>
                <w:rPr>
                  <w:rFonts w:ascii="Cambria Math" w:hAnsi="Cambria Math"/>
                  <w:lang w:val="de-DE"/>
                </w:rPr>
                <m:t>1</m:t>
              </m:r>
            </m:e>
          </m:d>
          <m:r>
            <m:rPr>
              <m:sty m:val="p"/>
            </m:rPr>
            <w:rPr>
              <w:rFonts w:ascii="Cambria Math" w:hAnsi="Cambria Math"/>
              <w:lang w:val="de-DE"/>
            </w:rPr>
            <m:t>+</m:t>
          </m:r>
          <m:d>
            <m:dPr>
              <m:ctrlPr>
                <w:rPr>
                  <w:rFonts w:ascii="Cambria Math" w:hAnsi="Cambria Math"/>
                </w:rPr>
              </m:ctrlPr>
            </m:dPr>
            <m:e>
              <m:r>
                <m:rPr>
                  <m:sty m:val="p"/>
                </m:rPr>
                <w:rPr>
                  <w:rFonts w:ascii="Cambria Math" w:hAnsi="Cambria Math"/>
                  <w:lang w:val="de-DE"/>
                </w:rPr>
                <m:t>-</m:t>
              </m:r>
              <m:r>
                <w:rPr>
                  <w:rFonts w:ascii="Cambria Math" w:hAnsi="Cambria Math"/>
                  <w:lang w:val="de-DE"/>
                </w:rPr>
                <m:t>1</m:t>
              </m:r>
            </m:e>
          </m:d>
          <m:d>
            <m:dPr>
              <m:ctrlPr>
                <w:rPr>
                  <w:rFonts w:ascii="Cambria Math" w:hAnsi="Cambria Math"/>
                </w:rPr>
              </m:ctrlPr>
            </m:dPr>
            <m:e>
              <m:r>
                <w:rPr>
                  <w:rFonts w:ascii="Cambria Math" w:hAnsi="Cambria Math"/>
                  <w:lang w:val="de-DE"/>
                </w:rPr>
                <m:t>3</m:t>
              </m:r>
            </m:e>
          </m:d>
          <m:r>
            <m:rPr>
              <m:sty m:val="p"/>
            </m:rPr>
            <w:rPr>
              <w:rFonts w:ascii="Cambria Math" w:hAnsi="Cambria Math"/>
              <w:lang w:val="de-DE"/>
            </w:rPr>
            <m:t>+</m:t>
          </m:r>
          <m:r>
            <w:rPr>
              <w:rFonts w:ascii="Cambria Math" w:hAnsi="Cambria Math"/>
              <w:lang w:val="de-DE"/>
            </w:rPr>
            <m:t>3</m:t>
          </m:r>
          <m:d>
            <m:dPr>
              <m:ctrlPr>
                <w:rPr>
                  <w:rFonts w:ascii="Cambria Math" w:hAnsi="Cambria Math"/>
                </w:rPr>
              </m:ctrlPr>
            </m:dPr>
            <m:e>
              <m:r>
                <m:rPr>
                  <m:sty m:val="p"/>
                </m:rPr>
                <w:rPr>
                  <w:rFonts w:ascii="Cambria Math" w:hAnsi="Cambria Math"/>
                  <w:lang w:val="de-DE"/>
                </w:rPr>
                <m:t>-</m:t>
              </m:r>
              <m:r>
                <w:rPr>
                  <w:rFonts w:ascii="Cambria Math" w:hAnsi="Cambria Math"/>
                  <w:lang w:val="de-DE"/>
                </w:rPr>
                <m:t>1</m:t>
              </m:r>
            </m:e>
          </m:d>
          <m:r>
            <m:rPr>
              <m:sty m:val="p"/>
            </m:rPr>
            <w:rPr>
              <w:rFonts w:ascii="Cambria Math" w:hAnsi="Cambria Math"/>
              <w:lang w:val="de-DE"/>
            </w:rPr>
            <m:t>=-</m:t>
          </m:r>
          <m:r>
            <w:rPr>
              <w:rFonts w:ascii="Cambria Math" w:hAnsi="Cambria Math"/>
              <w:lang w:val="de-DE"/>
            </w:rPr>
            <m:t>2</m:t>
          </m:r>
          <m:r>
            <m:rPr>
              <m:sty m:val="p"/>
            </m:rPr>
            <w:rPr>
              <w:rFonts w:ascii="Cambria Math" w:hAnsi="Cambria Math"/>
              <w:lang w:val="de-DE"/>
            </w:rPr>
            <m:t>-</m:t>
          </m:r>
          <m:r>
            <w:rPr>
              <w:rFonts w:ascii="Cambria Math" w:hAnsi="Cambria Math"/>
              <w:lang w:val="de-DE"/>
            </w:rPr>
            <m:t>3</m:t>
          </m:r>
          <m:r>
            <m:rPr>
              <m:sty m:val="p"/>
            </m:rPr>
            <w:rPr>
              <w:rFonts w:ascii="Cambria Math" w:hAnsi="Cambria Math"/>
              <w:lang w:val="de-DE"/>
            </w:rPr>
            <m:t>-</m:t>
          </m:r>
          <m:r>
            <w:rPr>
              <w:rFonts w:ascii="Cambria Math" w:hAnsi="Cambria Math"/>
              <w:lang w:val="de-DE"/>
            </w:rPr>
            <m:t>3</m:t>
          </m:r>
          <m:r>
            <m:rPr>
              <m:sty m:val="p"/>
            </m:rPr>
            <w:rPr>
              <w:rFonts w:ascii="Cambria Math" w:hAnsi="Cambria Math"/>
              <w:lang w:val="de-DE"/>
            </w:rPr>
            <m:t>=-</m:t>
          </m:r>
          <m:r>
            <w:rPr>
              <w:rFonts w:ascii="Cambria Math" w:hAnsi="Cambria Math"/>
              <w:lang w:val="de-DE"/>
            </w:rPr>
            <m:t>8</m:t>
          </m:r>
        </m:oMath>
      </m:oMathPara>
    </w:p>
    <w:p w14:paraId="446D8A63" w14:textId="77777777" w:rsidR="008B0728" w:rsidRDefault="00000000">
      <w:r w:rsidRPr="002E0765">
        <w:rPr>
          <w:b/>
          <w:bCs/>
          <w:lang w:val="de-DE"/>
        </w:rPr>
        <w:t>Step 3.</w:t>
      </w:r>
      <w:r w:rsidRPr="002E0765">
        <w:rPr>
          <w:lang w:val="de-DE"/>
        </w:rPr>
        <w:t xml:space="preserve"> </w:t>
      </w:r>
      <w:r>
        <w:t>Interpret:</w:t>
      </w:r>
    </w:p>
    <w:p w14:paraId="3962D327" w14:textId="77777777" w:rsidR="008B0728" w:rsidRDefault="00000000">
      <w:r>
        <w:t xml:space="preserve">The dot product with Antigen 1 is </w:t>
      </w:r>
      <m:oMath>
        <m:r>
          <m:rPr>
            <m:sty m:val="p"/>
          </m:rPr>
          <w:rPr>
            <w:rFonts w:ascii="Cambria Math" w:hAnsi="Cambria Math"/>
          </w:rPr>
          <m:t>+</m:t>
        </m:r>
        <m:r>
          <w:rPr>
            <w:rFonts w:ascii="Cambria Math" w:hAnsi="Cambria Math"/>
          </w:rPr>
          <m:t>10</m:t>
        </m:r>
      </m:oMath>
      <w:r>
        <w:t xml:space="preserve"> (strongly positive) — the antibody and Antigen 1 have aligned features across all three dimensions. Their electrostatic properties are complementary (both positive), their shape features are complementary (both negative, indicating matching concavity), and their hydrophobic contacts are aligned (both positive and large).</w:t>
      </w:r>
    </w:p>
    <w:p w14:paraId="1F4B5B2F" w14:textId="77777777" w:rsidR="008B0728" w:rsidRDefault="00000000">
      <w:r>
        <w:t xml:space="preserve">The dot product with Antigen 2 is </w:t>
      </w:r>
      <m:oMath>
        <m:r>
          <m:rPr>
            <m:sty m:val="p"/>
          </m:rPr>
          <w:rPr>
            <w:rFonts w:ascii="Cambria Math" w:hAnsi="Cambria Math"/>
          </w:rPr>
          <m:t>-</m:t>
        </m:r>
        <m:r>
          <w:rPr>
            <w:rFonts w:ascii="Cambria Math" w:hAnsi="Cambria Math"/>
          </w:rPr>
          <m:t>8</m:t>
        </m:r>
      </m:oMath>
      <w:r>
        <w:t xml:space="preserve"> (negative) — the antibody and Antigen 2 have opposing features. The electrostatic term is unfavorable (opposite signs), shape complementarity is poor, and hydrophobic contacts are mismatched.</w:t>
      </w:r>
    </w:p>
    <w:p w14:paraId="28F5CFA6" w14:textId="77777777" w:rsidR="008B0728" w:rsidRDefault="00000000">
      <w:r>
        <w:rPr>
          <w:b/>
          <w:bCs/>
        </w:rPr>
        <w:t>Conclusion:</w:t>
      </w:r>
      <w:r>
        <w:t xml:space="preserve"> The antibody is predicted to bind Antigen 1 (score </w:t>
      </w:r>
      <m:oMath>
        <m:r>
          <m:rPr>
            <m:sty m:val="p"/>
          </m:rPr>
          <w:rPr>
            <w:rFonts w:ascii="Cambria Math" w:hAnsi="Cambria Math"/>
          </w:rPr>
          <m:t>=+</m:t>
        </m:r>
        <m:r>
          <w:rPr>
            <w:rFonts w:ascii="Cambria Math" w:hAnsi="Cambria Math"/>
          </w:rPr>
          <m:t>10</m:t>
        </m:r>
      </m:oMath>
      <w:r>
        <w:t xml:space="preserve">) and not Antigen 2 (score </w:t>
      </w:r>
      <m:oMath>
        <m:r>
          <m:rPr>
            <m:sty m:val="p"/>
          </m:rPr>
          <w:rPr>
            <w:rFonts w:ascii="Cambria Math" w:hAnsi="Cambria Math"/>
          </w:rPr>
          <m:t>=-</m:t>
        </m:r>
        <m:r>
          <w:rPr>
            <w:rFonts w:ascii="Cambria Math" w:hAnsi="Cambria Math"/>
          </w:rPr>
          <m:t>8</m:t>
        </m:r>
      </m:oMath>
      <w:r>
        <w:t>). When we reach Lecture 6, these scores will be fed into the softmax function (the convergence equation) to produce binding probabilities.</w:t>
      </w:r>
    </w:p>
    <w:p w14:paraId="792BE845" w14:textId="77777777" w:rsidR="008B0728" w:rsidRDefault="003F7CEB">
      <w:r>
        <w:rPr>
          <w:noProof/>
        </w:rPr>
      </w:r>
      <w:r>
        <w:pict w14:anchorId="2E5DE11B">
          <v:rect id="Horizontal Line 9"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7A9E85" w14:textId="77777777" w:rsidR="008B0728" w:rsidRDefault="00000000">
      <w:pPr>
        <w:pStyle w:val="Heading2"/>
      </w:pPr>
      <w:bookmarkStart w:id="10" w:name="the-dot-product-as-projection"/>
      <w:bookmarkEnd w:id="9"/>
      <w:r>
        <w:t>9. The Dot Product as Projection</w:t>
      </w:r>
    </w:p>
    <w:p w14:paraId="0F202D1C" w14:textId="77777777" w:rsidR="008B0728" w:rsidRDefault="00000000">
      <w:r>
        <w:t>There is a third way to interpret the dot product that is useful for understanding attention mechanisms.</w:t>
      </w:r>
    </w:p>
    <w:p w14:paraId="606F4803" w14:textId="77777777" w:rsidR="008B0728" w:rsidRDefault="00000000">
      <w:r>
        <w:t xml:space="preserve">The </w:t>
      </w:r>
      <w:r>
        <w:rPr>
          <w:b/>
          <w:bCs/>
        </w:rPr>
        <w:t>scalar projection</w:t>
      </w:r>
      <w:r>
        <w:t xml:space="preserve"> of </w:t>
      </w:r>
      <m:oMath>
        <m:r>
          <m:rPr>
            <m:sty m:val="b"/>
          </m:rPr>
          <w:rPr>
            <w:rFonts w:ascii="Cambria Math" w:hAnsi="Cambria Math"/>
          </w:rPr>
          <m:t>a</m:t>
        </m:r>
      </m:oMath>
      <w:r>
        <w:t xml:space="preserve"> onto </w:t>
      </w:r>
      <m:oMath>
        <m:r>
          <m:rPr>
            <m:sty m:val="b"/>
          </m:rPr>
          <w:rPr>
            <w:rFonts w:ascii="Cambria Math" w:hAnsi="Cambria Math"/>
          </w:rPr>
          <m:t>b</m:t>
        </m:r>
      </m:oMath>
      <w:r>
        <w:t xml:space="preserve"> is:</w:t>
      </w:r>
    </w:p>
    <w:p w14:paraId="282A87D0" w14:textId="77777777" w:rsidR="008B0728" w:rsidRDefault="00000000">
      <m:oMathPara>
        <m:oMathParaPr>
          <m:jc m:val="center"/>
        </m:oMathParaPr>
        <m:oMath>
          <m:sSub>
            <m:sSubPr>
              <m:ctrlPr>
                <w:rPr>
                  <w:rFonts w:ascii="Cambria Math" w:hAnsi="Cambria Math"/>
                </w:rPr>
              </m:ctrlPr>
            </m:sSubPr>
            <m:e>
              <m:r>
                <m:rPr>
                  <m:nor/>
                </m:rPr>
                <m:t>proj</m:t>
              </m:r>
            </m:e>
            <m:sub>
              <m:r>
                <m:rPr>
                  <m:sty m:val="b"/>
                </m:rPr>
                <w:rPr>
                  <w:rFonts w:ascii="Cambria Math" w:hAnsi="Cambria Math"/>
                </w:rPr>
                <m:t>b</m:t>
              </m:r>
            </m:sub>
          </m:sSub>
          <m:d>
            <m:dPr>
              <m:ctrlPr>
                <w:rPr>
                  <w:rFonts w:ascii="Cambria Math" w:hAnsi="Cambria Math"/>
                </w:rPr>
              </m:ctrlPr>
            </m:dPr>
            <m:e>
              <m:r>
                <m:rPr>
                  <m:sty m:val="b"/>
                </m:rPr>
                <w:rPr>
                  <w:rFonts w:ascii="Cambria Math" w:hAnsi="Cambria Math"/>
                </w:rPr>
                <m:t>a</m:t>
              </m:r>
            </m:e>
          </m:d>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b</m:t>
              </m:r>
              <m:r>
                <m:rPr>
                  <m:sty m:val="p"/>
                </m:rPr>
                <w:rPr>
                  <w:rFonts w:ascii="Cambria Math" w:hAnsi="Cambria Math"/>
                </w:rPr>
                <m:t>∥</m:t>
              </m:r>
            </m:den>
          </m:f>
        </m:oMath>
      </m:oMathPara>
    </w:p>
    <w:p w14:paraId="02A8FF8C" w14:textId="77777777" w:rsidR="008B0728" w:rsidRDefault="00000000">
      <w:r>
        <w:t xml:space="preserve">This gives the signed length of the shadow that </w:t>
      </w:r>
      <m:oMath>
        <m:r>
          <m:rPr>
            <m:sty m:val="b"/>
          </m:rPr>
          <w:rPr>
            <w:rFonts w:ascii="Cambria Math" w:hAnsi="Cambria Math"/>
          </w:rPr>
          <m:t>a</m:t>
        </m:r>
      </m:oMath>
      <w:r>
        <w:t xml:space="preserve"> casts onto </w:t>
      </w:r>
      <m:oMath>
        <m:r>
          <m:rPr>
            <m:sty m:val="b"/>
          </m:rPr>
          <w:rPr>
            <w:rFonts w:ascii="Cambria Math" w:hAnsi="Cambria Math"/>
          </w:rPr>
          <m:t>b</m:t>
        </m:r>
      </m:oMath>
      <w:r>
        <w:t xml:space="preserve">. The dot product itself is this projection scaled by </w:t>
      </w:r>
      <m:oMath>
        <m:r>
          <m:rPr>
            <m:sty m:val="p"/>
          </m:rPr>
          <w:rPr>
            <w:rFonts w:ascii="Cambria Math" w:hAnsi="Cambria Math"/>
          </w:rPr>
          <m:t>∥</m:t>
        </m:r>
        <m:r>
          <m:rPr>
            <m:sty m:val="b"/>
          </m:rPr>
          <w:rPr>
            <w:rFonts w:ascii="Cambria Math" w:hAnsi="Cambria Math"/>
          </w:rPr>
          <m:t>b</m:t>
        </m:r>
        <m:r>
          <m:rPr>
            <m:sty m:val="p"/>
          </m:rPr>
          <w:rPr>
            <w:rFonts w:ascii="Cambria Math" w:hAnsi="Cambria Math"/>
          </w:rPr>
          <m:t>∥</m:t>
        </m:r>
      </m:oMath>
      <w:r>
        <w:t>:</w:t>
      </w:r>
    </w:p>
    <w:p w14:paraId="28604E31" w14:textId="77777777" w:rsidR="008B0728" w:rsidRDefault="00000000">
      <m:oMathPara>
        <m:oMathParaPr>
          <m:jc m:val="center"/>
        </m:oMathParaP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sSub>
            <m:sSubPr>
              <m:ctrlPr>
                <w:rPr>
                  <w:rFonts w:ascii="Cambria Math" w:hAnsi="Cambria Math"/>
                </w:rPr>
              </m:ctrlPr>
            </m:sSubPr>
            <m:e>
              <m:r>
                <m:rPr>
                  <m:nor/>
                </m:rPr>
                <m:t>proj</m:t>
              </m:r>
            </m:e>
            <m:sub>
              <m:r>
                <m:rPr>
                  <m:sty m:val="b"/>
                </m:rPr>
                <w:rPr>
                  <w:rFonts w:ascii="Cambria Math" w:hAnsi="Cambria Math"/>
                </w:rPr>
                <m:t>b</m:t>
              </m:r>
            </m:sub>
          </m:sSub>
          <m:d>
            <m:dPr>
              <m:ctrlPr>
                <w:rPr>
                  <w:rFonts w:ascii="Cambria Math" w:hAnsi="Cambria Math"/>
                </w:rPr>
              </m:ctrlPr>
            </m:dPr>
            <m:e>
              <m:r>
                <m:rPr>
                  <m:sty m:val="b"/>
                </m:rPr>
                <w:rPr>
                  <w:rFonts w:ascii="Cambria Math" w:hAnsi="Cambria Math"/>
                </w:rPr>
                <m:t>a</m:t>
              </m:r>
            </m:e>
          </m:d>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∥cos</m:t>
          </m:r>
          <m:r>
            <w:rPr>
              <w:rFonts w:ascii="Cambria Math" w:hAnsi="Cambria Math"/>
            </w:rPr>
            <m:t>θ</m:t>
          </m:r>
          <m:r>
            <m:rPr>
              <m:sty m:val="p"/>
            </m:rPr>
            <w:rPr>
              <w:rFonts w:ascii="Cambria Math" w:hAnsi="Cambria Math"/>
            </w:rPr>
            <m:t>×∥</m:t>
          </m:r>
          <m:r>
            <m:rPr>
              <m:sty m:val="b"/>
            </m:rPr>
            <w:rPr>
              <w:rFonts w:ascii="Cambria Math" w:hAnsi="Cambria Math"/>
            </w:rPr>
            <m:t>b</m:t>
          </m:r>
          <m:r>
            <m:rPr>
              <m:sty m:val="p"/>
            </m:rPr>
            <w:rPr>
              <w:rFonts w:ascii="Cambria Math" w:hAnsi="Cambria Math"/>
            </w:rPr>
            <m:t>∥</m:t>
          </m:r>
        </m:oMath>
      </m:oMathPara>
    </w:p>
    <w:p w14:paraId="11A4675A" w14:textId="77777777" w:rsidR="008B0728" w:rsidRDefault="00000000">
      <w:r>
        <w:rPr>
          <w:b/>
          <w:bCs/>
        </w:rPr>
        <w:t>Why this matters for attention.</w:t>
      </w:r>
      <w:r>
        <w:t xml:space="preserve"> In transformer attention, the query vector </w:t>
      </w:r>
      <m:oMath>
        <m:r>
          <m:rPr>
            <m:sty m:val="b"/>
          </m:rPr>
          <w:rPr>
            <w:rFonts w:ascii="Cambria Math" w:hAnsi="Cambria Math"/>
          </w:rPr>
          <m:t>q</m:t>
        </m:r>
      </m:oMath>
      <w:r>
        <w:t xml:space="preserve"> is projected onto each key vector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via the dot product. The projection measures how much the query “overlaps” with each key. The key with the largest projection receives the most attention. This is exactly the same operation as asking: which target’s features overlap most with the agent’s features? The answer determines binding probability.</w:t>
      </w:r>
    </w:p>
    <w:p w14:paraId="6B1D9EFD" w14:textId="77777777" w:rsidR="008B0728" w:rsidRDefault="003F7CEB">
      <w:r>
        <w:rPr>
          <w:noProof/>
        </w:rPr>
      </w:r>
      <w:r>
        <w:pict w14:anchorId="1776B1D2">
          <v:rect id="Horizontal Line 10"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A69520F" w14:textId="77777777" w:rsidR="008B0728" w:rsidRDefault="00000000">
      <w:pPr>
        <w:pStyle w:val="Heading2"/>
      </w:pPr>
      <w:bookmarkStart w:id="11" w:name="summary"/>
      <w:bookmarkEnd w:id="10"/>
      <w:r>
        <w:t>10.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925"/>
        <w:gridCol w:w="2132"/>
        <w:gridCol w:w="4959"/>
      </w:tblGrid>
      <w:tr w:rsidR="008B0728" w14:paraId="594C912B" w14:textId="77777777">
        <w:tblPrEx>
          <w:tblCellMar>
            <w:top w:w="0" w:type="dxa"/>
            <w:bottom w:w="0" w:type="dxa"/>
          </w:tblCellMar>
        </w:tblPrEx>
        <w:trPr>
          <w:tblHeader/>
        </w:trPr>
        <w:tc>
          <w:tcPr>
            <w:tcW w:w="0" w:type="auto"/>
          </w:tcPr>
          <w:p w14:paraId="657DF6EB" w14:textId="77777777" w:rsidR="008B0728" w:rsidRDefault="00000000">
            <w:r>
              <w:lastRenderedPageBreak/>
              <w:t>Concept</w:t>
            </w:r>
          </w:p>
        </w:tc>
        <w:tc>
          <w:tcPr>
            <w:tcW w:w="0" w:type="auto"/>
          </w:tcPr>
          <w:p w14:paraId="2C767DAC" w14:textId="77777777" w:rsidR="008B0728" w:rsidRDefault="00000000">
            <w:r>
              <w:t>Definition</w:t>
            </w:r>
          </w:p>
        </w:tc>
        <w:tc>
          <w:tcPr>
            <w:tcW w:w="0" w:type="auto"/>
          </w:tcPr>
          <w:p w14:paraId="58C00354" w14:textId="77777777" w:rsidR="008B0728" w:rsidRDefault="00000000">
            <w:r>
              <w:t>Interpretation</w:t>
            </w:r>
          </w:p>
        </w:tc>
      </w:tr>
      <w:tr w:rsidR="008B0728" w14:paraId="5772A254" w14:textId="77777777">
        <w:tblPrEx>
          <w:tblCellMar>
            <w:top w:w="0" w:type="dxa"/>
            <w:bottom w:w="0" w:type="dxa"/>
          </w:tblCellMar>
        </w:tblPrEx>
        <w:tc>
          <w:tcPr>
            <w:tcW w:w="0" w:type="auto"/>
          </w:tcPr>
          <w:p w14:paraId="696A0EC9" w14:textId="77777777" w:rsidR="008B0728" w:rsidRDefault="00000000">
            <w:r>
              <w:t>Algebraic dot product</w:t>
            </w:r>
          </w:p>
        </w:tc>
        <w:tc>
          <w:tcPr>
            <w:tcW w:w="0" w:type="auto"/>
          </w:tcPr>
          <w:p w14:paraId="24C63200" w14:textId="77777777" w:rsidR="008B0728" w:rsidRDefault="00000000">
            <m:oMathPara>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oMath>
            </m:oMathPara>
          </w:p>
        </w:tc>
        <w:tc>
          <w:tcPr>
            <w:tcW w:w="0" w:type="auto"/>
          </w:tcPr>
          <w:p w14:paraId="627902F0" w14:textId="77777777" w:rsidR="008B0728" w:rsidRDefault="00000000">
            <w:r>
              <w:t>Sum of component-wise products</w:t>
            </w:r>
          </w:p>
        </w:tc>
      </w:tr>
      <w:tr w:rsidR="008B0728" w14:paraId="348D442C" w14:textId="77777777">
        <w:tblPrEx>
          <w:tblCellMar>
            <w:top w:w="0" w:type="dxa"/>
            <w:bottom w:w="0" w:type="dxa"/>
          </w:tblCellMar>
        </w:tblPrEx>
        <w:tc>
          <w:tcPr>
            <w:tcW w:w="0" w:type="auto"/>
          </w:tcPr>
          <w:p w14:paraId="63CA54FE" w14:textId="77777777" w:rsidR="008B0728" w:rsidRDefault="00000000">
            <w:r>
              <w:t>Geometric dot product</w:t>
            </w:r>
          </w:p>
        </w:tc>
        <w:tc>
          <w:tcPr>
            <w:tcW w:w="0" w:type="auto"/>
          </w:tcPr>
          <w:p w14:paraId="642B845D" w14:textId="77777777" w:rsidR="008B0728" w:rsidRDefault="00000000">
            <m:oMathPara>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∥cos</m:t>
                </m:r>
                <m:r>
                  <w:rPr>
                    <w:rFonts w:ascii="Cambria Math" w:hAnsi="Cambria Math"/>
                  </w:rPr>
                  <m:t>θ</m:t>
                </m:r>
              </m:oMath>
            </m:oMathPara>
          </w:p>
        </w:tc>
        <w:tc>
          <w:tcPr>
            <w:tcW w:w="0" w:type="auto"/>
          </w:tcPr>
          <w:p w14:paraId="7481D9CB" w14:textId="77777777" w:rsidR="008B0728" w:rsidRDefault="00000000">
            <w:r>
              <w:t>Product of lengths times cosine of angle</w:t>
            </w:r>
          </w:p>
        </w:tc>
      </w:tr>
      <w:tr w:rsidR="008B0728" w14:paraId="59AC46F3" w14:textId="77777777">
        <w:tblPrEx>
          <w:tblCellMar>
            <w:top w:w="0" w:type="dxa"/>
            <w:bottom w:w="0" w:type="dxa"/>
          </w:tblCellMar>
        </w:tblPrEx>
        <w:tc>
          <w:tcPr>
            <w:tcW w:w="0" w:type="auto"/>
          </w:tcPr>
          <w:p w14:paraId="2A7D1664" w14:textId="77777777" w:rsidR="008B0728" w:rsidRDefault="00000000">
            <w:r>
              <w:t>Positive dot product</w:t>
            </w:r>
          </w:p>
        </w:tc>
        <w:tc>
          <w:tcPr>
            <w:tcW w:w="0" w:type="auto"/>
          </w:tcPr>
          <w:p w14:paraId="1BD0BBF8" w14:textId="77777777" w:rsidR="008B0728" w:rsidRDefault="00000000">
            <m:oMathPara>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&gt;</m:t>
                </m:r>
                <m:r>
                  <w:rPr>
                    <w:rFonts w:ascii="Cambria Math" w:hAnsi="Cambria Math"/>
                  </w:rPr>
                  <m:t>0</m:t>
                </m:r>
              </m:oMath>
            </m:oMathPara>
          </w:p>
        </w:tc>
        <w:tc>
          <w:tcPr>
            <w:tcW w:w="0" w:type="auto"/>
          </w:tcPr>
          <w:p w14:paraId="31C7D111" w14:textId="77777777" w:rsidR="008B0728" w:rsidRDefault="00000000">
            <w:r>
              <w:t>Vectors are aligned (</w:t>
            </w:r>
            <m:oMath>
              <m:r>
                <w:rPr>
                  <w:rFonts w:ascii="Cambria Math" w:hAnsi="Cambria Math"/>
                </w:rPr>
                <m:t>θ</m:t>
              </m:r>
              <m:r>
                <m:rPr>
                  <m:sty m:val="p"/>
                </m:rPr>
                <w:rPr>
                  <w:rFonts w:ascii="Cambria Math" w:hAnsi="Cambria Math"/>
                </w:rPr>
                <m:t>&lt;</m:t>
              </m:r>
              <m:r>
                <w:rPr>
                  <w:rFonts w:ascii="Cambria Math" w:hAnsi="Cambria Math"/>
                </w:rPr>
                <m:t>90</m:t>
              </m:r>
              <m:r>
                <m:rPr>
                  <m:sty m:val="p"/>
                </m:rPr>
                <w:rPr>
                  <w:rFonts w:ascii="Cambria Math" w:hAnsi="Cambria Math"/>
                </w:rPr>
                <m:t>°</m:t>
              </m:r>
            </m:oMath>
            <w:r>
              <w:t>); molecules are compatible</w:t>
            </w:r>
          </w:p>
        </w:tc>
      </w:tr>
      <w:tr w:rsidR="008B0728" w14:paraId="42C33E8E" w14:textId="77777777">
        <w:tblPrEx>
          <w:tblCellMar>
            <w:top w:w="0" w:type="dxa"/>
            <w:bottom w:w="0" w:type="dxa"/>
          </w:tblCellMar>
        </w:tblPrEx>
        <w:tc>
          <w:tcPr>
            <w:tcW w:w="0" w:type="auto"/>
          </w:tcPr>
          <w:p w14:paraId="412AC6F2" w14:textId="77777777" w:rsidR="008B0728" w:rsidRDefault="00000000">
            <w:r>
              <w:t>Zero dot product</w:t>
            </w:r>
          </w:p>
        </w:tc>
        <w:tc>
          <w:tcPr>
            <w:tcW w:w="0" w:type="auto"/>
          </w:tcPr>
          <w:p w14:paraId="211F169F" w14:textId="77777777" w:rsidR="008B0728" w:rsidRDefault="00000000">
            <m:oMathPara>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0</m:t>
                </m:r>
              </m:oMath>
            </m:oMathPara>
          </w:p>
        </w:tc>
        <w:tc>
          <w:tcPr>
            <w:tcW w:w="0" w:type="auto"/>
          </w:tcPr>
          <w:p w14:paraId="40B38A08" w14:textId="77777777" w:rsidR="008B0728" w:rsidRDefault="00000000">
            <w:r>
              <w:t>Vectors are orthogonal (</w:t>
            </w:r>
            <m:oMath>
              <m:r>
                <w:rPr>
                  <w:rFonts w:ascii="Cambria Math" w:hAnsi="Cambria Math"/>
                </w:rPr>
                <m:t>θ</m:t>
              </m:r>
              <m:r>
                <m:rPr>
                  <m:sty m:val="p"/>
                </m:rPr>
                <w:rPr>
                  <w:rFonts w:ascii="Cambria Math" w:hAnsi="Cambria Math"/>
                </w:rPr>
                <m:t>=</m:t>
              </m:r>
              <m:r>
                <w:rPr>
                  <w:rFonts w:ascii="Cambria Math" w:hAnsi="Cambria Math"/>
                </w:rPr>
                <m:t>90</m:t>
              </m:r>
              <m:r>
                <m:rPr>
                  <m:sty m:val="p"/>
                </m:rPr>
                <w:rPr>
                  <w:rFonts w:ascii="Cambria Math" w:hAnsi="Cambria Math"/>
                </w:rPr>
                <m:t>°</m:t>
              </m:r>
            </m:oMath>
            <w:r>
              <w:t>); molecules are unrelated</w:t>
            </w:r>
          </w:p>
        </w:tc>
      </w:tr>
      <w:tr w:rsidR="008B0728" w14:paraId="3F6DD47D" w14:textId="77777777">
        <w:tblPrEx>
          <w:tblCellMar>
            <w:top w:w="0" w:type="dxa"/>
            <w:bottom w:w="0" w:type="dxa"/>
          </w:tblCellMar>
        </w:tblPrEx>
        <w:tc>
          <w:tcPr>
            <w:tcW w:w="0" w:type="auto"/>
          </w:tcPr>
          <w:p w14:paraId="5743ABC5" w14:textId="77777777" w:rsidR="008B0728" w:rsidRDefault="00000000">
            <w:r>
              <w:t>Negative dot product</w:t>
            </w:r>
          </w:p>
        </w:tc>
        <w:tc>
          <w:tcPr>
            <w:tcW w:w="0" w:type="auto"/>
          </w:tcPr>
          <w:p w14:paraId="5A218AC4" w14:textId="77777777" w:rsidR="008B0728" w:rsidRDefault="00000000">
            <m:oMathPara>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&lt;</m:t>
                </m:r>
                <m:r>
                  <w:rPr>
                    <w:rFonts w:ascii="Cambria Math" w:hAnsi="Cambria Math"/>
                  </w:rPr>
                  <m:t>0</m:t>
                </m:r>
              </m:oMath>
            </m:oMathPara>
          </w:p>
        </w:tc>
        <w:tc>
          <w:tcPr>
            <w:tcW w:w="0" w:type="auto"/>
          </w:tcPr>
          <w:p w14:paraId="53D5781D" w14:textId="77777777" w:rsidR="008B0728" w:rsidRDefault="00000000">
            <w:r>
              <w:t>Vectors are opposed (</w:t>
            </w:r>
            <m:oMath>
              <m:r>
                <w:rPr>
                  <w:rFonts w:ascii="Cambria Math" w:hAnsi="Cambria Math"/>
                </w:rPr>
                <m:t>θ</m:t>
              </m:r>
              <m:r>
                <m:rPr>
                  <m:sty m:val="p"/>
                </m:rPr>
                <w:rPr>
                  <w:rFonts w:ascii="Cambria Math" w:hAnsi="Cambria Math"/>
                </w:rPr>
                <m:t>&gt;</m:t>
              </m:r>
              <m:r>
                <w:rPr>
                  <w:rFonts w:ascii="Cambria Math" w:hAnsi="Cambria Math"/>
                </w:rPr>
                <m:t>90</m:t>
              </m:r>
              <m:r>
                <m:rPr>
                  <m:sty m:val="p"/>
                </m:rPr>
                <w:rPr>
                  <w:rFonts w:ascii="Cambria Math" w:hAnsi="Cambria Math"/>
                </w:rPr>
                <m:t>°</m:t>
              </m:r>
            </m:oMath>
            <w:r>
              <w:t>); molecules are incompatible</w:t>
            </w:r>
          </w:p>
        </w:tc>
      </w:tr>
      <w:tr w:rsidR="008B0728" w14:paraId="1034B9E4" w14:textId="77777777">
        <w:tblPrEx>
          <w:tblCellMar>
            <w:top w:w="0" w:type="dxa"/>
            <w:bottom w:w="0" w:type="dxa"/>
          </w:tblCellMar>
        </w:tblPrEx>
        <w:tc>
          <w:tcPr>
            <w:tcW w:w="0" w:type="auto"/>
          </w:tcPr>
          <w:p w14:paraId="737DA516" w14:textId="77777777" w:rsidR="008B0728" w:rsidRDefault="00000000">
            <w:r>
              <w:t>Bilinearity</w:t>
            </w:r>
          </w:p>
        </w:tc>
        <w:tc>
          <w:tcPr>
            <w:tcW w:w="0" w:type="auto"/>
          </w:tcPr>
          <w:p w14:paraId="3633297D" w14:textId="77777777" w:rsidR="008B0728" w:rsidRDefault="00000000">
            <m:oMathPara>
              <m:oMath>
                <m:d>
                  <m:dPr>
                    <m:ctrlPr>
                      <w:rPr>
                        <w:rFonts w:ascii="Cambria Math" w:hAnsi="Cambria Math"/>
                      </w:rPr>
                    </m:ctrlPr>
                  </m:dPr>
                  <m:e>
                    <m:r>
                      <w:rPr>
                        <w:rFonts w:ascii="Cambria Math" w:hAnsi="Cambria Math"/>
                      </w:rPr>
                      <m:t>α</m:t>
                    </m:r>
                    <m:r>
                      <m:rPr>
                        <m:sty m:val="b"/>
                      </m:rPr>
                      <w:rPr>
                        <w:rFonts w:ascii="Cambria Math" w:hAnsi="Cambria Math"/>
                      </w:rPr>
                      <m:t>a</m:t>
                    </m:r>
                  </m:e>
                </m:d>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α</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oMath>
            </m:oMathPara>
          </w:p>
        </w:tc>
        <w:tc>
          <w:tcPr>
            <w:tcW w:w="0" w:type="auto"/>
          </w:tcPr>
          <w:p w14:paraId="63CB7AD9" w14:textId="77777777" w:rsidR="008B0728" w:rsidRDefault="00000000">
            <w:r>
              <w:t>Energy decomposes linearly in both partners (Lecture 5)</w:t>
            </w:r>
          </w:p>
        </w:tc>
      </w:tr>
      <w:tr w:rsidR="008B0728" w14:paraId="49353982" w14:textId="77777777">
        <w:tblPrEx>
          <w:tblCellMar>
            <w:top w:w="0" w:type="dxa"/>
            <w:bottom w:w="0" w:type="dxa"/>
          </w:tblCellMar>
        </w:tblPrEx>
        <w:tc>
          <w:tcPr>
            <w:tcW w:w="0" w:type="auto"/>
          </w:tcPr>
          <w:p w14:paraId="51CC1840" w14:textId="77777777" w:rsidR="008B0728" w:rsidRDefault="00000000">
            <w:r>
              <w:t>Projection</w:t>
            </w:r>
          </w:p>
        </w:tc>
        <w:tc>
          <w:tcPr>
            <w:tcW w:w="0" w:type="auto"/>
          </w:tcPr>
          <w:p w14:paraId="1DCB207A" w14:textId="77777777" w:rsidR="008B0728" w:rsidRDefault="00000000">
            <m:oMathPara>
              <m:oMath>
                <m:sSub>
                  <m:sSubPr>
                    <m:ctrlPr>
                      <w:rPr>
                        <w:rFonts w:ascii="Cambria Math" w:hAnsi="Cambria Math"/>
                      </w:rPr>
                    </m:ctrlPr>
                  </m:sSubPr>
                  <m:e>
                    <m:r>
                      <m:rPr>
                        <m:nor/>
                      </m:rPr>
                      <m:t>proj</m:t>
                    </m:r>
                  </m:e>
                  <m:sub>
                    <m:r>
                      <m:rPr>
                        <m:sty m:val="b"/>
                      </m:rPr>
                      <w:rPr>
                        <w:rFonts w:ascii="Cambria Math" w:hAnsi="Cambria Math"/>
                      </w:rPr>
                      <m:t>b</m:t>
                    </m:r>
                  </m:sub>
                </m:sSub>
                <m:d>
                  <m:dPr>
                    <m:ctrlPr>
                      <w:rPr>
                        <w:rFonts w:ascii="Cambria Math" w:hAnsi="Cambria Math"/>
                      </w:rPr>
                    </m:ctrlPr>
                  </m:dPr>
                  <m:e>
                    <m:r>
                      <m:rPr>
                        <m:sty m:val="b"/>
                      </m:rPr>
                      <w:rPr>
                        <w:rFonts w:ascii="Cambria Math" w:hAnsi="Cambria Math"/>
                      </w:rPr>
                      <m:t>a</m:t>
                    </m:r>
                  </m:e>
                </m:d>
                <m:r>
                  <m:rPr>
                    <m:sty m:val="p"/>
                  </m:rPr>
                  <w:rPr>
                    <w:rFonts w:ascii="Cambria Math" w:hAnsi="Cambria Math"/>
                  </w:rPr>
                  <m:t>=</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m:rPr>
                    <m:sty m:val="b"/>
                  </m:rPr>
                  <w:rPr>
                    <w:rFonts w:ascii="Cambria Math" w:hAnsi="Cambria Math"/>
                  </w:rPr>
                  <m:t>b</m:t>
                </m:r>
                <m:r>
                  <m:rPr>
                    <m:sty m:val="p"/>
                  </m:rPr>
                  <w:rPr>
                    <w:rFonts w:ascii="Cambria Math" w:hAnsi="Cambria Math"/>
                  </w:rPr>
                  <m:t>∥</m:t>
                </m:r>
              </m:oMath>
            </m:oMathPara>
          </w:p>
        </w:tc>
        <w:tc>
          <w:tcPr>
            <w:tcW w:w="0" w:type="auto"/>
          </w:tcPr>
          <w:p w14:paraId="14A997E7" w14:textId="77777777" w:rsidR="008B0728" w:rsidRDefault="00000000">
            <w:r>
              <w:t xml:space="preserve">How much </w:t>
            </w:r>
            <m:oMath>
              <m:r>
                <m:rPr>
                  <m:sty m:val="b"/>
                </m:rPr>
                <w:rPr>
                  <w:rFonts w:ascii="Cambria Math" w:hAnsi="Cambria Math"/>
                </w:rPr>
                <m:t>a</m:t>
              </m:r>
            </m:oMath>
            <w:r>
              <w:t xml:space="preserve"> overlaps with </w:t>
            </w:r>
            <m:oMath>
              <m:r>
                <m:rPr>
                  <m:sty m:val="b"/>
                </m:rPr>
                <w:rPr>
                  <w:rFonts w:ascii="Cambria Math" w:hAnsi="Cambria Math"/>
                </w:rPr>
                <m:t>b</m:t>
              </m:r>
            </m:oMath>
            <w:r>
              <w:t xml:space="preserve"> (attention mechanism)</w:t>
            </w:r>
          </w:p>
        </w:tc>
      </w:tr>
    </w:tbl>
    <w:p w14:paraId="19EBF9BC" w14:textId="77777777" w:rsidR="008B0728" w:rsidRDefault="003F7CEB">
      <w:r>
        <w:rPr>
          <w:noProof/>
        </w:rPr>
      </w:r>
      <w:r>
        <w:pict w14:anchorId="693CC352">
          <v:rect id="Horizontal Line 11"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CD85C0B" w14:textId="77777777" w:rsidR="008B0728" w:rsidRDefault="00000000">
      <w:pPr>
        <w:pStyle w:val="Heading2"/>
      </w:pPr>
      <w:bookmarkStart w:id="12" w:name="checkpoint-questions"/>
      <w:bookmarkEnd w:id="11"/>
      <w:r>
        <w:t>11. Checkpoint Questions</w:t>
      </w:r>
    </w:p>
    <w:p w14:paraId="634FD50E" w14:textId="77777777" w:rsidR="008B0728" w:rsidRDefault="00000000">
      <w:r>
        <w:rPr>
          <w:b/>
          <w:bCs/>
        </w:rPr>
        <w:t>Q1.</w:t>
      </w:r>
      <w:r>
        <w:t xml:space="preserve"> Compute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oMath>
      <w:r>
        <w:t xml:space="preserve"> for </w:t>
      </w:r>
      <m:oMath>
        <m:r>
          <m:rPr>
            <m:sty m:val="b"/>
          </m:rP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e>
        </m:d>
      </m:oMath>
      <w:r>
        <w:t xml:space="preserve"> and </w:t>
      </w:r>
      <m:oMath>
        <m:r>
          <m:rPr>
            <m:sty m:val="b"/>
          </m:rP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w:t>
      </w:r>
    </w:p>
    <w:p w14:paraId="08AD69BC" w14:textId="77777777" w:rsidR="008B0728" w:rsidRDefault="00000000">
      <w:r>
        <w:rPr>
          <w:i/>
          <w:iCs/>
        </w:rPr>
        <w:t>Answer:</w:t>
      </w:r>
      <w:r>
        <w:t xml:space="preserve"> </w:t>
      </w:r>
      <m:oMath>
        <m:r>
          <w:rPr>
            <w:rFonts w:ascii="Cambria Math" w:hAnsi="Cambria Math"/>
          </w:rPr>
          <m:t>1</m:t>
        </m:r>
        <m:d>
          <m:dPr>
            <m:ctrlPr>
              <w:rPr>
                <w:rFonts w:ascii="Cambria Math" w:hAnsi="Cambria Math"/>
              </w:rPr>
            </m:ctrlPr>
          </m:dPr>
          <m:e>
            <m:r>
              <w:rPr>
                <w:rFonts w:ascii="Cambria Math" w:hAnsi="Cambria Math"/>
              </w:rPr>
              <m:t>4</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3</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The vectors are slightly opposed.</w:t>
      </w:r>
    </w:p>
    <w:p w14:paraId="7FBDF722" w14:textId="77777777" w:rsidR="008B0728" w:rsidRDefault="00000000">
      <w:r>
        <w:rPr>
          <w:b/>
          <w:bCs/>
        </w:rPr>
        <w:t>Q2.</w:t>
      </w:r>
      <w:r>
        <w:t xml:space="preserve"> Two vectors have norms </w:t>
      </w:r>
      <m:oMath>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5</m:t>
        </m:r>
      </m:oMath>
      <w:r>
        <w:t xml:space="preserve"> and </w:t>
      </w:r>
      <m:oMath>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3</m:t>
        </m:r>
      </m:oMath>
      <w:r>
        <w:t xml:space="preserve"> and their dot product is </w:t>
      </w:r>
      <m:oMath>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15</m:t>
        </m:r>
      </m:oMath>
      <w:r>
        <w:t>. What is the angle between them?</w:t>
      </w:r>
    </w:p>
    <w:p w14:paraId="35BEC924" w14:textId="77777777" w:rsidR="008B0728" w:rsidRDefault="00000000">
      <w:r>
        <w:rPr>
          <w:i/>
          <w:iCs/>
        </w:rPr>
        <w:t>Answer:</w:t>
      </w:r>
      <w:r>
        <w:t xml:space="preserve">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15</m:t>
        </m:r>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m:t>
        </m:r>
      </m:oMath>
      <w:r>
        <w:t xml:space="preserve">, so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oMath>
      <w:r>
        <w:t>. The vectors are perfectly parallel.</w:t>
      </w:r>
    </w:p>
    <w:p w14:paraId="7337323B" w14:textId="77777777" w:rsidR="008B0728" w:rsidRDefault="00000000">
      <w:r>
        <w:rPr>
          <w:b/>
          <w:bCs/>
        </w:rPr>
        <w:t>Q3.</w:t>
      </w:r>
      <w:r>
        <w:t xml:space="preserve"> An antibody embedding has dot product </w:t>
      </w:r>
      <m:oMath>
        <m:r>
          <m:rPr>
            <m:sty m:val="p"/>
          </m:rPr>
          <w:rPr>
            <w:rFonts w:ascii="Cambria Math" w:hAnsi="Cambria Math"/>
          </w:rPr>
          <m:t>+</m:t>
        </m:r>
        <m:r>
          <w:rPr>
            <w:rFonts w:ascii="Cambria Math" w:hAnsi="Cambria Math"/>
          </w:rPr>
          <m:t>12</m:t>
        </m:r>
      </m:oMath>
      <w:r>
        <w:t xml:space="preserve"> with Antigen A and dot product </w:t>
      </w:r>
      <m:oMath>
        <m:r>
          <m:rPr>
            <m:sty m:val="p"/>
          </m:rPr>
          <w:rPr>
            <w:rFonts w:ascii="Cambria Math" w:hAnsi="Cambria Math"/>
          </w:rPr>
          <m:t>+</m:t>
        </m:r>
        <m:r>
          <w:rPr>
            <w:rFonts w:ascii="Cambria Math" w:hAnsi="Cambria Math"/>
          </w:rPr>
          <m:t>3</m:t>
        </m:r>
      </m:oMath>
      <w:r>
        <w:t xml:space="preserve"> with Antigen B. Both dot products are positive. Does this mean the antibody binds both antigens?</w:t>
      </w:r>
    </w:p>
    <w:p w14:paraId="278EFE91" w14:textId="77777777" w:rsidR="008B0728" w:rsidRDefault="00000000">
      <w:r>
        <w:rPr>
          <w:i/>
          <w:iCs/>
        </w:rPr>
        <w:t>Answer:</w:t>
      </w:r>
      <w:r>
        <w:t xml:space="preserve"> Both scores are positive, so the antibody has some compatibility with both antigens. But the relevant question is not the absolute score — it is the relative score. When these scores are passed through softmax (Lecture 6), the probability of binding Antigen A will be much higher than binding Antigen B because softmax exponentiates the scores before normalizing, amplifying the difference. The dot product gives the raw compatibility; softmax converts it to a selection probability.</w:t>
      </w:r>
    </w:p>
    <w:p w14:paraId="33C8C131" w14:textId="77777777" w:rsidR="008B0728" w:rsidRDefault="00000000">
      <w:r>
        <w:rPr>
          <w:b/>
          <w:bCs/>
        </w:rPr>
        <w:t>Q4.</w:t>
      </w:r>
      <w:r>
        <w:t xml:space="preserve"> Why is the bilinearity property of the dot product important for molecular recognition?</w:t>
      </w:r>
    </w:p>
    <w:p w14:paraId="37A83757" w14:textId="77777777" w:rsidR="008B0728" w:rsidRDefault="00000000">
      <w:r>
        <w:rPr>
          <w:i/>
          <w:iCs/>
        </w:rPr>
        <w:t>Answer:</w:t>
      </w:r>
      <w:r>
        <w:t xml:space="preserve"> Bilinearity means that the dot product is linear in both arguments: </w:t>
      </w:r>
      <m:oMath>
        <m:d>
          <m:dPr>
            <m:ctrlPr>
              <w:rPr>
                <w:rFonts w:ascii="Cambria Math" w:hAnsi="Cambria Math"/>
              </w:rPr>
            </m:ctrlPr>
          </m:dPr>
          <m:e>
            <m:r>
              <w:rPr>
                <w:rFonts w:ascii="Cambria Math" w:hAnsi="Cambria Math"/>
              </w:rPr>
              <m:t>α</m:t>
            </m:r>
            <m:r>
              <m:rPr>
                <m:sty m:val="b"/>
              </m:rPr>
              <w:rPr>
                <w:rFonts w:ascii="Cambria Math" w:hAnsi="Cambria Math"/>
              </w:rPr>
              <m:t>a</m:t>
            </m:r>
            <m:r>
              <m:rPr>
                <m:sty m:val="p"/>
              </m:rPr>
              <w:rPr>
                <w:rFonts w:ascii="Cambria Math" w:hAnsi="Cambria Math"/>
              </w:rPr>
              <m:t>+</m:t>
            </m:r>
            <m:r>
              <w:rPr>
                <w:rFonts w:ascii="Cambria Math" w:hAnsi="Cambria Math"/>
              </w:rPr>
              <m:t>β</m:t>
            </m:r>
            <m:r>
              <m:rPr>
                <m:sty m:val="b"/>
              </m:rPr>
              <w:rPr>
                <w:rFonts w:ascii="Cambria Math" w:hAnsi="Cambria Math"/>
              </w:rPr>
              <m:t>c</m:t>
            </m:r>
          </m:e>
        </m:d>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α</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r>
          <w:rPr>
            <w:rFonts w:ascii="Cambria Math" w:hAnsi="Cambria Math"/>
          </w:rPr>
          <m:t>β</m:t>
        </m:r>
        <m:d>
          <m:dPr>
            <m:ctrlPr>
              <w:rPr>
                <w:rFonts w:ascii="Cambria Math" w:hAnsi="Cambria Math"/>
              </w:rPr>
            </m:ctrlPr>
          </m:dPr>
          <m:e>
            <m:r>
              <m:rPr>
                <m:sty m:val="b"/>
              </m:rPr>
              <w:rPr>
                <w:rFonts w:ascii="Cambria Math" w:hAnsi="Cambria Math"/>
              </w:rPr>
              <m:t>c</m:t>
            </m:r>
            <m:r>
              <m:rPr>
                <m:sty m:val="p"/>
              </m:rPr>
              <w:rPr>
                <w:rFonts w:ascii="Cambria Math" w:hAnsi="Cambria Math"/>
              </w:rPr>
              <m:t>⋅</m:t>
            </m:r>
            <m:r>
              <m:rPr>
                <m:sty m:val="b"/>
              </m:rPr>
              <w:rPr>
                <w:rFonts w:ascii="Cambria Math" w:hAnsi="Cambria Math"/>
              </w:rPr>
              <m:t>b</m:t>
            </m:r>
          </m:e>
        </m:d>
      </m:oMath>
      <w:r>
        <w:t xml:space="preserve">. In molecular binding, this corresponds to the energy decomposing as a sum of independent contributions from each contact position — the energy at position </w:t>
      </w:r>
      <m:oMath>
        <m:r>
          <w:rPr>
            <w:rFonts w:ascii="Cambria Math" w:hAnsi="Cambria Math"/>
          </w:rPr>
          <m:t>p</m:t>
        </m:r>
      </m:oMath>
      <w:r>
        <w:t xml:space="preserve"> is a product of the agent feature at </w:t>
      </w:r>
      <m:oMath>
        <m:r>
          <w:rPr>
            <w:rFonts w:ascii="Cambria Math" w:hAnsi="Cambria Math"/>
          </w:rPr>
          <m:t>p</m:t>
        </m:r>
      </m:oMath>
      <w:r>
        <w:t xml:space="preserve"> and the target feature at </w:t>
      </w:r>
      <m:oMath>
        <m:r>
          <w:rPr>
            <w:rFonts w:ascii="Cambria Math" w:hAnsi="Cambria Math"/>
          </w:rPr>
          <m:t>p</m:t>
        </m:r>
      </m:oMath>
      <w:r>
        <w:t>, and the total energy is the sum over all positions. This bilinear decomposition is what bridges the Boltzmann distribution to the transformer dot-product attention equation (Lectures 5 and 7).</w:t>
      </w:r>
    </w:p>
    <w:p w14:paraId="4B5FC378" w14:textId="77777777" w:rsidR="008B0728" w:rsidRDefault="003F7CEB">
      <w:r>
        <w:rPr>
          <w:noProof/>
        </w:rPr>
      </w:r>
      <w:r>
        <w:pict w14:anchorId="4CEA7C6F">
          <v:rect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3DABBA5" w14:textId="77777777" w:rsidR="008B0728" w:rsidRDefault="00000000">
      <w:pPr>
        <w:pStyle w:val="Heading2"/>
      </w:pPr>
      <w:bookmarkStart w:id="13" w:name="connection-to-future-lectures"/>
      <w:bookmarkEnd w:id="12"/>
      <w:r>
        <w:t>12. Connection to Future Lectures</w:t>
      </w:r>
    </w:p>
    <w:p w14:paraId="695D75BE" w14:textId="77777777" w:rsidR="008B0728" w:rsidRDefault="00000000">
      <w:r>
        <w:t>The dot product introduced here appears in every subsequent lecture:</w:t>
      </w:r>
    </w:p>
    <w:p w14:paraId="417ADAD5" w14:textId="77777777" w:rsidR="008B0728" w:rsidRDefault="00000000">
      <w:pPr>
        <w:numPr>
          <w:ilvl w:val="0"/>
          <w:numId w:val="4"/>
        </w:numPr>
      </w:pPr>
      <w:r>
        <w:rPr>
          <w:b/>
          <w:bCs/>
        </w:rPr>
        <w:t>Lecture 2:</w:t>
      </w:r>
      <w:r>
        <w:t xml:space="preserve"> The transformer attention score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is a dot product between learned query and key vectors.</w:t>
      </w:r>
    </w:p>
    <w:p w14:paraId="2129EAEF" w14:textId="77777777" w:rsidR="008B0728" w:rsidRDefault="00000000">
      <w:pPr>
        <w:numPr>
          <w:ilvl w:val="0"/>
          <w:numId w:val="4"/>
        </w:numPr>
      </w:pPr>
      <w:r>
        <w:rPr>
          <w:b/>
          <w:bCs/>
        </w:rPr>
        <w:t>Lecture 3:</w:t>
      </w:r>
      <w:r>
        <w:t xml:space="preserve"> The InfoNCE contrastive loss uses </w:t>
      </w:r>
      <m:oMath>
        <m:r>
          <m:rPr>
            <m:nor/>
          </m: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oMath>
      <w:r>
        <w:t xml:space="preserve"> (after L2 normalization) as the similarity function.</w:t>
      </w:r>
    </w:p>
    <w:p w14:paraId="60268639" w14:textId="77777777" w:rsidR="008B0728" w:rsidRDefault="00000000">
      <w:pPr>
        <w:numPr>
          <w:ilvl w:val="0"/>
          <w:numId w:val="4"/>
        </w:numPr>
      </w:pPr>
      <w:r>
        <w:rPr>
          <w:b/>
          <w:bCs/>
        </w:rPr>
        <w:t>Lecture 4:</w:t>
      </w:r>
      <w:r>
        <w:t xml:space="preserve"> The Boltzmann binding energy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identifies the dot product as the dimensionless binding energy.</w:t>
      </w:r>
    </w:p>
    <w:p w14:paraId="40F829C6" w14:textId="77777777" w:rsidR="008B0728" w:rsidRDefault="00000000">
      <w:pPr>
        <w:numPr>
          <w:ilvl w:val="0"/>
          <w:numId w:val="4"/>
        </w:numPr>
      </w:pPr>
      <w:r>
        <w:rPr>
          <w:b/>
          <w:bCs/>
        </w:rPr>
        <w:t>Lecture 5:</w:t>
      </w:r>
      <w:r>
        <w:t xml:space="preserve"> The position weight matrix for TF–DNA binding is a dot product in raw sequence space. The SantaLucia nearest-neighbor model for RNA/DNA is a sum of positional energy terms — a generalized dot product.</w:t>
      </w:r>
    </w:p>
    <w:p w14:paraId="0B676E72" w14:textId="77777777" w:rsidR="008B0728" w:rsidRDefault="00000000">
      <w:pPr>
        <w:numPr>
          <w:ilvl w:val="0"/>
          <w:numId w:val="4"/>
        </w:numPr>
      </w:pPr>
      <w:r>
        <w:rPr>
          <w:b/>
          <w:bCs/>
        </w:rPr>
        <w:lastRenderedPageBreak/>
        <w:t>Lecture 7:</w:t>
      </w:r>
      <w:r>
        <w:t xml:space="preserve"> The five architecture conditions derive the SFM architecture. Condition 2 (bilinear energy decomposition) is the condition that makes the dot product the correct compatibility measure.</w:t>
      </w:r>
      <w:bookmarkEnd w:id="1"/>
      <w:bookmarkEnd w:id="13"/>
    </w:p>
    <w:sectPr w:rsidR="008B072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FA85" w14:textId="77777777" w:rsidR="003F7CEB" w:rsidRDefault="003F7CEB">
      <w:r>
        <w:separator/>
      </w:r>
    </w:p>
  </w:endnote>
  <w:endnote w:type="continuationSeparator" w:id="0">
    <w:p w14:paraId="5E3F7673" w14:textId="77777777" w:rsidR="003F7CEB" w:rsidRDefault="003F7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11F8" w14:textId="77777777" w:rsidR="008B0728" w:rsidRDefault="00000000">
    <w:pPr>
      <w:jc w:val="center"/>
    </w:pPr>
    <w:r>
      <w:rPr>
        <w:sz w:val="18"/>
        <w:szCs w:val="18"/>
      </w:rPr>
      <w:fldChar w:fldCharType="begin"/>
    </w:r>
    <w:r>
      <w:rPr>
        <w:sz w:val="18"/>
        <w:szCs w:val="18"/>
      </w:rPr>
      <w:instrText>PAGE</w:instrText>
    </w:r>
    <w:r>
      <w:rPr>
        <w:sz w:val="18"/>
        <w:szCs w:val="18"/>
      </w:rPr>
      <w:fldChar w:fldCharType="separate"/>
    </w:r>
    <w:r w:rsidR="002E076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069F8" w14:textId="77777777" w:rsidR="003F7CEB" w:rsidRDefault="003F7CEB">
      <w:r>
        <w:separator/>
      </w:r>
    </w:p>
  </w:footnote>
  <w:footnote w:type="continuationSeparator" w:id="0">
    <w:p w14:paraId="4D1856FC" w14:textId="77777777" w:rsidR="003F7CEB" w:rsidRDefault="003F7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01F3" w14:textId="77777777" w:rsidR="008B0728" w:rsidRDefault="00000000">
    <w:pPr>
      <w:pBdr>
        <w:bottom w:val="single" w:sz="4" w:space="4" w:color="999999"/>
      </w:pBdr>
    </w:pPr>
    <w:r>
      <w:rPr>
        <w:i/>
        <w:iCs/>
        <w:sz w:val="18"/>
        <w:szCs w:val="18"/>
      </w:rPr>
      <w:t>MRC Lecture 1 — Derivation Guide 1: The Dot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1A1F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418B7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531"/>
    <w:multiLevelType w:val="multilevel"/>
    <w:tmpl w:val="7212AD34"/>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3" w15:restartNumberingAfterBreak="0">
    <w:nsid w:val="268317E7"/>
    <w:multiLevelType w:val="hybridMultilevel"/>
    <w:tmpl w:val="73C81E3C"/>
    <w:lvl w:ilvl="0" w:tplc="2C4A9146">
      <w:start w:val="1"/>
      <w:numFmt w:val="bullet"/>
      <w:lvlText w:val="●"/>
      <w:lvlJc w:val="left"/>
      <w:pPr>
        <w:ind w:left="720" w:hanging="360"/>
      </w:pPr>
    </w:lvl>
    <w:lvl w:ilvl="1" w:tplc="BFEEC684">
      <w:start w:val="1"/>
      <w:numFmt w:val="bullet"/>
      <w:lvlText w:val="○"/>
      <w:lvlJc w:val="left"/>
      <w:pPr>
        <w:ind w:left="1440" w:hanging="360"/>
      </w:pPr>
    </w:lvl>
    <w:lvl w:ilvl="2" w:tplc="620E0BB4">
      <w:start w:val="1"/>
      <w:numFmt w:val="bullet"/>
      <w:lvlText w:val="■"/>
      <w:lvlJc w:val="left"/>
      <w:pPr>
        <w:ind w:left="2160" w:hanging="360"/>
      </w:pPr>
    </w:lvl>
    <w:lvl w:ilvl="3" w:tplc="3A3EA7D0">
      <w:start w:val="1"/>
      <w:numFmt w:val="bullet"/>
      <w:lvlText w:val="●"/>
      <w:lvlJc w:val="left"/>
      <w:pPr>
        <w:ind w:left="2880" w:hanging="360"/>
      </w:pPr>
    </w:lvl>
    <w:lvl w:ilvl="4" w:tplc="4560D526">
      <w:start w:val="1"/>
      <w:numFmt w:val="bullet"/>
      <w:lvlText w:val="○"/>
      <w:lvlJc w:val="left"/>
      <w:pPr>
        <w:ind w:left="3600" w:hanging="360"/>
      </w:pPr>
    </w:lvl>
    <w:lvl w:ilvl="5" w:tplc="8D4E73C0">
      <w:start w:val="1"/>
      <w:numFmt w:val="bullet"/>
      <w:lvlText w:val="■"/>
      <w:lvlJc w:val="left"/>
      <w:pPr>
        <w:ind w:left="4320" w:hanging="360"/>
      </w:pPr>
    </w:lvl>
    <w:lvl w:ilvl="6" w:tplc="F2F65A9C">
      <w:start w:val="1"/>
      <w:numFmt w:val="bullet"/>
      <w:lvlText w:val="●"/>
      <w:lvlJc w:val="left"/>
      <w:pPr>
        <w:ind w:left="5040" w:hanging="360"/>
      </w:pPr>
    </w:lvl>
    <w:lvl w:ilvl="7" w:tplc="75EAFA72">
      <w:start w:val="1"/>
      <w:numFmt w:val="bullet"/>
      <w:lvlText w:val="●"/>
      <w:lvlJc w:val="left"/>
      <w:pPr>
        <w:ind w:left="5760" w:hanging="360"/>
      </w:pPr>
    </w:lvl>
    <w:lvl w:ilvl="8" w:tplc="7800239A">
      <w:start w:val="1"/>
      <w:numFmt w:val="bullet"/>
      <w:lvlText w:val="●"/>
      <w:lvlJc w:val="left"/>
      <w:pPr>
        <w:ind w:left="6480" w:hanging="360"/>
      </w:pPr>
    </w:lvl>
  </w:abstractNum>
  <w:num w:numId="1" w16cid:durableId="137041351">
    <w:abstractNumId w:val="3"/>
    <w:lvlOverride w:ilvl="0">
      <w:startOverride w:val="1"/>
    </w:lvlOverride>
  </w:num>
  <w:num w:numId="2" w16cid:durableId="231238152">
    <w:abstractNumId w:val="0"/>
  </w:num>
  <w:num w:numId="3" w16cid:durableId="1929271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6779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728"/>
    <w:rsid w:val="002E0765"/>
    <w:rsid w:val="003F7CEB"/>
    <w:rsid w:val="008B0728"/>
    <w:rsid w:val="008F0EB1"/>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80E42F5"/>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1566</Words>
  <Characters>8931</Characters>
  <Application>Microsoft Office Word</Application>
  <DocSecurity>0</DocSecurity>
  <Lines>74</Lines>
  <Paragraphs>20</Paragraphs>
  <ScaleCrop>false</ScaleCrop>
  <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2026-03-30T12:33:00Z</dcterms:created>
  <dcterms:modified xsi:type="dcterms:W3CDTF">2026-03-30T12:33:00Z</dcterms:modified>
</cp:coreProperties>
</file>