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99147" w14:textId="77777777" w:rsidR="001278C0" w:rsidRDefault="00000000">
      <w:pPr>
        <w:pStyle w:val="Heading1"/>
      </w:pPr>
      <w:bookmarkStart w:id="0" w:name="mrc-lecture-2-derivation-guide-3"/>
      <w:r>
        <w:t>MRC Lecture 2 — Derivation Guide 3</w:t>
      </w:r>
    </w:p>
    <w:p w14:paraId="14B73041" w14:textId="77777777" w:rsidR="001278C0" w:rsidRDefault="00000000">
      <w:pPr>
        <w:pStyle w:val="Heading1"/>
      </w:pPr>
      <w:bookmarkStart w:id="1" w:name="X8d9006fb8389a8f0af6e8630968440cfeffe457"/>
      <w:bookmarkEnd w:id="0"/>
      <w:r>
        <w:t>The √d_k Scaling Argument: Why Temperature Is Necessary</w:t>
      </w:r>
    </w:p>
    <w:p w14:paraId="52C2F0D3" w14:textId="77777777" w:rsidR="001278C0" w:rsidRDefault="00000000">
      <w:r>
        <w:t>Sai T. Reddy — ETH Zurich / BIIE</w:t>
      </w:r>
    </w:p>
    <w:p w14:paraId="1B9DA5DF" w14:textId="77777777" w:rsidR="001278C0" w:rsidRDefault="00DC790C">
      <w:r>
        <w:rPr>
          <w:noProof/>
        </w:rPr>
      </w:r>
      <w:r>
        <w:pict w14:anchorId="15192A8E">
          <v:rect id="Horizontal Line 1" o:spid="_x0000_s103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9F11FFA" w14:textId="77777777" w:rsidR="001278C0" w:rsidRDefault="00000000">
      <w:pPr>
        <w:pStyle w:val="Heading2"/>
      </w:pPr>
      <w:bookmarkStart w:id="2" w:name="motivation"/>
      <w:r>
        <w:t>1. Motivation</w:t>
      </w:r>
    </w:p>
    <w:p w14:paraId="026463A2" w14:textId="77777777" w:rsidR="001278C0" w:rsidRDefault="00000000">
      <w:r>
        <w:t xml:space="preserve">In Derivation Guide 2, we derived the attention equation and divided the score matrix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before applying softmax. This scaling factor was introduced by Vaswani et al. (2017) with a brief statistical justification. In this guide, we derive the argument fully: we prove that the variance of the dot product grows linearly with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show that this causes softmax to saturate without scaling, and demonstrate that dividing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restores unit variance.</w:t>
      </w:r>
    </w:p>
    <w:p w14:paraId="604EFEF6" w14:textId="77777777" w:rsidR="001278C0" w:rsidRDefault="00000000">
      <w:r>
        <w:t xml:space="preserve">The result connects directly to the temperature parameter from Lecture 1 (Derivation Guide 5): the scaling factor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IS the temperature </w:t>
      </w:r>
      <m:oMath>
        <m:r>
          <w:rPr>
            <w:rFonts w:ascii="Cambria Math" w:hAnsi="Cambria Math"/>
          </w:rPr>
          <m:t>τ</m:t>
        </m:r>
      </m:oMath>
      <w:r>
        <w:t xml:space="preserve">, controlling the sharpness of selection. Vaswani chose it for numerical stability. The Boltzmann distribution uses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for the same mathematical role. Understanding why scaling is necessary is understanding why temperature exists.</w:t>
      </w:r>
    </w:p>
    <w:p w14:paraId="51981DA7" w14:textId="77777777" w:rsidR="001278C0" w:rsidRDefault="00DC790C">
      <w:r>
        <w:rPr>
          <w:noProof/>
        </w:rPr>
      </w:r>
      <w:r>
        <w:pict w14:anchorId="5AC9EC8D">
          <v:rect id="Horizontal Line 2"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3B66AEE" w14:textId="77777777" w:rsidR="001278C0" w:rsidRDefault="00000000">
      <w:pPr>
        <w:pStyle w:val="Heading2"/>
      </w:pPr>
      <w:bookmarkStart w:id="3" w:name="setup-random-queries-and-keys"/>
      <w:bookmarkEnd w:id="2"/>
      <w:r>
        <w:t>2. Setup: Random Queries and Keys</w:t>
      </w:r>
    </w:p>
    <w:p w14:paraId="18310F72" w14:textId="77777777" w:rsidR="001278C0" w:rsidRDefault="00000000">
      <w:r>
        <w:rPr>
          <w:b/>
          <w:bCs/>
        </w:rPr>
        <w:t>Assumption.</w:t>
      </w:r>
      <w:r>
        <w:t xml:space="preserve"> Consider a single query vector </w:t>
      </w:r>
      <m:oMath>
        <m:r>
          <m:rPr>
            <m:sty m:val="b"/>
          </m:rPr>
          <w:rPr>
            <w:rFonts w:ascii="Cambria Math" w:hAnsi="Cambria Math"/>
          </w:rPr>
          <m:t>q</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d</m:t>
                    </m:r>
                  </m:e>
                  <m:sub>
                    <m:r>
                      <w:rPr>
                        <w:rFonts w:ascii="Cambria Math" w:hAnsi="Cambria Math"/>
                      </w:rPr>
                      <m:t>k</m:t>
                    </m:r>
                  </m:sub>
                </m:sSub>
              </m:sub>
            </m:sSub>
          </m:e>
        </m:d>
      </m:oMath>
      <w:r>
        <w:t xml:space="preserve"> and a single key vector </w:t>
      </w:r>
      <m:oMath>
        <m:r>
          <m:rPr>
            <m:sty m:val="b"/>
          </m:rPr>
          <w:rPr>
            <w:rFonts w:ascii="Cambria Math" w:hAnsi="Cambria Math"/>
          </w:rPr>
          <m:t>k</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k</m:t>
                </m:r>
              </m:e>
              <m:sub>
                <m:sSub>
                  <m:sSubPr>
                    <m:ctrlPr>
                      <w:rPr>
                        <w:rFonts w:ascii="Cambria Math" w:hAnsi="Cambria Math"/>
                      </w:rPr>
                    </m:ctrlPr>
                  </m:sSubPr>
                  <m:e>
                    <m:r>
                      <w:rPr>
                        <w:rFonts w:ascii="Cambria Math" w:hAnsi="Cambria Math"/>
                      </w:rPr>
                      <m:t>d</m:t>
                    </m:r>
                  </m:e>
                  <m:sub>
                    <m:r>
                      <w:rPr>
                        <w:rFonts w:ascii="Cambria Math" w:hAnsi="Cambria Math"/>
                      </w:rPr>
                      <m:t>k</m:t>
                    </m:r>
                  </m:sub>
                </m:sSub>
              </m:sub>
            </m:sSub>
          </m:e>
        </m:d>
      </m:oMath>
      <w:r>
        <w:t>, where each component is an independent random variable with:</w:t>
      </w:r>
    </w:p>
    <w:p w14:paraId="2D2A39DE" w14:textId="77777777" w:rsidR="001278C0"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Var</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e>
          </m:d>
          <m:r>
            <m:rPr>
              <m:sty m:val="p"/>
            </m:rPr>
            <w:rPr>
              <w:rFonts w:ascii="Cambria Math" w:hAnsi="Cambria Math"/>
            </w:rPr>
            <m:t>=</m:t>
          </m:r>
          <m:r>
            <w:rPr>
              <w:rFonts w:ascii="Cambria Math" w:hAnsi="Cambria Math"/>
            </w:rPr>
            <m:t>1 </m:t>
          </m:r>
          <m:r>
            <m:rPr>
              <m:nor/>
            </m:rPr>
            <m:t xml:space="preserve">for all </m:t>
          </m:r>
          <m:r>
            <w:rPr>
              <w:rFonts w:ascii="Cambria Math" w:hAnsi="Cambria Math"/>
            </w:rPr>
            <m:t>l</m:t>
          </m:r>
        </m:oMath>
      </m:oMathPara>
    </w:p>
    <w:p w14:paraId="47FACEFE" w14:textId="77777777" w:rsidR="001278C0"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nor/>
            </m:rPr>
            <m:t>Var</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r>
            <w:rPr>
              <w:rFonts w:ascii="Cambria Math" w:hAnsi="Cambria Math"/>
            </w:rPr>
            <m:t>1 </m:t>
          </m:r>
          <m:r>
            <m:rPr>
              <m:nor/>
            </m:rPr>
            <m:t xml:space="preserve">for all </m:t>
          </m:r>
          <m:r>
            <w:rPr>
              <w:rFonts w:ascii="Cambria Math" w:hAnsi="Cambria Math"/>
            </w:rPr>
            <m:t>l</m:t>
          </m:r>
        </m:oMath>
      </m:oMathPara>
    </w:p>
    <w:p w14:paraId="7BE3BBD7" w14:textId="77777777" w:rsidR="001278C0" w:rsidRDefault="00000000">
      <w:r>
        <w:t xml:space="preserve">and all </w:t>
      </w:r>
      <m:oMath>
        <m:sSub>
          <m:sSubPr>
            <m:ctrlPr>
              <w:rPr>
                <w:rFonts w:ascii="Cambria Math" w:hAnsi="Cambria Math"/>
              </w:rPr>
            </m:ctrlPr>
          </m:sSubPr>
          <m:e>
            <m:r>
              <w:rPr>
                <w:rFonts w:ascii="Cambria Math" w:hAnsi="Cambria Math"/>
              </w:rPr>
              <m:t>q</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are mutually independent.</w:t>
      </w:r>
    </w:p>
    <w:p w14:paraId="6AAA1194" w14:textId="77777777" w:rsidR="001278C0" w:rsidRDefault="00000000">
      <w:r>
        <w:rPr>
          <w:b/>
          <w:bCs/>
        </w:rPr>
        <w:t>Note.</w:t>
      </w:r>
      <w:r>
        <w:t xml:space="preserve"> These assumptions are approximately satisfied after standard initialization schemes (Xavier/Glorot initialization, which sets weights so that activations have zero mean and unit variance) and layer normalization (which normalizes activations to zero mean and unit variance within each layer). They are modeling assumptions for the purpose of this derivation, not exact properties of trained networks.</w:t>
      </w:r>
    </w:p>
    <w:p w14:paraId="197138F4" w14:textId="77777777" w:rsidR="001278C0" w:rsidRDefault="00DC790C">
      <w:r>
        <w:rPr>
          <w:noProof/>
        </w:rPr>
      </w:r>
      <w:r>
        <w:pict w14:anchorId="74F2C87D">
          <v:rect id="Horizontal Line 3"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7A2A87B" w14:textId="77777777" w:rsidR="001278C0" w:rsidRDefault="00000000">
      <w:pPr>
        <w:pStyle w:val="Heading2"/>
      </w:pPr>
      <w:bookmarkStart w:id="4" w:name="the-mean-of-the-dot-product"/>
      <w:bookmarkEnd w:id="3"/>
      <w:r>
        <w:t>3. The Mean of the Dot Product</w:t>
      </w:r>
    </w:p>
    <w:p w14:paraId="2626473C" w14:textId="77777777" w:rsidR="001278C0" w:rsidRDefault="00000000">
      <w:r>
        <w:rPr>
          <w:b/>
          <w:bCs/>
        </w:rPr>
        <w:t>Claim.</w:t>
      </w:r>
      <w:r>
        <w:t xml:space="preserve"> </w:t>
      </w:r>
      <m:oMath>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r>
          <w:rPr>
            <w:rFonts w:ascii="Cambria Math" w:hAnsi="Cambria Math"/>
          </w:rPr>
          <m:t>0</m:t>
        </m:r>
      </m:oMath>
      <w:r>
        <w:t>.</w:t>
      </w:r>
    </w:p>
    <w:p w14:paraId="25878664" w14:textId="77777777" w:rsidR="001278C0" w:rsidRDefault="00000000">
      <w:r>
        <w:rPr>
          <w:b/>
          <w:bCs/>
        </w:rPr>
        <w:t>Proof.</w:t>
      </w:r>
      <w:r>
        <w:t xml:space="preserve"> The dot product is:</w:t>
      </w:r>
    </w:p>
    <w:p w14:paraId="5B3B69A4" w14:textId="77777777" w:rsidR="001278C0" w:rsidRDefault="00000000">
      <m:oMathPara>
        <m:oMathParaPr>
          <m:jc m:val="center"/>
        </m:oMathParaPr>
        <m:oMath>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l</m:t>
                  </m:r>
                </m:sub>
              </m:sSub>
            </m:e>
          </m:nary>
          <m:sSub>
            <m:sSubPr>
              <m:ctrlPr>
                <w:rPr>
                  <w:rFonts w:ascii="Cambria Math" w:hAnsi="Cambria Math"/>
                </w:rPr>
              </m:ctrlPr>
            </m:sSubPr>
            <m:e>
              <m:r>
                <w:rPr>
                  <w:rFonts w:ascii="Cambria Math" w:hAnsi="Cambria Math"/>
                </w:rPr>
                <m:t>k</m:t>
              </m:r>
            </m:e>
            <m:sub>
              <m:r>
                <w:rPr>
                  <w:rFonts w:ascii="Cambria Math" w:hAnsi="Cambria Math"/>
                </w:rPr>
                <m:t>l</m:t>
              </m:r>
            </m:sub>
          </m:sSub>
        </m:oMath>
      </m:oMathPara>
    </w:p>
    <w:p w14:paraId="1150A514" w14:textId="77777777" w:rsidR="001278C0" w:rsidRDefault="00000000">
      <w:r>
        <w:t>By linearity of expectation:</w:t>
      </w:r>
    </w:p>
    <w:p w14:paraId="5DD9A457" w14:textId="77777777" w:rsidR="001278C0"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m:rPr>
                  <m:scr m:val="double-struck"/>
                  <m:sty m:val="p"/>
                </m:rPr>
                <w:rPr>
                  <w:rFonts w:ascii="Cambria Math" w:hAnsi="Cambria Math"/>
                </w:rPr>
                <m:t>E</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oMath>
      </m:oMathPara>
    </w:p>
    <w:p w14:paraId="018280AA" w14:textId="77777777" w:rsidR="001278C0" w:rsidRDefault="00000000">
      <w:r>
        <w:t xml:space="preserve">Since </w:t>
      </w:r>
      <m:oMath>
        <m:sSub>
          <m:sSubPr>
            <m:ctrlPr>
              <w:rPr>
                <w:rFonts w:ascii="Cambria Math" w:hAnsi="Cambria Math"/>
              </w:rPr>
            </m:ctrlPr>
          </m:sSubPr>
          <m:e>
            <m:r>
              <w:rPr>
                <w:rFonts w:ascii="Cambria Math" w:hAnsi="Cambria Math"/>
              </w:rPr>
              <m:t>q</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are independent:</w:t>
      </w:r>
    </w:p>
    <w:p w14:paraId="068EB22F" w14:textId="77777777" w:rsidR="001278C0"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e>
          </m:d>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2B565FF0" w14:textId="77777777" w:rsidR="001278C0" w:rsidRDefault="00000000">
      <w:r>
        <w:t>Therefore:</w:t>
      </w:r>
    </w:p>
    <w:p w14:paraId="2BAB3545" w14:textId="77777777" w:rsidR="001278C0"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w:rPr>
                  <w:rFonts w:ascii="Cambria Math" w:hAnsi="Cambria Math"/>
                </w:rPr>
                <m:t>0</m:t>
              </m:r>
            </m:e>
          </m:nary>
          <m:r>
            <m:rPr>
              <m:sty m:val="p"/>
            </m:rPr>
            <w:rPr>
              <w:rFonts w:ascii="Cambria Math" w:hAnsi="Cambria Math"/>
            </w:rPr>
            <m:t>=</m:t>
          </m:r>
          <m:r>
            <w:rPr>
              <w:rFonts w:ascii="Cambria Math" w:hAnsi="Cambria Math"/>
            </w:rPr>
            <m:t>0  </m:t>
          </m:r>
          <m:r>
            <m:rPr>
              <m:sty m:val="p"/>
            </m:rPr>
            <w:rPr>
              <w:rFonts w:ascii="Cambria Math" w:hAnsi="Cambria Math"/>
            </w:rPr>
            <m:t>◼</m:t>
          </m:r>
        </m:oMath>
      </m:oMathPara>
    </w:p>
    <w:p w14:paraId="6227674D" w14:textId="77777777" w:rsidR="001278C0" w:rsidRDefault="00000000">
      <w:r>
        <w:t>The expected dot product between a random query and a random key is zero. On average, random vectors are orthogonal — neither compatible nor incompatible.</w:t>
      </w:r>
    </w:p>
    <w:p w14:paraId="1CB2E541" w14:textId="77777777" w:rsidR="001278C0" w:rsidRDefault="00DC790C">
      <w:r>
        <w:rPr>
          <w:noProof/>
        </w:rPr>
      </w:r>
      <w:r>
        <w:pict w14:anchorId="0B4F67A6">
          <v:rect id="Horizontal Line 4"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611BC8B" w14:textId="77777777" w:rsidR="001278C0" w:rsidRDefault="00000000">
      <w:pPr>
        <w:pStyle w:val="Heading2"/>
      </w:pPr>
      <w:bookmarkStart w:id="5" w:name="the-variance-of-the-dot-product"/>
      <w:bookmarkEnd w:id="4"/>
      <w:r>
        <w:t>4. The Variance of the Dot Product</w:t>
      </w:r>
    </w:p>
    <w:p w14:paraId="417AD060" w14:textId="77777777" w:rsidR="001278C0" w:rsidRDefault="00000000">
      <w:r>
        <w:rPr>
          <w:b/>
          <w:bCs/>
        </w:rPr>
        <w:t>Claim.</w:t>
      </w:r>
      <w:r>
        <w:t xml:space="preserve"> </w:t>
      </w:r>
      <m:oMath>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w:r>
        <w:t>.</w:t>
      </w:r>
    </w:p>
    <w:p w14:paraId="1F98CF57" w14:textId="77777777" w:rsidR="001278C0" w:rsidRDefault="00000000">
      <w:r>
        <w:rPr>
          <w:b/>
          <w:bCs/>
        </w:rPr>
        <w:t>Proof.</w:t>
      </w:r>
      <w:r>
        <w:t xml:space="preserve"> The variance of a sum of independent random variables is the sum of their variances:</w:t>
      </w:r>
    </w:p>
    <w:p w14:paraId="4456F5A0" w14:textId="77777777" w:rsidR="001278C0" w:rsidRDefault="00000000">
      <m:oMathPara>
        <m:oMathParaPr>
          <m:jc m:val="center"/>
        </m:oMathParaPr>
        <m:oMath>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r>
            <m:rPr>
              <m:nor/>
            </m:rPr>
            <m:t>Var</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sSub>
                    <m:sSubPr>
                      <m:ctrlPr>
                        <w:rPr>
                          <w:rFonts w:ascii="Cambria Math" w:hAnsi="Cambria Math"/>
                        </w:rPr>
                      </m:ctrlPr>
                    </m:sSubPr>
                    <m:e>
                      <m:r>
                        <w:rPr>
                          <w:rFonts w:ascii="Cambria Math" w:hAnsi="Cambria Math"/>
                        </w:rPr>
                        <m:t>q</m:t>
                      </m:r>
                    </m:e>
                    <m:sub>
                      <m:r>
                        <w:rPr>
                          <w:rFonts w:ascii="Cambria Math" w:hAnsi="Cambria Math"/>
                        </w:rPr>
                        <m:t>l</m:t>
                      </m:r>
                    </m:sub>
                  </m:sSub>
                </m:e>
              </m:nary>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m:rPr>
                  <m:nor/>
                </m:rPr>
                <m:t>Var</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oMath>
      </m:oMathPara>
    </w:p>
    <w:p w14:paraId="5719DDBB" w14:textId="77777777" w:rsidR="001278C0" w:rsidRDefault="00000000">
      <w:r>
        <w:t xml:space="preserve">We need </w:t>
      </w:r>
      <m:oMath>
        <m:r>
          <m:rPr>
            <m:nor/>
          </m:rPr>
          <m:t>Var</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oMath>
      <w:r>
        <w:t xml:space="preserve">. Using the identity </w:t>
      </w:r>
      <m:oMath>
        <m:r>
          <m:rPr>
            <m:nor/>
          </m:rPr>
          <m:t>Var</m:t>
        </m:r>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X</m:t>
                    </m:r>
                  </m:e>
                </m:d>
              </m:e>
            </m:d>
          </m:e>
          <m:sup>
            <m:r>
              <w:rPr>
                <w:rFonts w:ascii="Cambria Math" w:hAnsi="Cambria Math"/>
              </w:rPr>
              <m:t>2</m:t>
            </m:r>
          </m:sup>
        </m:sSup>
      </m:oMath>
      <w:r>
        <w:t>:</w:t>
      </w:r>
    </w:p>
    <w:p w14:paraId="165C2A46" w14:textId="77777777" w:rsidR="001278C0" w:rsidRDefault="00000000">
      <m:oMathPara>
        <m:oMathParaPr>
          <m:jc m:val="center"/>
        </m:oMathParaPr>
        <m:oMath>
          <m:r>
            <m:rPr>
              <m:nor/>
            </m:rPr>
            <m:t>Var</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e>
              </m:d>
            </m:e>
            <m:sup>
              <m:r>
                <w:rPr>
                  <w:rFonts w:ascii="Cambria Math" w:hAnsi="Cambria Math"/>
                </w:rPr>
                <m:t>2</m:t>
              </m:r>
            </m:sup>
          </m:sSup>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l</m:t>
                  </m:r>
                </m:sub>
                <m:sup>
                  <m:r>
                    <w:rPr>
                      <w:rFonts w:ascii="Cambria Math" w:hAnsi="Cambria Math"/>
                    </w:rPr>
                    <m:t>2</m:t>
                  </m:r>
                </m:sup>
              </m:sSubSup>
              <m:sSubSup>
                <m:sSubSupPr>
                  <m:ctrlPr>
                    <w:rPr>
                      <w:rFonts w:ascii="Cambria Math" w:hAnsi="Cambria Math"/>
                    </w:rPr>
                  </m:ctrlPr>
                </m:sSubSupPr>
                <m:e>
                  <m:r>
                    <w:rPr>
                      <w:rFonts w:ascii="Cambria Math" w:hAnsi="Cambria Math"/>
                    </w:rPr>
                    <m:t>k</m:t>
                  </m:r>
                </m:e>
                <m:sub>
                  <m:r>
                    <w:rPr>
                      <w:rFonts w:ascii="Cambria Math" w:hAnsi="Cambria Math"/>
                    </w:rPr>
                    <m:t>l</m:t>
                  </m:r>
                </m:sub>
                <m:sup>
                  <m:r>
                    <w:rPr>
                      <w:rFonts w:ascii="Cambria Math" w:hAnsi="Cambria Math"/>
                    </w:rPr>
                    <m:t>2</m:t>
                  </m:r>
                </m:sup>
              </m:sSubSup>
            </m:e>
          </m:d>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l</m:t>
                  </m:r>
                </m:sub>
                <m:sup>
                  <m:r>
                    <w:rPr>
                      <w:rFonts w:ascii="Cambria Math" w:hAnsi="Cambria Math"/>
                    </w:rPr>
                    <m:t>2</m:t>
                  </m:r>
                </m:sup>
              </m:sSubSup>
              <m:sSubSup>
                <m:sSubSupPr>
                  <m:ctrlPr>
                    <w:rPr>
                      <w:rFonts w:ascii="Cambria Math" w:hAnsi="Cambria Math"/>
                    </w:rPr>
                  </m:ctrlPr>
                </m:sSubSupPr>
                <m:e>
                  <m:r>
                    <w:rPr>
                      <w:rFonts w:ascii="Cambria Math" w:hAnsi="Cambria Math"/>
                    </w:rPr>
                    <m:t>k</m:t>
                  </m:r>
                </m:e>
                <m:sub>
                  <m:r>
                    <w:rPr>
                      <w:rFonts w:ascii="Cambria Math" w:hAnsi="Cambria Math"/>
                    </w:rPr>
                    <m:t>l</m:t>
                  </m:r>
                </m:sub>
                <m:sup>
                  <m:r>
                    <w:rPr>
                      <w:rFonts w:ascii="Cambria Math" w:hAnsi="Cambria Math"/>
                    </w:rPr>
                    <m:t>2</m:t>
                  </m:r>
                </m:sup>
              </m:sSubSup>
            </m:e>
          </m:d>
        </m:oMath>
      </m:oMathPara>
    </w:p>
    <w:p w14:paraId="68CE8303" w14:textId="77777777" w:rsidR="001278C0" w:rsidRDefault="00000000">
      <w:r>
        <w:t xml:space="preserve">Since </w:t>
      </w:r>
      <m:oMath>
        <m:sSub>
          <m:sSubPr>
            <m:ctrlPr>
              <w:rPr>
                <w:rFonts w:ascii="Cambria Math" w:hAnsi="Cambria Math"/>
              </w:rPr>
            </m:ctrlPr>
          </m:sSubPr>
          <m:e>
            <m:r>
              <w:rPr>
                <w:rFonts w:ascii="Cambria Math" w:hAnsi="Cambria Math"/>
              </w:rPr>
              <m:t>q</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l</m:t>
            </m:r>
          </m:sub>
        </m:sSub>
      </m:oMath>
      <w:r>
        <w:t xml:space="preserve"> are independent:</w:t>
      </w:r>
    </w:p>
    <w:p w14:paraId="55850426" w14:textId="77777777" w:rsidR="001278C0" w:rsidRDefault="00000000">
      <m:oMathPara>
        <m:oMathParaPr>
          <m:jc m:val="center"/>
        </m:oMathParaPr>
        <m:oMath>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l</m:t>
                  </m:r>
                </m:sub>
                <m:sup>
                  <m:r>
                    <w:rPr>
                      <w:rFonts w:ascii="Cambria Math" w:hAnsi="Cambria Math"/>
                    </w:rPr>
                    <m:t>2</m:t>
                  </m:r>
                </m:sup>
              </m:sSubSup>
              <m:sSubSup>
                <m:sSubSupPr>
                  <m:ctrlPr>
                    <w:rPr>
                      <w:rFonts w:ascii="Cambria Math" w:hAnsi="Cambria Math"/>
                    </w:rPr>
                  </m:ctrlPr>
                </m:sSubSupPr>
                <m:e>
                  <m:r>
                    <w:rPr>
                      <w:rFonts w:ascii="Cambria Math" w:hAnsi="Cambria Math"/>
                    </w:rPr>
                    <m:t>k</m:t>
                  </m:r>
                </m:e>
                <m:sub>
                  <m:r>
                    <w:rPr>
                      <w:rFonts w:ascii="Cambria Math" w:hAnsi="Cambria Math"/>
                    </w:rPr>
                    <m:t>l</m:t>
                  </m:r>
                </m:sub>
                <m:sup>
                  <m:r>
                    <w:rPr>
                      <w:rFonts w:ascii="Cambria Math" w:hAnsi="Cambria Math"/>
                    </w:rPr>
                    <m:t>2</m:t>
                  </m:r>
                </m:sup>
              </m:sSubSup>
            </m:e>
          </m:d>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l</m:t>
                  </m:r>
                </m:sub>
                <m:sup>
                  <m:r>
                    <w:rPr>
                      <w:rFonts w:ascii="Cambria Math" w:hAnsi="Cambria Math"/>
                    </w:rPr>
                    <m:t>2</m:t>
                  </m:r>
                </m:sup>
              </m:sSubSup>
            </m:e>
          </m:d>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l</m:t>
                  </m:r>
                </m:sub>
                <m:sup>
                  <m:r>
                    <w:rPr>
                      <w:rFonts w:ascii="Cambria Math" w:hAnsi="Cambria Math"/>
                    </w:rPr>
                    <m:t>2</m:t>
                  </m:r>
                </m:sup>
              </m:sSubSup>
            </m:e>
          </m:d>
        </m:oMath>
      </m:oMathPara>
    </w:p>
    <w:p w14:paraId="6AFCFB85" w14:textId="77777777" w:rsidR="001278C0" w:rsidRDefault="00000000">
      <w:r>
        <w:t xml:space="preserve">Now, </w:t>
      </w:r>
      <m:oMath>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l</m:t>
                </m:r>
              </m:sub>
              <m:sup>
                <m:r>
                  <w:rPr>
                    <w:rFonts w:ascii="Cambria Math" w:hAnsi="Cambria Math"/>
                  </w:rPr>
                  <m:t>2</m:t>
                </m:r>
              </m:sup>
            </m:sSubSup>
          </m:e>
        </m:d>
        <m:r>
          <m:rPr>
            <m:sty m:val="p"/>
          </m:rPr>
          <w:rPr>
            <w:rFonts w:ascii="Cambria Math" w:hAnsi="Cambria Math"/>
          </w:rPr>
          <m:t>=</m:t>
        </m:r>
        <m:r>
          <m:rPr>
            <m:nor/>
          </m:rPr>
          <m:t>Var</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e>
                </m:d>
              </m:e>
            </m:d>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oMath>
      <w:r>
        <w:t xml:space="preserve">, and similarly </w:t>
      </w:r>
      <m:oMath>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l</m:t>
                </m:r>
              </m:sub>
              <m:sup>
                <m:r>
                  <w:rPr>
                    <w:rFonts w:ascii="Cambria Math" w:hAnsi="Cambria Math"/>
                  </w:rPr>
                  <m:t>2</m:t>
                </m:r>
              </m:sup>
            </m:sSubSup>
          </m:e>
        </m:d>
        <m:r>
          <m:rPr>
            <m:sty m:val="p"/>
          </m:rPr>
          <w:rPr>
            <w:rFonts w:ascii="Cambria Math" w:hAnsi="Cambria Math"/>
          </w:rPr>
          <m:t>=</m:t>
        </m:r>
        <m:r>
          <w:rPr>
            <w:rFonts w:ascii="Cambria Math" w:hAnsi="Cambria Math"/>
          </w:rPr>
          <m:t>1</m:t>
        </m:r>
      </m:oMath>
      <w:r>
        <w:t>.</w:t>
      </w:r>
    </w:p>
    <w:p w14:paraId="064A15BB" w14:textId="77777777" w:rsidR="001278C0" w:rsidRDefault="00000000">
      <w:r>
        <w:t>Therefore:</w:t>
      </w:r>
    </w:p>
    <w:p w14:paraId="63305683" w14:textId="77777777" w:rsidR="001278C0" w:rsidRDefault="00000000">
      <m:oMathPara>
        <m:oMathParaPr>
          <m:jc m:val="center"/>
        </m:oMathParaPr>
        <m:oMath>
          <m:r>
            <m:rPr>
              <m:nor/>
            </m:rPr>
            <m:t>Var</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oMath>
      </m:oMathPara>
    </w:p>
    <w:p w14:paraId="5073C68A" w14:textId="77777777" w:rsidR="001278C0" w:rsidRDefault="00000000">
      <w:r>
        <w:t xml:space="preserve">Summing over all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components:</w:t>
      </w:r>
    </w:p>
    <w:p w14:paraId="04948C01" w14:textId="77777777" w:rsidR="001278C0" w:rsidRDefault="00000000">
      <m:oMathPara>
        <m:oMathParaPr>
          <m:jc m:val="center"/>
        </m:oMathParaPr>
        <m:oMath>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d</m:t>
                  </m:r>
                </m:e>
                <m:sub>
                  <m:r>
                    <w:rPr>
                      <w:rFonts w:ascii="Cambria Math" w:hAnsi="Cambria Math"/>
                    </w:rPr>
                    <m:t>k</m:t>
                  </m:r>
                </m:sub>
              </m:sSub>
            </m:sup>
            <m:e>
              <m: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  </m:t>
          </m:r>
          <m:r>
            <m:rPr>
              <m:sty m:val="p"/>
            </m:rPr>
            <w:rPr>
              <w:rFonts w:ascii="Cambria Math" w:hAnsi="Cambria Math"/>
            </w:rPr>
            <m:t>◼</m:t>
          </m:r>
        </m:oMath>
      </m:oMathPara>
    </w:p>
    <w:p w14:paraId="51CBBD1B" w14:textId="77777777" w:rsidR="001278C0" w:rsidRDefault="00000000">
      <w:r>
        <w:t xml:space="preserve">The variance of the dot product is exactly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The standard deviation is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p w14:paraId="10229E3C" w14:textId="77777777" w:rsidR="001278C0" w:rsidRDefault="00DC790C">
      <w:r>
        <w:rPr>
          <w:noProof/>
        </w:rPr>
      </w:r>
      <w:r>
        <w:pict w14:anchorId="4375EAF1">
          <v:rect id="Horizontal Line 5"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B1D2D14" w14:textId="77777777" w:rsidR="001278C0" w:rsidRDefault="00000000">
      <w:pPr>
        <w:pStyle w:val="Heading2"/>
      </w:pPr>
      <w:bookmarkStart w:id="6" w:name="consequences-the-saturation-problem"/>
      <w:bookmarkEnd w:id="5"/>
      <w:r>
        <w:t>5. Consequences: The Saturation Problem</w:t>
      </w:r>
    </w:p>
    <w:p w14:paraId="49572478" w14:textId="77777777" w:rsidR="001278C0" w:rsidRDefault="00000000">
      <w:r>
        <w:rPr>
          <w:b/>
          <w:bCs/>
        </w:rPr>
        <w:t>The magnitude of typical dot products.</w:t>
      </w:r>
      <w:r>
        <w:t xml:space="preserve"> Since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r>
        <w:t xml:space="preserve"> has mean 0 and standard deviation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typical dot product values are of order </w:t>
      </w:r>
      <m:oMath>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p w14:paraId="2F1EDF05" w14:textId="77777777" w:rsidR="001278C0" w:rsidRDefault="00000000">
      <w:r>
        <w:rPr>
          <w:b/>
          <w:bCs/>
        </w:rPr>
        <w:t>Numerical examples: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1652"/>
        <w:gridCol w:w="1253"/>
        <w:gridCol w:w="1841"/>
      </w:tblGrid>
      <w:tr w:rsidR="001278C0" w14:paraId="3C879B07" w14:textId="77777777">
        <w:tblPrEx>
          <w:tblCellMar>
            <w:top w:w="0" w:type="dxa"/>
            <w:bottom w:w="0" w:type="dxa"/>
          </w:tblCellMar>
        </w:tblPrEx>
        <w:trPr>
          <w:tblHeader/>
        </w:trPr>
        <w:tc>
          <w:tcPr>
            <w:tcW w:w="0" w:type="auto"/>
          </w:tcPr>
          <w:p w14:paraId="4E5E8AF9" w14:textId="77777777" w:rsidR="001278C0" w:rsidRDefault="00000000">
            <w:r>
              <w:t xml:space="preserve">Key dimension </w:t>
            </w:r>
            <m:oMath>
              <m:sSub>
                <m:sSubPr>
                  <m:ctrlPr>
                    <w:rPr>
                      <w:rFonts w:ascii="Cambria Math" w:hAnsi="Cambria Math"/>
                    </w:rPr>
                  </m:ctrlPr>
                </m:sSubPr>
                <m:e>
                  <m:r>
                    <w:rPr>
                      <w:rFonts w:ascii="Cambria Math" w:hAnsi="Cambria Math"/>
                    </w:rPr>
                    <m:t>d</m:t>
                  </m:r>
                </m:e>
                <m:sub>
                  <m:r>
                    <w:rPr>
                      <w:rFonts w:ascii="Cambria Math" w:hAnsi="Cambria Math"/>
                    </w:rPr>
                    <m:t>k</m:t>
                  </m:r>
                </m:sub>
              </m:sSub>
            </m:oMath>
          </w:p>
        </w:tc>
        <w:tc>
          <w:tcPr>
            <w:tcW w:w="0" w:type="auto"/>
          </w:tcPr>
          <w:p w14:paraId="1C06493A" w14:textId="77777777" w:rsidR="001278C0" w:rsidRDefault="00000000">
            <w:r>
              <w:t xml:space="preserve">Std. dev.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p>
        </w:tc>
        <w:tc>
          <w:tcPr>
            <w:tcW w:w="0" w:type="auto"/>
          </w:tcPr>
          <w:p w14:paraId="3833F696" w14:textId="77777777" w:rsidR="001278C0" w:rsidRDefault="00000000">
            <w:r>
              <w:t>Typical dot products</w:t>
            </w:r>
          </w:p>
        </w:tc>
      </w:tr>
      <w:tr w:rsidR="001278C0" w14:paraId="03977557" w14:textId="77777777">
        <w:tblPrEx>
          <w:tblCellMar>
            <w:top w:w="0" w:type="dxa"/>
            <w:bottom w:w="0" w:type="dxa"/>
          </w:tblCellMar>
        </w:tblPrEx>
        <w:tc>
          <w:tcPr>
            <w:tcW w:w="0" w:type="auto"/>
          </w:tcPr>
          <w:p w14:paraId="395340C6" w14:textId="77777777" w:rsidR="001278C0" w:rsidRDefault="00000000">
            <w:r>
              <w:t>4</w:t>
            </w:r>
          </w:p>
        </w:tc>
        <w:tc>
          <w:tcPr>
            <w:tcW w:w="0" w:type="auto"/>
          </w:tcPr>
          <w:p w14:paraId="49E8AE9E" w14:textId="77777777" w:rsidR="001278C0" w:rsidRDefault="00000000">
            <w:r>
              <w:t>2</w:t>
            </w:r>
          </w:p>
        </w:tc>
        <w:tc>
          <w:tcPr>
            <w:tcW w:w="0" w:type="auto"/>
          </w:tcPr>
          <w:p w14:paraId="7E7FB032" w14:textId="77777777" w:rsidR="001278C0" w:rsidRDefault="00000000">
            <w:r>
              <w:t>±2</w:t>
            </w:r>
          </w:p>
        </w:tc>
      </w:tr>
      <w:tr w:rsidR="001278C0" w14:paraId="2F8B78C2" w14:textId="77777777">
        <w:tblPrEx>
          <w:tblCellMar>
            <w:top w:w="0" w:type="dxa"/>
            <w:bottom w:w="0" w:type="dxa"/>
          </w:tblCellMar>
        </w:tblPrEx>
        <w:tc>
          <w:tcPr>
            <w:tcW w:w="0" w:type="auto"/>
          </w:tcPr>
          <w:p w14:paraId="647D31CB" w14:textId="77777777" w:rsidR="001278C0" w:rsidRDefault="00000000">
            <w:r>
              <w:t>64</w:t>
            </w:r>
          </w:p>
        </w:tc>
        <w:tc>
          <w:tcPr>
            <w:tcW w:w="0" w:type="auto"/>
          </w:tcPr>
          <w:p w14:paraId="31EC1283" w14:textId="77777777" w:rsidR="001278C0" w:rsidRDefault="00000000">
            <w:r>
              <w:t>8</w:t>
            </w:r>
          </w:p>
        </w:tc>
        <w:tc>
          <w:tcPr>
            <w:tcW w:w="0" w:type="auto"/>
          </w:tcPr>
          <w:p w14:paraId="488EF64B" w14:textId="77777777" w:rsidR="001278C0" w:rsidRDefault="00000000">
            <w:r>
              <w:t>±8</w:t>
            </w:r>
          </w:p>
        </w:tc>
      </w:tr>
      <w:tr w:rsidR="001278C0" w14:paraId="0FD3F8BE" w14:textId="77777777">
        <w:tblPrEx>
          <w:tblCellMar>
            <w:top w:w="0" w:type="dxa"/>
            <w:bottom w:w="0" w:type="dxa"/>
          </w:tblCellMar>
        </w:tblPrEx>
        <w:tc>
          <w:tcPr>
            <w:tcW w:w="0" w:type="auto"/>
          </w:tcPr>
          <w:p w14:paraId="14A47854" w14:textId="77777777" w:rsidR="001278C0" w:rsidRDefault="00000000">
            <w:r>
              <w:t>128</w:t>
            </w:r>
          </w:p>
        </w:tc>
        <w:tc>
          <w:tcPr>
            <w:tcW w:w="0" w:type="auto"/>
          </w:tcPr>
          <w:p w14:paraId="04A8FDCB" w14:textId="77777777" w:rsidR="001278C0" w:rsidRDefault="00000000">
            <w:r>
              <w:t>11.3</w:t>
            </w:r>
          </w:p>
        </w:tc>
        <w:tc>
          <w:tcPr>
            <w:tcW w:w="0" w:type="auto"/>
          </w:tcPr>
          <w:p w14:paraId="621D0EF7" w14:textId="77777777" w:rsidR="001278C0" w:rsidRDefault="00000000">
            <w:r>
              <w:t>±11</w:t>
            </w:r>
          </w:p>
        </w:tc>
      </w:tr>
      <w:tr w:rsidR="001278C0" w14:paraId="07F7F35C" w14:textId="77777777">
        <w:tblPrEx>
          <w:tblCellMar>
            <w:top w:w="0" w:type="dxa"/>
            <w:bottom w:w="0" w:type="dxa"/>
          </w:tblCellMar>
        </w:tblPrEx>
        <w:tc>
          <w:tcPr>
            <w:tcW w:w="0" w:type="auto"/>
          </w:tcPr>
          <w:p w14:paraId="51FA50C9" w14:textId="77777777" w:rsidR="001278C0" w:rsidRDefault="00000000">
            <w:r>
              <w:t>512</w:t>
            </w:r>
          </w:p>
        </w:tc>
        <w:tc>
          <w:tcPr>
            <w:tcW w:w="0" w:type="auto"/>
          </w:tcPr>
          <w:p w14:paraId="0AFA1EF7" w14:textId="77777777" w:rsidR="001278C0" w:rsidRDefault="00000000">
            <w:r>
              <w:t>22.6</w:t>
            </w:r>
          </w:p>
        </w:tc>
        <w:tc>
          <w:tcPr>
            <w:tcW w:w="0" w:type="auto"/>
          </w:tcPr>
          <w:p w14:paraId="3882AB72" w14:textId="77777777" w:rsidR="001278C0" w:rsidRDefault="00000000">
            <w:r>
              <w:t>±23</w:t>
            </w:r>
          </w:p>
        </w:tc>
      </w:tr>
    </w:tbl>
    <w:p w14:paraId="4E3FB3B6" w14:textId="77777777" w:rsidR="001278C0" w:rsidRDefault="00000000">
      <w:r>
        <w:rPr>
          <w:b/>
          <w:bCs/>
        </w:rPr>
        <w:t>Effect on softmax.</w:t>
      </w:r>
      <w:r>
        <w:t xml:space="preserve"> Recall from Lecture 1 (Derivation Guide 4, §11) that the probability ratio between two candidates is:</w:t>
      </w:r>
    </w:p>
    <w:p w14:paraId="7CDE3C28" w14:textId="77777777" w:rsidR="001278C0" w:rsidRDefault="00000000">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A</m:t>
                  </m:r>
                </m:sub>
              </m:sSub>
            </m:num>
            <m:den>
              <m:sSub>
                <m:sSubPr>
                  <m:ctrlPr>
                    <w:rPr>
                      <w:rFonts w:ascii="Cambria Math" w:hAnsi="Cambria Math"/>
                    </w:rPr>
                  </m:ctrlPr>
                </m:sSubPr>
                <m:e>
                  <m:r>
                    <w:rPr>
                      <w:rFonts w:ascii="Cambria Math" w:hAnsi="Cambria Math"/>
                    </w:rPr>
                    <m:t>P</m:t>
                  </m:r>
                </m:e>
                <m:sub>
                  <m:r>
                    <w:rPr>
                      <w:rFonts w:ascii="Cambria Math" w:hAnsi="Cambria Math"/>
                    </w:rPr>
                    <m:t>B</m:t>
                  </m:r>
                </m:sub>
              </m:sSub>
            </m:den>
          </m:f>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e>
          </m:d>
        </m:oMath>
      </m:oMathPara>
    </w:p>
    <w:p w14:paraId="74B6D213" w14:textId="77777777" w:rsidR="001278C0" w:rsidRDefault="00000000">
      <w:r>
        <w:t xml:space="preserve">If typical scores are </w:t>
      </w:r>
      <m:oMath>
        <m:r>
          <m:rPr>
            <m:sty m:val="p"/>
          </m:rPr>
          <w:rPr>
            <w:rFonts w:ascii="Cambria Math" w:hAnsi="Cambria Math"/>
          </w:rPr>
          <m:t>±</m:t>
        </m:r>
        <m:r>
          <w:rPr>
            <w:rFonts w:ascii="Cambria Math" w:hAnsi="Cambria Math"/>
          </w:rPr>
          <m:t>23</m:t>
        </m:r>
      </m:oMath>
      <w:r>
        <w:t xml:space="preserve">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 then a typical score difference is of order 46. The probability ratio is:</w:t>
      </w:r>
    </w:p>
    <w:p w14:paraId="24A6135F" w14:textId="77777777" w:rsidR="001278C0" w:rsidRDefault="00000000">
      <m:oMathPara>
        <m:oMathParaPr>
          <m:jc m:val="center"/>
        </m:oMathParaPr>
        <m:oMath>
          <m:r>
            <m:rPr>
              <m:sty m:val="p"/>
            </m:rPr>
            <w:rPr>
              <w:rFonts w:ascii="Cambria Math" w:hAnsi="Cambria Math"/>
            </w:rPr>
            <m:t>exp</m:t>
          </m:r>
          <m:d>
            <m:dPr>
              <m:ctrlPr>
                <w:rPr>
                  <w:rFonts w:ascii="Cambria Math" w:hAnsi="Cambria Math"/>
                </w:rPr>
              </m:ctrlPr>
            </m:dPr>
            <m:e>
              <m:r>
                <w:rPr>
                  <w:rFonts w:ascii="Cambria Math" w:hAnsi="Cambria Math"/>
                </w:rPr>
                <m:t>46</m:t>
              </m:r>
            </m:e>
          </m:d>
          <m:r>
            <m:rPr>
              <m:sty m:val="p"/>
            </m:rPr>
            <w:rPr>
              <w:rFonts w:ascii="Cambria Math" w:hAnsi="Cambria Math"/>
            </w:rPr>
            <m:t>≈</m:t>
          </m:r>
          <m:r>
            <w:rPr>
              <w:rFonts w:ascii="Cambria Math" w:hAnsi="Cambria Math"/>
            </w:rPr>
            <m:t>9.5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19</m:t>
              </m:r>
            </m:sup>
          </m:sSup>
        </m:oMath>
      </m:oMathPara>
    </w:p>
    <w:p w14:paraId="1241EFB8" w14:textId="77777777" w:rsidR="001278C0" w:rsidRDefault="00000000">
      <w:r>
        <w:t>This means the highest-scoring key receives essentially all the probability (</w:t>
      </w:r>
      <m:oMath>
        <m:r>
          <w:rPr>
            <w:rFonts w:ascii="Cambria Math" w:hAnsi="Cambria Math"/>
          </w:rPr>
          <m:t>P</m:t>
        </m:r>
        <m:r>
          <m:rPr>
            <m:sty m:val="p"/>
          </m:rPr>
          <w:rPr>
            <w:rFonts w:ascii="Cambria Math" w:hAnsi="Cambria Math"/>
          </w:rPr>
          <m:t>≈</m:t>
        </m:r>
        <m:r>
          <w:rPr>
            <w:rFonts w:ascii="Cambria Math" w:hAnsi="Cambria Math"/>
          </w:rPr>
          <m:t>1</m:t>
        </m:r>
      </m:oMath>
      <w:r>
        <w:t xml:space="preserve">), and all other keys receive </w:t>
      </w:r>
      <m:oMath>
        <m:r>
          <w:rPr>
            <w:rFonts w:ascii="Cambria Math" w:hAnsi="Cambria Math"/>
          </w:rPr>
          <m:t>P</m:t>
        </m:r>
        <m:r>
          <m:rPr>
            <m:sty m:val="p"/>
          </m:rPr>
          <w:rPr>
            <w:rFonts w:ascii="Cambria Math" w:hAnsi="Cambria Math"/>
          </w:rPr>
          <m:t>≈</m:t>
        </m:r>
        <m:r>
          <w:rPr>
            <w:rFonts w:ascii="Cambria Math" w:hAnsi="Cambria Math"/>
          </w:rPr>
          <m:t>0</m:t>
        </m:r>
      </m:oMath>
      <w:r>
        <w:t>. The softmax output is a near-one-hot vector.</w:t>
      </w:r>
    </w:p>
    <w:p w14:paraId="06960EE9" w14:textId="77777777" w:rsidR="001278C0" w:rsidRDefault="00000000">
      <w:r>
        <w:rPr>
          <w:b/>
          <w:bCs/>
        </w:rPr>
        <w:t>Why this is a problem:</w:t>
      </w:r>
    </w:p>
    <w:p w14:paraId="45C6A270" w14:textId="77777777" w:rsidR="001278C0" w:rsidRDefault="00000000">
      <w:pPr>
        <w:numPr>
          <w:ilvl w:val="0"/>
          <w:numId w:val="3"/>
        </w:numPr>
      </w:pPr>
      <w:r>
        <w:rPr>
          <w:b/>
          <w:bCs/>
        </w:rPr>
        <w:t>Loss of information.</w:t>
      </w:r>
      <w:r>
        <w:t xml:space="preserve"> The attention output becomes approximately equal to a single value vector (</w:t>
      </w:r>
      <m:oMath>
        <m:sSub>
          <m:sSubPr>
            <m:ctrlPr>
              <w:rPr>
                <w:rFonts w:ascii="Cambria Math" w:hAnsi="Cambria Math"/>
              </w:rPr>
            </m:ctrlPr>
          </m:sSubPr>
          <m:e>
            <m:r>
              <m:rPr>
                <m:sty m:val="b"/>
              </m:rP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v</m:t>
            </m:r>
          </m:e>
          <m:sub>
            <m:r>
              <m:rPr>
                <m:nor/>
              </m:rPr>
              <m:t>argmax</m:t>
            </m:r>
          </m:sub>
        </m:sSub>
      </m:oMath>
      <w:r>
        <w:t>) rather than a weighted average. The model cannot blend information from multiple positions.</w:t>
      </w:r>
    </w:p>
    <w:p w14:paraId="70527974" w14:textId="77777777" w:rsidR="001278C0" w:rsidRDefault="00000000">
      <w:pPr>
        <w:numPr>
          <w:ilvl w:val="0"/>
          <w:numId w:val="3"/>
        </w:numPr>
      </w:pPr>
      <w:r>
        <w:rPr>
          <w:b/>
          <w:bCs/>
        </w:rPr>
        <w:t>Vanishing gradients.</w:t>
      </w:r>
      <w:r>
        <w:t xml:space="preserve"> When softmax saturates, the gradient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oMath>
      <w:r>
        <w:t xml:space="preserve"> approaches zero for all </w:t>
      </w:r>
      <m:oMath>
        <m:r>
          <w:rPr>
            <w:rFonts w:ascii="Cambria Math" w:hAnsi="Cambria Math"/>
          </w:rPr>
          <m:t>j</m:t>
        </m:r>
      </m:oMath>
      <w:r>
        <w:t xml:space="preserve"> (both the winner and the losers). The model stops learning because gradient descent has no signal to follow.</w:t>
      </w:r>
    </w:p>
    <w:p w14:paraId="270A3E05" w14:textId="77777777" w:rsidR="001278C0" w:rsidRDefault="00000000">
      <w:pPr>
        <w:numPr>
          <w:ilvl w:val="0"/>
          <w:numId w:val="3"/>
        </w:numPr>
      </w:pPr>
      <w:r>
        <w:rPr>
          <w:b/>
          <w:bCs/>
        </w:rPr>
        <w:t>Effective argmax.</w:t>
      </w:r>
      <w:r>
        <w:t xml:space="preserve"> The soft, probabilistic selection that makes attention powerful degenerates into hard, deterministic selection. The model loses the ability to express uncertainty about which positions are relevant.</w:t>
      </w:r>
    </w:p>
    <w:p w14:paraId="4EFA086D" w14:textId="77777777" w:rsidR="001278C0" w:rsidRDefault="00DC790C">
      <w:r>
        <w:rPr>
          <w:noProof/>
        </w:rPr>
      </w:r>
      <w:r>
        <w:pict w14:anchorId="47541CF4">
          <v:rect id="Horizontal Line 6"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92229CB" w14:textId="77777777" w:rsidR="001278C0" w:rsidRDefault="00000000">
      <w:pPr>
        <w:pStyle w:val="Heading2"/>
      </w:pPr>
      <w:bookmarkStart w:id="7" w:name="the-solution-scale-by-sqrtd_k"/>
      <w:bookmarkEnd w:id="6"/>
      <w:r>
        <w:lastRenderedPageBreak/>
        <w:t xml:space="preserve">6. The Solution: Scale by </w:t>
      </w:r>
      <m:oMath>
        <m:rad>
          <m:radPr>
            <m:degHide m:val="1"/>
            <m:ctrlPr>
              <w:rPr>
                <w:rFonts w:ascii="Cambria Math" w:hAnsi="Cambria Math"/>
              </w:rPr>
            </m:ctrlPr>
          </m:radPr>
          <m:deg/>
          <m:e>
            <m:sSub>
              <m:sSubPr>
                <m:ctrlPr>
                  <w:rPr>
                    <w:rFonts w:ascii="Cambria Math" w:hAnsi="Cambria Math"/>
                  </w:rPr>
                </m:ctrlPr>
              </m:sSubPr>
              <m:e>
                <m:r>
                  <m:rPr>
                    <m:sty m:val="bi"/>
                  </m:rPr>
                  <w:rPr>
                    <w:rFonts w:ascii="Cambria Math" w:hAnsi="Cambria Math"/>
                  </w:rPr>
                  <m:t>d</m:t>
                </m:r>
              </m:e>
              <m:sub>
                <m:r>
                  <m:rPr>
                    <m:sty m:val="bi"/>
                  </m:rPr>
                  <w:rPr>
                    <w:rFonts w:ascii="Cambria Math" w:hAnsi="Cambria Math"/>
                  </w:rPr>
                  <m:t>k</m:t>
                </m:r>
              </m:sub>
            </m:sSub>
          </m:e>
        </m:rad>
      </m:oMath>
    </w:p>
    <w:p w14:paraId="5EAA35AC" w14:textId="77777777" w:rsidR="001278C0" w:rsidRDefault="00000000">
      <w:r>
        <w:rPr>
          <w:b/>
          <w:bCs/>
        </w:rPr>
        <w:t>Claim.</w:t>
      </w:r>
      <w:r>
        <w:t xml:space="preserve"> Dividing the dot product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restores unit variance regardless of </w:t>
      </w:r>
      <m:oMath>
        <m:sSub>
          <m:sSubPr>
            <m:ctrlPr>
              <w:rPr>
                <w:rFonts w:ascii="Cambria Math" w:hAnsi="Cambria Math"/>
              </w:rPr>
            </m:ctrlPr>
          </m:sSubPr>
          <m:e>
            <m:r>
              <w:rPr>
                <w:rFonts w:ascii="Cambria Math" w:hAnsi="Cambria Math"/>
              </w:rPr>
              <m:t>d</m:t>
            </m:r>
          </m:e>
          <m:sub>
            <m:r>
              <w:rPr>
                <w:rFonts w:ascii="Cambria Math" w:hAnsi="Cambria Math"/>
              </w:rPr>
              <m:t>k</m:t>
            </m:r>
          </m:sub>
        </m:sSub>
      </m:oMath>
      <w:r>
        <w:t>.</w:t>
      </w:r>
    </w:p>
    <w:p w14:paraId="42D9FB06" w14:textId="77777777" w:rsidR="001278C0" w:rsidRDefault="00000000">
      <w:r>
        <w:rPr>
          <w:b/>
          <w:bCs/>
        </w:rPr>
        <w:t>Proof.</w:t>
      </w:r>
    </w:p>
    <w:p w14:paraId="3F7FF277" w14:textId="77777777" w:rsidR="001278C0" w:rsidRDefault="00000000">
      <m:oMathPara>
        <m:oMathParaPr>
          <m:jc m:val="center"/>
        </m:oMathParaPr>
        <m:oMath>
          <m:r>
            <m:rPr>
              <m:nor/>
            </m:rPr>
            <m:t>Var</m:t>
          </m:r>
          <m:r>
            <w:rPr>
              <w:rFonts w:ascii="Cambria Math" w:hAnsi="Cambria Math"/>
            </w:rPr>
            <m:t>​</m:t>
          </m:r>
          <m:d>
            <m:dPr>
              <m:ctrlPr>
                <w:rPr>
                  <w:rFonts w:ascii="Cambria Math" w:hAnsi="Cambria Math"/>
                </w:rPr>
              </m:ctrlPr>
            </m:dPr>
            <m:e>
              <m:f>
                <m:fPr>
                  <m:ctrlPr>
                    <w:rPr>
                      <w:rFonts w:ascii="Cambria Math" w:hAnsi="Cambria Math"/>
                    </w:rPr>
                  </m:ctrlPr>
                </m:fPr>
                <m:num>
                  <m:r>
                    <m:rPr>
                      <m:sty m:val="b"/>
                    </m:rPr>
                    <w:rPr>
                      <w:rFonts w:ascii="Cambria Math" w:hAnsi="Cambria Math"/>
                    </w:rPr>
                    <m:t>q</m:t>
                  </m:r>
                  <m:r>
                    <m:rPr>
                      <m:sty m:val="p"/>
                    </m:rPr>
                    <w:rPr>
                      <w:rFonts w:ascii="Cambria Math" w:hAnsi="Cambria Math"/>
                    </w:rPr>
                    <m:t>⋅</m:t>
                  </m:r>
                  <m:r>
                    <m:rPr>
                      <m:sty m:val="b"/>
                    </m:rPr>
                    <w:rPr>
                      <w:rFonts w:ascii="Cambria Math" w:hAnsi="Cambria Math"/>
                    </w:rPr>
                    <m:t>k</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k</m:t>
                  </m:r>
                </m:sub>
              </m:sSub>
            </m:den>
          </m:f>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k</m:t>
                  </m:r>
                </m:sub>
              </m:sSub>
            </m:den>
          </m:f>
          <m:r>
            <m:rPr>
              <m:sty m:val="p"/>
            </m:rPr>
            <w:rPr>
              <w:rFonts w:ascii="Cambria Math" w:hAnsi="Cambria Math"/>
            </w:rPr>
            <m:t>=</m:t>
          </m:r>
          <m:r>
            <w:rPr>
              <w:rFonts w:ascii="Cambria Math" w:hAnsi="Cambria Math"/>
            </w:rPr>
            <m:t>1  </m:t>
          </m:r>
          <m:r>
            <m:rPr>
              <m:sty m:val="p"/>
            </m:rPr>
            <w:rPr>
              <w:rFonts w:ascii="Cambria Math" w:hAnsi="Cambria Math"/>
            </w:rPr>
            <m:t>◼</m:t>
          </m:r>
        </m:oMath>
      </m:oMathPara>
    </w:p>
    <w:p w14:paraId="2A859E8A" w14:textId="77777777" w:rsidR="001278C0" w:rsidRDefault="00000000">
      <w:r>
        <w:t xml:space="preserve">After scaling, the typical score values are of order </w:t>
      </w:r>
      <m:oMath>
        <m:r>
          <m:rPr>
            <m:sty m:val="p"/>
          </m:rPr>
          <w:rPr>
            <w:rFonts w:ascii="Cambria Math" w:hAnsi="Cambria Math"/>
          </w:rPr>
          <m:t>±</m:t>
        </m:r>
        <m:r>
          <w:rPr>
            <w:rFonts w:ascii="Cambria Math" w:hAnsi="Cambria Math"/>
          </w:rPr>
          <m:t>1</m:t>
        </m:r>
      </m:oMath>
      <w:r>
        <w:t>, regardless of the key dimension. The softmax operates in its sensitive regime where score differences produce graded (not saturated) probabilities.</w:t>
      </w:r>
    </w:p>
    <w:p w14:paraId="631FEFC5" w14:textId="77777777" w:rsidR="001278C0" w:rsidRDefault="00000000">
      <w:r>
        <w:rPr>
          <w:b/>
          <w:bCs/>
        </w:rPr>
        <w:t xml:space="preserve">Numerical verification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rPr>
          <w:b/>
          <w:bCs/>
        </w:rPr>
        <w: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3603"/>
        <w:gridCol w:w="2513"/>
        <w:gridCol w:w="2900"/>
      </w:tblGrid>
      <w:tr w:rsidR="001278C0" w14:paraId="18D8F6D7" w14:textId="77777777">
        <w:tblPrEx>
          <w:tblCellMar>
            <w:top w:w="0" w:type="dxa"/>
            <w:bottom w:w="0" w:type="dxa"/>
          </w:tblCellMar>
        </w:tblPrEx>
        <w:trPr>
          <w:tblHeader/>
        </w:trPr>
        <w:tc>
          <w:tcPr>
            <w:tcW w:w="0" w:type="auto"/>
          </w:tcPr>
          <w:p w14:paraId="5B3E3806" w14:textId="77777777" w:rsidR="001278C0" w:rsidRDefault="001278C0"/>
        </w:tc>
        <w:tc>
          <w:tcPr>
            <w:tcW w:w="0" w:type="auto"/>
          </w:tcPr>
          <w:p w14:paraId="7CF827C0" w14:textId="77777777" w:rsidR="001278C0" w:rsidRDefault="00000000">
            <w:r>
              <w:t>Without scaling</w:t>
            </w:r>
          </w:p>
        </w:tc>
        <w:tc>
          <w:tcPr>
            <w:tcW w:w="0" w:type="auto"/>
          </w:tcPr>
          <w:p w14:paraId="5719EE54" w14:textId="77777777" w:rsidR="001278C0" w:rsidRDefault="00000000">
            <w:r>
              <w:t>With scaling</w:t>
            </w:r>
          </w:p>
        </w:tc>
      </w:tr>
      <w:tr w:rsidR="001278C0" w14:paraId="6130112B" w14:textId="77777777">
        <w:tblPrEx>
          <w:tblCellMar>
            <w:top w:w="0" w:type="dxa"/>
            <w:bottom w:w="0" w:type="dxa"/>
          </w:tblCellMar>
        </w:tblPrEx>
        <w:tc>
          <w:tcPr>
            <w:tcW w:w="0" w:type="auto"/>
          </w:tcPr>
          <w:p w14:paraId="56826647" w14:textId="77777777" w:rsidR="001278C0" w:rsidRDefault="00000000">
            <w:r>
              <w:t>Typical scores</w:t>
            </w:r>
          </w:p>
        </w:tc>
        <w:tc>
          <w:tcPr>
            <w:tcW w:w="0" w:type="auto"/>
          </w:tcPr>
          <w:p w14:paraId="639A9944" w14:textId="77777777" w:rsidR="001278C0" w:rsidRDefault="00000000">
            <m:oMathPara>
              <m:oMath>
                <m:r>
                  <m:rPr>
                    <m:sty m:val="p"/>
                  </m:rPr>
                  <w:rPr>
                    <w:rFonts w:ascii="Cambria Math" w:hAnsi="Cambria Math"/>
                  </w:rPr>
                  <m:t>±</m:t>
                </m:r>
                <m:r>
                  <w:rPr>
                    <w:rFonts w:ascii="Cambria Math" w:hAnsi="Cambria Math"/>
                  </w:rPr>
                  <m:t>23</m:t>
                </m:r>
              </m:oMath>
            </m:oMathPara>
          </w:p>
        </w:tc>
        <w:tc>
          <w:tcPr>
            <w:tcW w:w="0" w:type="auto"/>
          </w:tcPr>
          <w:p w14:paraId="3CF6BFFD" w14:textId="77777777" w:rsidR="001278C0" w:rsidRDefault="00000000">
            <m:oMathPara>
              <m:oMath>
                <m:r>
                  <m:rPr>
                    <m:sty m:val="p"/>
                  </m:rPr>
                  <w:rPr>
                    <w:rFonts w:ascii="Cambria Math" w:hAnsi="Cambria Math"/>
                  </w:rPr>
                  <m:t>±</m:t>
                </m:r>
                <m:r>
                  <w:rPr>
                    <w:rFonts w:ascii="Cambria Math" w:hAnsi="Cambria Math"/>
                  </w:rPr>
                  <m:t>1</m:t>
                </m:r>
              </m:oMath>
            </m:oMathPara>
          </w:p>
        </w:tc>
      </w:tr>
      <w:tr w:rsidR="001278C0" w14:paraId="1B48E72E" w14:textId="77777777">
        <w:tblPrEx>
          <w:tblCellMar>
            <w:top w:w="0" w:type="dxa"/>
            <w:bottom w:w="0" w:type="dxa"/>
          </w:tblCellMar>
        </w:tblPrEx>
        <w:tc>
          <w:tcPr>
            <w:tcW w:w="0" w:type="auto"/>
          </w:tcPr>
          <w:p w14:paraId="0C0F8AAC" w14:textId="77777777" w:rsidR="001278C0" w:rsidRDefault="00000000">
            <w:r>
              <w:t>Typical score difference</w:t>
            </w:r>
          </w:p>
        </w:tc>
        <w:tc>
          <w:tcPr>
            <w:tcW w:w="0" w:type="auto"/>
          </w:tcPr>
          <w:p w14:paraId="4B47991D" w14:textId="77777777" w:rsidR="001278C0" w:rsidRDefault="00000000">
            <m:oMathPara>
              <m:oMath>
                <m:r>
                  <m:rPr>
                    <m:sty m:val="p"/>
                  </m:rPr>
                  <w:rPr>
                    <w:rFonts w:ascii="Cambria Math" w:hAnsi="Cambria Math"/>
                  </w:rPr>
                  <m:t>∼</m:t>
                </m:r>
                <m:r>
                  <w:rPr>
                    <w:rFonts w:ascii="Cambria Math" w:hAnsi="Cambria Math"/>
                  </w:rPr>
                  <m:t>46</m:t>
                </m:r>
              </m:oMath>
            </m:oMathPara>
          </w:p>
        </w:tc>
        <w:tc>
          <w:tcPr>
            <w:tcW w:w="0" w:type="auto"/>
          </w:tcPr>
          <w:p w14:paraId="14C9C2F5" w14:textId="77777777" w:rsidR="001278C0" w:rsidRDefault="00000000">
            <m:oMathPara>
              <m:oMath>
                <m:r>
                  <m:rPr>
                    <m:sty m:val="p"/>
                  </m:rPr>
                  <w:rPr>
                    <w:rFonts w:ascii="Cambria Math" w:hAnsi="Cambria Math"/>
                  </w:rPr>
                  <m:t>∼</m:t>
                </m:r>
                <m:r>
                  <w:rPr>
                    <w:rFonts w:ascii="Cambria Math" w:hAnsi="Cambria Math"/>
                  </w:rPr>
                  <m:t>2</m:t>
                </m:r>
              </m:oMath>
            </m:oMathPara>
          </w:p>
        </w:tc>
      </w:tr>
      <w:tr w:rsidR="001278C0" w14:paraId="7E429D65" w14:textId="77777777">
        <w:tblPrEx>
          <w:tblCellMar>
            <w:top w:w="0" w:type="dxa"/>
            <w:bottom w:w="0" w:type="dxa"/>
          </w:tblCellMar>
        </w:tblPrEx>
        <w:tc>
          <w:tcPr>
            <w:tcW w:w="0" w:type="auto"/>
          </w:tcPr>
          <w:p w14:paraId="56D98FB3" w14:textId="77777777" w:rsidR="001278C0" w:rsidRDefault="00000000">
            <w:r>
              <w:t>Probability ratio</w:t>
            </w:r>
          </w:p>
        </w:tc>
        <w:tc>
          <w:tcPr>
            <w:tcW w:w="0" w:type="auto"/>
          </w:tcPr>
          <w:p w14:paraId="736AA482" w14:textId="77777777" w:rsidR="001278C0" w:rsidRDefault="00000000">
            <m:oMathPara>
              <m:oMath>
                <m:r>
                  <m:rPr>
                    <m:sty m:val="p"/>
                  </m:rPr>
                  <w:rPr>
                    <w:rFonts w:ascii="Cambria Math" w:hAnsi="Cambria Math"/>
                  </w:rPr>
                  <m:t>exp</m:t>
                </m:r>
                <m:d>
                  <m:dPr>
                    <m:ctrlPr>
                      <w:rPr>
                        <w:rFonts w:ascii="Cambria Math" w:hAnsi="Cambria Math"/>
                      </w:rPr>
                    </m:ctrlPr>
                  </m:dPr>
                  <m:e>
                    <m:r>
                      <w:rPr>
                        <w:rFonts w:ascii="Cambria Math" w:hAnsi="Cambria Math"/>
                      </w:rPr>
                      <m:t>46</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oMath>
            </m:oMathPara>
          </w:p>
        </w:tc>
        <w:tc>
          <w:tcPr>
            <w:tcW w:w="0" w:type="auto"/>
          </w:tcPr>
          <w:p w14:paraId="5D36114D" w14:textId="77777777" w:rsidR="001278C0" w:rsidRDefault="00000000">
            <m:oMathPara>
              <m:oMath>
                <m:r>
                  <m:rPr>
                    <m:sty m:val="p"/>
                  </m:rPr>
                  <w:rPr>
                    <w:rFonts w:ascii="Cambria Math" w:hAnsi="Cambria Math"/>
                  </w:rPr>
                  <m:t>exp</m:t>
                </m:r>
                <m:d>
                  <m:dPr>
                    <m:ctrlPr>
                      <w:rPr>
                        <w:rFonts w:ascii="Cambria Math" w:hAnsi="Cambria Math"/>
                      </w:rPr>
                    </m:ctrlPr>
                  </m:dPr>
                  <m:e>
                    <m:r>
                      <w:rPr>
                        <w:rFonts w:ascii="Cambria Math" w:hAnsi="Cambria Math"/>
                      </w:rPr>
                      <m:t>2</m:t>
                    </m:r>
                  </m:e>
                </m:d>
                <m:r>
                  <m:rPr>
                    <m:sty m:val="p"/>
                  </m:rPr>
                  <w:rPr>
                    <w:rFonts w:ascii="Cambria Math" w:hAnsi="Cambria Math"/>
                  </w:rPr>
                  <m:t>≈</m:t>
                </m:r>
                <m:r>
                  <w:rPr>
                    <w:rFonts w:ascii="Cambria Math" w:hAnsi="Cambria Math"/>
                  </w:rPr>
                  <m:t>7.4</m:t>
                </m:r>
              </m:oMath>
            </m:oMathPara>
          </w:p>
        </w:tc>
      </w:tr>
      <w:tr w:rsidR="001278C0" w14:paraId="587D8E80" w14:textId="77777777">
        <w:tblPrEx>
          <w:tblCellMar>
            <w:top w:w="0" w:type="dxa"/>
            <w:bottom w:w="0" w:type="dxa"/>
          </w:tblCellMar>
        </w:tblPrEx>
        <w:tc>
          <w:tcPr>
            <w:tcW w:w="0" w:type="auto"/>
          </w:tcPr>
          <w:p w14:paraId="5C9D3782" w14:textId="77777777" w:rsidR="001278C0" w:rsidRDefault="00000000">
            <w:r>
              <w:t>Softmax output</w:t>
            </w:r>
          </w:p>
        </w:tc>
        <w:tc>
          <w:tcPr>
            <w:tcW w:w="0" w:type="auto"/>
          </w:tcPr>
          <w:p w14:paraId="16674DD2" w14:textId="77777777" w:rsidR="001278C0" w:rsidRDefault="00000000">
            <w:r>
              <w:t>Near one-hot</w:t>
            </w:r>
          </w:p>
        </w:tc>
        <w:tc>
          <w:tcPr>
            <w:tcW w:w="0" w:type="auto"/>
          </w:tcPr>
          <w:p w14:paraId="142131BB" w14:textId="77777777" w:rsidR="001278C0" w:rsidRDefault="00000000">
            <w:r>
              <w:t>Graded distribution</w:t>
            </w:r>
          </w:p>
        </w:tc>
      </w:tr>
      <w:tr w:rsidR="001278C0" w14:paraId="055E2547" w14:textId="77777777">
        <w:tblPrEx>
          <w:tblCellMar>
            <w:top w:w="0" w:type="dxa"/>
            <w:bottom w:w="0" w:type="dxa"/>
          </w:tblCellMar>
        </w:tblPrEx>
        <w:tc>
          <w:tcPr>
            <w:tcW w:w="0" w:type="auto"/>
          </w:tcPr>
          <w:p w14:paraId="63D0ADD9" w14:textId="77777777" w:rsidR="001278C0" w:rsidRDefault="00000000">
            <w:r>
              <w:t>Gradients</w:t>
            </w:r>
          </w:p>
        </w:tc>
        <w:tc>
          <w:tcPr>
            <w:tcW w:w="0" w:type="auto"/>
          </w:tcPr>
          <w:p w14:paraId="57AA4681" w14:textId="77777777" w:rsidR="001278C0" w:rsidRDefault="00000000">
            <w:r>
              <w:t>Vanishing</w:t>
            </w:r>
          </w:p>
        </w:tc>
        <w:tc>
          <w:tcPr>
            <w:tcW w:w="0" w:type="auto"/>
          </w:tcPr>
          <w:p w14:paraId="3A5FB98D" w14:textId="77777777" w:rsidR="001278C0" w:rsidRDefault="00000000">
            <w:r>
              <w:t>Meaningful</w:t>
            </w:r>
          </w:p>
        </w:tc>
      </w:tr>
    </w:tbl>
    <w:p w14:paraId="07C8BA1C" w14:textId="77777777" w:rsidR="001278C0" w:rsidRDefault="00DC790C">
      <w:r>
        <w:rPr>
          <w:noProof/>
        </w:rPr>
      </w:r>
      <w:r>
        <w:pict w14:anchorId="5DF6B1A2">
          <v:rect id="Horizontal Line 7"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A98892E" w14:textId="77777777" w:rsidR="001278C0" w:rsidRDefault="00000000">
      <w:pPr>
        <w:pStyle w:val="Heading2"/>
      </w:pPr>
      <w:bookmarkStart w:id="8" w:name="scaling-as-temperature"/>
      <w:bookmarkEnd w:id="7"/>
      <w:r>
        <w:t>7. Scaling as Temperature</w:t>
      </w:r>
    </w:p>
    <w:p w14:paraId="08D38EB8" w14:textId="77777777" w:rsidR="001278C0" w:rsidRDefault="00000000">
      <w:r>
        <w:t xml:space="preserve">The scaled dot product can be written as softmax with temperature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p w14:paraId="3716D6A0" w14:textId="77777777" w:rsidR="001278C0"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den>
          </m:f>
          <m:r>
            <m:rPr>
              <m:sty m:val="p"/>
            </m:rPr>
            <w:rPr>
              <w:rFonts w:ascii="Cambria Math" w:hAnsi="Cambria Math"/>
            </w:rPr>
            <m:t>=</m:t>
          </m:r>
          <m:r>
            <m:rPr>
              <m:nor/>
            </m:rPr>
            <m:t>softmax</m:t>
          </m:r>
          <m:d>
            <m:dPr>
              <m:ctrlPr>
                <w:rPr>
                  <w:rFonts w:ascii="Cambria Math" w:hAnsi="Cambria Math"/>
                </w:rPr>
              </m:ctrlPr>
            </m:dPr>
            <m:e>
              <m:sSub>
                <m:sSubPr>
                  <m:ctrlPr>
                    <w:rPr>
                      <w:rFonts w:ascii="Cambria Math" w:hAnsi="Cambria Math"/>
                    </w:rPr>
                  </m:ctrlPr>
                </m:sSubPr>
                <m:e>
                  <m:r>
                    <m:rPr>
                      <m:sty m:val="b"/>
                    </m:rP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k</m:t>
                  </m:r>
                </m:e>
                <m:sub>
                  <m:r>
                    <w:rPr>
                      <w:rFonts w:ascii="Cambria Math" w:hAnsi="Cambria Math"/>
                    </w:rPr>
                    <m:t>j</m:t>
                  </m:r>
                </m:sub>
              </m:sSub>
              <m:r>
                <m:rPr>
                  <m:sty m:val="p"/>
                </m:rPr>
                <w:rPr>
                  <w:rFonts w:ascii="Cambria Math" w:hAnsi="Cambria Math"/>
                </w:rPr>
                <m:t>/</m:t>
              </m:r>
              <m:r>
                <w:rPr>
                  <w:rFonts w:ascii="Cambria Math" w:hAnsi="Cambria Math"/>
                </w:rPr>
                <m:t>τ</m:t>
              </m:r>
            </m:e>
          </m:d>
          <m:r>
            <w:rPr>
              <w:rFonts w:ascii="Cambria Math" w:hAnsi="Cambria Math"/>
            </w:rPr>
            <m:t> </m:t>
          </m:r>
          <m:r>
            <m:rPr>
              <m:nor/>
            </m:rPr>
            <m:t xml:space="preserve">with </m:t>
          </m:r>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m:oMathPara>
    </w:p>
    <w:p w14:paraId="0234914B" w14:textId="77777777" w:rsidR="001278C0" w:rsidRDefault="00000000">
      <w:r>
        <w:t>This is exactly the temperature-scaled softmax from Lecture 1 (Derivation Guide 5). The three regimes:</w:t>
      </w:r>
    </w:p>
    <w:p w14:paraId="35B6A391" w14:textId="77777777" w:rsidR="001278C0" w:rsidRDefault="00000000">
      <w:pPr>
        <w:numPr>
          <w:ilvl w:val="0"/>
          <w:numId w:val="4"/>
        </w:numPr>
      </w:pPr>
      <w:r>
        <w:rPr>
          <w:b/>
          <w:bCs/>
        </w:rPr>
        <w:t xml:space="preserve">Small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b/>
          <w:bCs/>
        </w:rPr>
        <w:t xml:space="preserve"> → small </w:t>
      </w:r>
      <m:oMath>
        <m:r>
          <w:rPr>
            <w:rFonts w:ascii="Cambria Math" w:hAnsi="Cambria Math"/>
          </w:rPr>
          <m:t>τ</m:t>
        </m:r>
      </m:oMath>
      <w:r>
        <w:rPr>
          <w:b/>
          <w:bCs/>
        </w:rPr>
        <w:t xml:space="preserve"> → sharp attention.</w:t>
      </w:r>
      <w:r>
        <w:t xml:space="preserve">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4</m:t>
        </m:r>
      </m:oMath>
      <w:r>
        <w:t xml:space="preserve"> (</w:t>
      </w:r>
      <m:oMath>
        <m:r>
          <w:rPr>
            <w:rFonts w:ascii="Cambria Math" w:hAnsi="Cambria Math"/>
          </w:rPr>
          <m:t>τ</m:t>
        </m:r>
        <m:r>
          <m:rPr>
            <m:sty m:val="p"/>
          </m:rPr>
          <w:rPr>
            <w:rFonts w:ascii="Cambria Math" w:hAnsi="Cambria Math"/>
          </w:rPr>
          <m:t>=</m:t>
        </m:r>
        <m:r>
          <w:rPr>
            <w:rFonts w:ascii="Cambria Math" w:hAnsi="Cambria Math"/>
          </w:rPr>
          <m:t>2</m:t>
        </m:r>
      </m:oMath>
      <w:r>
        <w:t>), the attention is relatively sharp — the model concentrates on a few positions.</w:t>
      </w:r>
    </w:p>
    <w:p w14:paraId="3AADC9CB" w14:textId="77777777" w:rsidR="001278C0" w:rsidRDefault="00000000">
      <w:pPr>
        <w:numPr>
          <w:ilvl w:val="0"/>
          <w:numId w:val="4"/>
        </w:numPr>
      </w:pPr>
      <w:r>
        <w:rPr>
          <w:b/>
          <w:bCs/>
        </w:rPr>
        <w:t xml:space="preserve">Large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b/>
          <w:bCs/>
        </w:rPr>
        <w:t xml:space="preserve"> → large </w:t>
      </w:r>
      <m:oMath>
        <m:r>
          <w:rPr>
            <w:rFonts w:ascii="Cambria Math" w:hAnsi="Cambria Math"/>
          </w:rPr>
          <m:t>τ</m:t>
        </m:r>
      </m:oMath>
      <w:r>
        <w:rPr>
          <w:b/>
          <w:bCs/>
        </w:rPr>
        <w:t xml:space="preserve"> → diffuse attention.</w:t>
      </w:r>
      <w:r>
        <w:t xml:space="preserve">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 xml:space="preserve"> (</w:t>
      </w:r>
      <m:oMath>
        <m:r>
          <w:rPr>
            <w:rFonts w:ascii="Cambria Math" w:hAnsi="Cambria Math"/>
          </w:rPr>
          <m:t>τ</m:t>
        </m:r>
        <m:r>
          <m:rPr>
            <m:sty m:val="p"/>
          </m:rPr>
          <w:rPr>
            <w:rFonts w:ascii="Cambria Math" w:hAnsi="Cambria Math"/>
          </w:rPr>
          <m:t>≈</m:t>
        </m:r>
        <m:r>
          <w:rPr>
            <w:rFonts w:ascii="Cambria Math" w:hAnsi="Cambria Math"/>
          </w:rPr>
          <m:t>23</m:t>
        </m:r>
      </m:oMath>
      <w:r>
        <w:t>), the attention is relatively diffuse — many positions receive non-negligible weight.</w:t>
      </w:r>
    </w:p>
    <w:p w14:paraId="3823529A" w14:textId="77777777" w:rsidR="001278C0" w:rsidRDefault="00000000">
      <w:pPr>
        <w:numPr>
          <w:ilvl w:val="0"/>
          <w:numId w:val="4"/>
        </w:numPr>
      </w:pPr>
      <w:r>
        <w:rPr>
          <w:b/>
          <w:bCs/>
        </w:rPr>
        <w:t>The scaling normalizes this.</w:t>
      </w:r>
      <w:r>
        <w:t xml:space="preserve"> After dividing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the effective sharpness is independent of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The temperature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exactly compensates for the growth of the dot product variance.</w:t>
      </w:r>
    </w:p>
    <w:p w14:paraId="3E24C054" w14:textId="77777777" w:rsidR="001278C0" w:rsidRDefault="00000000">
      <w:r>
        <w:rPr>
          <w:b/>
          <w:bCs/>
        </w:rPr>
        <w:t>The Boltzmann parallel.</w:t>
      </w:r>
      <w:r>
        <w:t xml:space="preserve"> In statistical mechanics, the temperature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plays the same role. At low temperature, the Boltzmann distribution concentrates on the lowest-energy state (sharp selection). At high temperature, it distributes probability more uniformly (diffuse selection). The temperature prevents the system from locking into its ground state and allows thermal exploration of the energy landscape. The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scaling prevents the attention mechanism from locking into a single key and allows graded attention across all positions. The mathematical role is identical.</w:t>
      </w:r>
    </w:p>
    <w:p w14:paraId="22F31CF3" w14:textId="77777777" w:rsidR="001278C0" w:rsidRDefault="00DC790C">
      <w:r>
        <w:rPr>
          <w:noProof/>
        </w:rPr>
      </w:r>
      <w:r>
        <w:pict w14:anchorId="6A21A6A6">
          <v:rect id="Horizontal Line 8"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3AA6639" w14:textId="77777777" w:rsidR="001278C0" w:rsidRDefault="00000000">
      <w:pPr>
        <w:pStyle w:val="Heading2"/>
      </w:pPr>
      <w:bookmarkStart w:id="9" w:name="Xef7430dadf5f7e10d6c94515b14cfa0bbe20c9e"/>
      <w:bookmarkEnd w:id="8"/>
      <w:r>
        <w:t>8. Worked Example: Scaling at Different Dimensions</w:t>
      </w:r>
    </w:p>
    <w:p w14:paraId="1B2091A5" w14:textId="77777777" w:rsidR="001278C0" w:rsidRDefault="00000000">
      <w:r>
        <w:rPr>
          <w:b/>
          <w:bCs/>
        </w:rPr>
        <w:t>Problem.</w:t>
      </w:r>
      <w:r>
        <w:t xml:space="preserve"> Two tokens have query-key dot products that happen to differ by the same “true compatibility difference” regardless of dimension. Specifically, token A has dot product </w:t>
      </w:r>
      <m:oMath>
        <m:r>
          <w:rPr>
            <w:rFonts w:ascii="Cambria Math" w:hAnsi="Cambria Math"/>
          </w:rPr>
          <m:t>1.5</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with a key, and token B has dot product </w:t>
      </w:r>
      <m:oMath>
        <m:r>
          <w:rPr>
            <w:rFonts w:ascii="Cambria Math" w:hAnsi="Cambria Math"/>
          </w:rPr>
          <m:t>0.5</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with the same key (the “true” score difference is </w:t>
      </w:r>
      <m:oMath>
        <m:r>
          <w:rPr>
            <w:rFonts w:ascii="Cambria Math" w:hAnsi="Cambria Math"/>
          </w:rPr>
          <m:t>1.0</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scaling with dimension as expected for random vectors). Compare the softmax output with and without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scaling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4</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64</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w:t>
      </w:r>
    </w:p>
    <w:p w14:paraId="4B8020DC" w14:textId="77777777" w:rsidR="001278C0" w:rsidRDefault="00000000">
      <w:r>
        <w:rPr>
          <w:b/>
          <w:bCs/>
        </w:rPr>
        <w:t>Without scaling</w:t>
      </w:r>
      <w:r>
        <w:t xml:space="preserve"> (raw dot products as softmax input):</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350"/>
        <w:gridCol w:w="735"/>
        <w:gridCol w:w="723"/>
        <w:gridCol w:w="961"/>
        <w:gridCol w:w="1524"/>
      </w:tblGrid>
      <w:tr w:rsidR="001278C0" w14:paraId="775C19FA" w14:textId="77777777">
        <w:tblPrEx>
          <w:tblCellMar>
            <w:top w:w="0" w:type="dxa"/>
            <w:bottom w:w="0" w:type="dxa"/>
          </w:tblCellMar>
        </w:tblPrEx>
        <w:trPr>
          <w:tblHeader/>
        </w:trPr>
        <w:tc>
          <w:tcPr>
            <w:tcW w:w="0" w:type="auto"/>
          </w:tcPr>
          <w:p w14:paraId="0D79816D" w14:textId="77777777" w:rsidR="001278C0" w:rsidRDefault="00000000">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0" w:type="auto"/>
          </w:tcPr>
          <w:p w14:paraId="0966DC7C" w14:textId="77777777" w:rsidR="001278C0" w:rsidRDefault="00000000">
            <w:r>
              <w:t>Score A</w:t>
            </w:r>
          </w:p>
        </w:tc>
        <w:tc>
          <w:tcPr>
            <w:tcW w:w="0" w:type="auto"/>
          </w:tcPr>
          <w:p w14:paraId="4A254921" w14:textId="77777777" w:rsidR="001278C0" w:rsidRDefault="00000000">
            <w:r>
              <w:t>Score B</w:t>
            </w:r>
          </w:p>
        </w:tc>
        <w:tc>
          <w:tcPr>
            <w:tcW w:w="0" w:type="auto"/>
          </w:tcPr>
          <w:p w14:paraId="137346CA" w14:textId="77777777" w:rsidR="001278C0" w:rsidRDefault="00000000">
            <w:r>
              <w:t>Difference</w:t>
            </w:r>
          </w:p>
        </w:tc>
        <w:tc>
          <w:tcPr>
            <w:tcW w:w="0" w:type="auto"/>
          </w:tcPr>
          <w:p w14:paraId="486F7804" w14:textId="77777777" w:rsidR="001278C0" w:rsidRDefault="00000000">
            <m:oMathPara>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=exp</m:t>
                </m:r>
                <m:d>
                  <m:dPr>
                    <m:ctrlPr>
                      <w:rPr>
                        <w:rFonts w:ascii="Cambria Math" w:hAnsi="Cambria Math"/>
                      </w:rPr>
                    </m:ctrlPr>
                  </m:dPr>
                  <m:e>
                    <m:r>
                      <w:rPr>
                        <w:rFonts w:ascii="Cambria Math" w:hAnsi="Cambria Math"/>
                      </w:rPr>
                      <m:t>Δ</m:t>
                    </m:r>
                  </m:e>
                </m:d>
              </m:oMath>
            </m:oMathPara>
          </w:p>
        </w:tc>
      </w:tr>
      <w:tr w:rsidR="001278C0" w14:paraId="7ADA10B6" w14:textId="77777777">
        <w:tblPrEx>
          <w:tblCellMar>
            <w:top w:w="0" w:type="dxa"/>
            <w:bottom w:w="0" w:type="dxa"/>
          </w:tblCellMar>
        </w:tblPrEx>
        <w:tc>
          <w:tcPr>
            <w:tcW w:w="0" w:type="auto"/>
          </w:tcPr>
          <w:p w14:paraId="235D7492" w14:textId="77777777" w:rsidR="001278C0" w:rsidRDefault="00000000">
            <w:r>
              <w:t>4</w:t>
            </w:r>
          </w:p>
        </w:tc>
        <w:tc>
          <w:tcPr>
            <w:tcW w:w="0" w:type="auto"/>
          </w:tcPr>
          <w:p w14:paraId="534DDC54" w14:textId="77777777" w:rsidR="001278C0" w:rsidRDefault="00000000">
            <w:r>
              <w:t>3.0</w:t>
            </w:r>
          </w:p>
        </w:tc>
        <w:tc>
          <w:tcPr>
            <w:tcW w:w="0" w:type="auto"/>
          </w:tcPr>
          <w:p w14:paraId="6D0A73CE" w14:textId="77777777" w:rsidR="001278C0" w:rsidRDefault="00000000">
            <w:r>
              <w:t>1.0</w:t>
            </w:r>
          </w:p>
        </w:tc>
        <w:tc>
          <w:tcPr>
            <w:tcW w:w="0" w:type="auto"/>
          </w:tcPr>
          <w:p w14:paraId="45099840" w14:textId="77777777" w:rsidR="001278C0" w:rsidRDefault="00000000">
            <w:r>
              <w:t>2.0</w:t>
            </w:r>
          </w:p>
        </w:tc>
        <w:tc>
          <w:tcPr>
            <w:tcW w:w="0" w:type="auto"/>
          </w:tcPr>
          <w:p w14:paraId="1C22B72E" w14:textId="77777777" w:rsidR="001278C0" w:rsidRDefault="00000000">
            <w:r>
              <w:t>7.4</w:t>
            </w:r>
          </w:p>
        </w:tc>
      </w:tr>
      <w:tr w:rsidR="001278C0" w14:paraId="3B99FA35" w14:textId="77777777">
        <w:tblPrEx>
          <w:tblCellMar>
            <w:top w:w="0" w:type="dxa"/>
            <w:bottom w:w="0" w:type="dxa"/>
          </w:tblCellMar>
        </w:tblPrEx>
        <w:tc>
          <w:tcPr>
            <w:tcW w:w="0" w:type="auto"/>
          </w:tcPr>
          <w:p w14:paraId="1AC00E61" w14:textId="77777777" w:rsidR="001278C0" w:rsidRDefault="00000000">
            <w:r>
              <w:t>64</w:t>
            </w:r>
          </w:p>
        </w:tc>
        <w:tc>
          <w:tcPr>
            <w:tcW w:w="0" w:type="auto"/>
          </w:tcPr>
          <w:p w14:paraId="54F4673E" w14:textId="77777777" w:rsidR="001278C0" w:rsidRDefault="00000000">
            <w:r>
              <w:t>12.0</w:t>
            </w:r>
          </w:p>
        </w:tc>
        <w:tc>
          <w:tcPr>
            <w:tcW w:w="0" w:type="auto"/>
          </w:tcPr>
          <w:p w14:paraId="3F29A4B8" w14:textId="77777777" w:rsidR="001278C0" w:rsidRDefault="00000000">
            <w:r>
              <w:t>4.0</w:t>
            </w:r>
          </w:p>
        </w:tc>
        <w:tc>
          <w:tcPr>
            <w:tcW w:w="0" w:type="auto"/>
          </w:tcPr>
          <w:p w14:paraId="3BA0EF9A" w14:textId="77777777" w:rsidR="001278C0" w:rsidRDefault="00000000">
            <w:r>
              <w:t>8.0</w:t>
            </w:r>
          </w:p>
        </w:tc>
        <w:tc>
          <w:tcPr>
            <w:tcW w:w="0" w:type="auto"/>
          </w:tcPr>
          <w:p w14:paraId="2814A8BC" w14:textId="77777777" w:rsidR="001278C0" w:rsidRDefault="00000000">
            <w:r>
              <w:t>2,981</w:t>
            </w:r>
          </w:p>
        </w:tc>
      </w:tr>
      <w:tr w:rsidR="001278C0" w14:paraId="01FA3095" w14:textId="77777777">
        <w:tblPrEx>
          <w:tblCellMar>
            <w:top w:w="0" w:type="dxa"/>
            <w:bottom w:w="0" w:type="dxa"/>
          </w:tblCellMar>
        </w:tblPrEx>
        <w:tc>
          <w:tcPr>
            <w:tcW w:w="0" w:type="auto"/>
          </w:tcPr>
          <w:p w14:paraId="1D2088CA" w14:textId="77777777" w:rsidR="001278C0" w:rsidRDefault="00000000">
            <w:r>
              <w:t>512</w:t>
            </w:r>
          </w:p>
        </w:tc>
        <w:tc>
          <w:tcPr>
            <w:tcW w:w="0" w:type="auto"/>
          </w:tcPr>
          <w:p w14:paraId="042C7671" w14:textId="77777777" w:rsidR="001278C0" w:rsidRDefault="00000000">
            <w:r>
              <w:t>33.9</w:t>
            </w:r>
          </w:p>
        </w:tc>
        <w:tc>
          <w:tcPr>
            <w:tcW w:w="0" w:type="auto"/>
          </w:tcPr>
          <w:p w14:paraId="38C88459" w14:textId="77777777" w:rsidR="001278C0" w:rsidRDefault="00000000">
            <w:r>
              <w:t>11.3</w:t>
            </w:r>
          </w:p>
        </w:tc>
        <w:tc>
          <w:tcPr>
            <w:tcW w:w="0" w:type="auto"/>
          </w:tcPr>
          <w:p w14:paraId="7F8A261E" w14:textId="77777777" w:rsidR="001278C0" w:rsidRDefault="00000000">
            <w:r>
              <w:t>22.6</w:t>
            </w:r>
          </w:p>
        </w:tc>
        <w:tc>
          <w:tcPr>
            <w:tcW w:w="0" w:type="auto"/>
          </w:tcPr>
          <w:p w14:paraId="71E53A4B" w14:textId="77777777" w:rsidR="001278C0" w:rsidRDefault="00000000">
            <m:oMathPara>
              <m:oMath>
                <m:r>
                  <w:rPr>
                    <w:rFonts w:ascii="Cambria Math" w:hAnsi="Cambria Math"/>
                  </w:rPr>
                  <m:t>6.5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m:oMathPara>
          </w:p>
        </w:tc>
      </w:tr>
    </w:tbl>
    <w:p w14:paraId="762675CE" w14:textId="77777777" w:rsidR="001278C0" w:rsidRDefault="00000000">
      <w:r>
        <w:lastRenderedPageBreak/>
        <w:t xml:space="preserve">Without scaling, the probability ratio explodes as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increases.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512</m:t>
        </m:r>
      </m:oMath>
      <w:r>
        <w:t>, token A receives 6.5 billion times more probability than token B — effectively a one-hot distribution.</w:t>
      </w:r>
    </w:p>
    <w:p w14:paraId="3C824A16" w14:textId="77777777" w:rsidR="001278C0" w:rsidRDefault="00000000">
      <w:r>
        <w:rPr>
          <w:b/>
          <w:bCs/>
        </w:rPr>
        <w:t>With scaling</w:t>
      </w:r>
      <w:r>
        <w:t xml:space="preserve"> (dot products divided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706"/>
        <w:gridCol w:w="1658"/>
        <w:gridCol w:w="1634"/>
        <w:gridCol w:w="1941"/>
        <w:gridCol w:w="3077"/>
      </w:tblGrid>
      <w:tr w:rsidR="001278C0" w14:paraId="0B449557" w14:textId="77777777">
        <w:tblPrEx>
          <w:tblCellMar>
            <w:top w:w="0" w:type="dxa"/>
            <w:bottom w:w="0" w:type="dxa"/>
          </w:tblCellMar>
        </w:tblPrEx>
        <w:trPr>
          <w:tblHeader/>
        </w:trPr>
        <w:tc>
          <w:tcPr>
            <w:tcW w:w="0" w:type="auto"/>
          </w:tcPr>
          <w:p w14:paraId="6D610E1F" w14:textId="77777777" w:rsidR="001278C0" w:rsidRDefault="00000000">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0" w:type="auto"/>
          </w:tcPr>
          <w:p w14:paraId="3F67BD30" w14:textId="77777777" w:rsidR="001278C0" w:rsidRDefault="00000000">
            <w:r>
              <w:t>Scaled A</w:t>
            </w:r>
          </w:p>
        </w:tc>
        <w:tc>
          <w:tcPr>
            <w:tcW w:w="0" w:type="auto"/>
          </w:tcPr>
          <w:p w14:paraId="09D1B2EE" w14:textId="77777777" w:rsidR="001278C0" w:rsidRDefault="00000000">
            <w:r>
              <w:t>Scaled B</w:t>
            </w:r>
          </w:p>
        </w:tc>
        <w:tc>
          <w:tcPr>
            <w:tcW w:w="0" w:type="auto"/>
          </w:tcPr>
          <w:p w14:paraId="4CCA1BCB" w14:textId="77777777" w:rsidR="001278C0" w:rsidRDefault="00000000">
            <w:r>
              <w:t>Difference</w:t>
            </w:r>
          </w:p>
        </w:tc>
        <w:tc>
          <w:tcPr>
            <w:tcW w:w="0" w:type="auto"/>
          </w:tcPr>
          <w:p w14:paraId="00991198" w14:textId="77777777" w:rsidR="001278C0" w:rsidRDefault="00000000">
            <m:oMathPara>
              <m:oMath>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=exp</m:t>
                </m:r>
                <m:d>
                  <m:dPr>
                    <m:ctrlPr>
                      <w:rPr>
                        <w:rFonts w:ascii="Cambria Math" w:hAnsi="Cambria Math"/>
                      </w:rPr>
                    </m:ctrlPr>
                  </m:dPr>
                  <m:e>
                    <m:r>
                      <w:rPr>
                        <w:rFonts w:ascii="Cambria Math" w:hAnsi="Cambria Math"/>
                      </w:rPr>
                      <m:t>Δ</m:t>
                    </m:r>
                  </m:e>
                </m:d>
              </m:oMath>
            </m:oMathPara>
          </w:p>
        </w:tc>
      </w:tr>
      <w:tr w:rsidR="001278C0" w14:paraId="63C3D7EB" w14:textId="77777777">
        <w:tblPrEx>
          <w:tblCellMar>
            <w:top w:w="0" w:type="dxa"/>
            <w:bottom w:w="0" w:type="dxa"/>
          </w:tblCellMar>
        </w:tblPrEx>
        <w:tc>
          <w:tcPr>
            <w:tcW w:w="0" w:type="auto"/>
          </w:tcPr>
          <w:p w14:paraId="6121E905" w14:textId="77777777" w:rsidR="001278C0" w:rsidRDefault="00000000">
            <w:r>
              <w:t>4</w:t>
            </w:r>
          </w:p>
        </w:tc>
        <w:tc>
          <w:tcPr>
            <w:tcW w:w="0" w:type="auto"/>
          </w:tcPr>
          <w:p w14:paraId="6CF555EB" w14:textId="77777777" w:rsidR="001278C0" w:rsidRDefault="00000000">
            <w:r>
              <w:t>1.5</w:t>
            </w:r>
          </w:p>
        </w:tc>
        <w:tc>
          <w:tcPr>
            <w:tcW w:w="0" w:type="auto"/>
          </w:tcPr>
          <w:p w14:paraId="1AEE0C96" w14:textId="77777777" w:rsidR="001278C0" w:rsidRDefault="00000000">
            <w:r>
              <w:t>0.5</w:t>
            </w:r>
          </w:p>
        </w:tc>
        <w:tc>
          <w:tcPr>
            <w:tcW w:w="0" w:type="auto"/>
          </w:tcPr>
          <w:p w14:paraId="3965A5D8" w14:textId="77777777" w:rsidR="001278C0" w:rsidRDefault="00000000">
            <w:r>
              <w:t>1.0</w:t>
            </w:r>
          </w:p>
        </w:tc>
        <w:tc>
          <w:tcPr>
            <w:tcW w:w="0" w:type="auto"/>
          </w:tcPr>
          <w:p w14:paraId="0B9810A9" w14:textId="77777777" w:rsidR="001278C0" w:rsidRDefault="00000000">
            <w:r>
              <w:t>2.72</w:t>
            </w:r>
          </w:p>
        </w:tc>
      </w:tr>
      <w:tr w:rsidR="001278C0" w14:paraId="0B187048" w14:textId="77777777">
        <w:tblPrEx>
          <w:tblCellMar>
            <w:top w:w="0" w:type="dxa"/>
            <w:bottom w:w="0" w:type="dxa"/>
          </w:tblCellMar>
        </w:tblPrEx>
        <w:tc>
          <w:tcPr>
            <w:tcW w:w="0" w:type="auto"/>
          </w:tcPr>
          <w:p w14:paraId="6B3F38DF" w14:textId="77777777" w:rsidR="001278C0" w:rsidRDefault="00000000">
            <w:r>
              <w:t>64</w:t>
            </w:r>
          </w:p>
        </w:tc>
        <w:tc>
          <w:tcPr>
            <w:tcW w:w="0" w:type="auto"/>
          </w:tcPr>
          <w:p w14:paraId="7375AF6E" w14:textId="77777777" w:rsidR="001278C0" w:rsidRDefault="00000000">
            <w:r>
              <w:t>1.5</w:t>
            </w:r>
          </w:p>
        </w:tc>
        <w:tc>
          <w:tcPr>
            <w:tcW w:w="0" w:type="auto"/>
          </w:tcPr>
          <w:p w14:paraId="04D808E0" w14:textId="77777777" w:rsidR="001278C0" w:rsidRDefault="00000000">
            <w:r>
              <w:t>0.5</w:t>
            </w:r>
          </w:p>
        </w:tc>
        <w:tc>
          <w:tcPr>
            <w:tcW w:w="0" w:type="auto"/>
          </w:tcPr>
          <w:p w14:paraId="6ED91ADE" w14:textId="77777777" w:rsidR="001278C0" w:rsidRDefault="00000000">
            <w:r>
              <w:t>1.0</w:t>
            </w:r>
          </w:p>
        </w:tc>
        <w:tc>
          <w:tcPr>
            <w:tcW w:w="0" w:type="auto"/>
          </w:tcPr>
          <w:p w14:paraId="19E897E8" w14:textId="77777777" w:rsidR="001278C0" w:rsidRDefault="00000000">
            <w:r>
              <w:t>2.72</w:t>
            </w:r>
          </w:p>
        </w:tc>
      </w:tr>
      <w:tr w:rsidR="001278C0" w14:paraId="092D59EC" w14:textId="77777777">
        <w:tblPrEx>
          <w:tblCellMar>
            <w:top w:w="0" w:type="dxa"/>
            <w:bottom w:w="0" w:type="dxa"/>
          </w:tblCellMar>
        </w:tblPrEx>
        <w:tc>
          <w:tcPr>
            <w:tcW w:w="0" w:type="auto"/>
          </w:tcPr>
          <w:p w14:paraId="43983B32" w14:textId="77777777" w:rsidR="001278C0" w:rsidRDefault="00000000">
            <w:r>
              <w:t>512</w:t>
            </w:r>
          </w:p>
        </w:tc>
        <w:tc>
          <w:tcPr>
            <w:tcW w:w="0" w:type="auto"/>
          </w:tcPr>
          <w:p w14:paraId="4223BA1E" w14:textId="77777777" w:rsidR="001278C0" w:rsidRDefault="00000000">
            <w:r>
              <w:t>1.5</w:t>
            </w:r>
          </w:p>
        </w:tc>
        <w:tc>
          <w:tcPr>
            <w:tcW w:w="0" w:type="auto"/>
          </w:tcPr>
          <w:p w14:paraId="6FA7D947" w14:textId="77777777" w:rsidR="001278C0" w:rsidRDefault="00000000">
            <w:r>
              <w:t>0.5</w:t>
            </w:r>
          </w:p>
        </w:tc>
        <w:tc>
          <w:tcPr>
            <w:tcW w:w="0" w:type="auto"/>
          </w:tcPr>
          <w:p w14:paraId="15476478" w14:textId="77777777" w:rsidR="001278C0" w:rsidRDefault="00000000">
            <w:r>
              <w:t>1.0</w:t>
            </w:r>
          </w:p>
        </w:tc>
        <w:tc>
          <w:tcPr>
            <w:tcW w:w="0" w:type="auto"/>
          </w:tcPr>
          <w:p w14:paraId="6EE603D1" w14:textId="77777777" w:rsidR="001278C0" w:rsidRDefault="00000000">
            <w:r>
              <w:t>2.72</w:t>
            </w:r>
          </w:p>
        </w:tc>
      </w:tr>
    </w:tbl>
    <w:p w14:paraId="2BDF62EA" w14:textId="77777777" w:rsidR="001278C0" w:rsidRDefault="00000000">
      <w:r>
        <w:t xml:space="preserve">After scaling, the probability ratio is 2.72 regardless of </w:t>
      </w:r>
      <m:oMath>
        <m:sSub>
          <m:sSubPr>
            <m:ctrlPr>
              <w:rPr>
                <w:rFonts w:ascii="Cambria Math" w:hAnsi="Cambria Math"/>
              </w:rPr>
            </m:ctrlPr>
          </m:sSubPr>
          <m:e>
            <m:r>
              <w:rPr>
                <w:rFonts w:ascii="Cambria Math" w:hAnsi="Cambria Math"/>
              </w:rPr>
              <m:t>d</m:t>
            </m:r>
          </m:e>
          <m:sub>
            <m:r>
              <w:rPr>
                <w:rFonts w:ascii="Cambria Math" w:hAnsi="Cambria Math"/>
              </w:rPr>
              <m:t>k</m:t>
            </m:r>
          </m:sub>
        </m:sSub>
      </m:oMath>
      <w:r>
        <w:t>. The scaling perfectly compensates for the growth of dot product magnitudes with dimension. The attention distribution maintains the same sharpness at every dimension.</w:t>
      </w:r>
    </w:p>
    <w:p w14:paraId="33E27CFB" w14:textId="77777777" w:rsidR="001278C0" w:rsidRDefault="00DC790C">
      <w:r>
        <w:rPr>
          <w:noProof/>
        </w:rPr>
      </w:r>
      <w:r>
        <w:pict w14:anchorId="003E3F00">
          <v:rect id="Horizontal Line 9"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2E17816" w14:textId="77777777" w:rsidR="001278C0" w:rsidRDefault="00000000">
      <w:pPr>
        <w:pStyle w:val="Heading2"/>
      </w:pPr>
      <w:bookmarkStart w:id="10" w:name="summary"/>
      <w:bookmarkEnd w:id="9"/>
      <w:r>
        <w:t>9. Summary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20" w:firstRow="1" w:lastRow="0" w:firstColumn="0" w:lastColumn="0" w:noHBand="0" w:noVBand="0"/>
      </w:tblPr>
      <w:tblGrid>
        <w:gridCol w:w="2053"/>
        <w:gridCol w:w="2708"/>
        <w:gridCol w:w="4255"/>
      </w:tblGrid>
      <w:tr w:rsidR="001278C0" w14:paraId="722FBC97" w14:textId="77777777">
        <w:tblPrEx>
          <w:tblCellMar>
            <w:top w:w="0" w:type="dxa"/>
            <w:bottom w:w="0" w:type="dxa"/>
          </w:tblCellMar>
        </w:tblPrEx>
        <w:trPr>
          <w:tblHeader/>
        </w:trPr>
        <w:tc>
          <w:tcPr>
            <w:tcW w:w="0" w:type="auto"/>
          </w:tcPr>
          <w:p w14:paraId="6EC8A1BB" w14:textId="77777777" w:rsidR="001278C0" w:rsidRDefault="00000000">
            <w:r>
              <w:t>Concept</w:t>
            </w:r>
          </w:p>
        </w:tc>
        <w:tc>
          <w:tcPr>
            <w:tcW w:w="0" w:type="auto"/>
          </w:tcPr>
          <w:p w14:paraId="21F1768D" w14:textId="77777777" w:rsidR="001278C0" w:rsidRDefault="00000000">
            <w:r>
              <w:t>Result</w:t>
            </w:r>
          </w:p>
        </w:tc>
        <w:tc>
          <w:tcPr>
            <w:tcW w:w="0" w:type="auto"/>
          </w:tcPr>
          <w:p w14:paraId="475DBD30" w14:textId="77777777" w:rsidR="001278C0" w:rsidRDefault="00000000">
            <w:r>
              <w:t>Significance</w:t>
            </w:r>
          </w:p>
        </w:tc>
      </w:tr>
      <w:tr w:rsidR="001278C0" w14:paraId="2D32D983" w14:textId="77777777">
        <w:tblPrEx>
          <w:tblCellMar>
            <w:top w:w="0" w:type="dxa"/>
            <w:bottom w:w="0" w:type="dxa"/>
          </w:tblCellMar>
        </w:tblPrEx>
        <w:tc>
          <w:tcPr>
            <w:tcW w:w="0" w:type="auto"/>
          </w:tcPr>
          <w:p w14:paraId="2C62EB1C" w14:textId="77777777" w:rsidR="001278C0" w:rsidRDefault="00000000">
            <w:r>
              <w:t xml:space="preserve">Mean of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p>
        </w:tc>
        <w:tc>
          <w:tcPr>
            <w:tcW w:w="0" w:type="auto"/>
          </w:tcPr>
          <w:p w14:paraId="69E26D8E" w14:textId="77777777" w:rsidR="001278C0" w:rsidRDefault="00000000">
            <m:oMathPara>
              <m:oMath>
                <m:r>
                  <m:rPr>
                    <m:scr m:val="double-struck"/>
                    <m:sty m:val="p"/>
                  </m:rPr>
                  <w:rPr>
                    <w:rFonts w:ascii="Cambria Math" w:hAnsi="Cambria Math"/>
                  </w:rPr>
                  <m:t>E</m:t>
                </m:r>
                <m:d>
                  <m:dPr>
                    <m:begChr m:val="["/>
                    <m:endChr m:val="]"/>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r>
                  <w:rPr>
                    <w:rFonts w:ascii="Cambria Math" w:hAnsi="Cambria Math"/>
                  </w:rPr>
                  <m:t>0</m:t>
                </m:r>
              </m:oMath>
            </m:oMathPara>
          </w:p>
        </w:tc>
        <w:tc>
          <w:tcPr>
            <w:tcW w:w="0" w:type="auto"/>
          </w:tcPr>
          <w:p w14:paraId="2E91DF5E" w14:textId="77777777" w:rsidR="001278C0" w:rsidRDefault="00000000">
            <w:r>
              <w:t>Random vectors are orthogonal on average</w:t>
            </w:r>
          </w:p>
        </w:tc>
      </w:tr>
      <w:tr w:rsidR="001278C0" w14:paraId="4F3270CA" w14:textId="77777777">
        <w:tblPrEx>
          <w:tblCellMar>
            <w:top w:w="0" w:type="dxa"/>
            <w:bottom w:w="0" w:type="dxa"/>
          </w:tblCellMar>
        </w:tblPrEx>
        <w:tc>
          <w:tcPr>
            <w:tcW w:w="0" w:type="auto"/>
          </w:tcPr>
          <w:p w14:paraId="12CF518E" w14:textId="77777777" w:rsidR="001278C0" w:rsidRDefault="00000000">
            <w:r>
              <w:t xml:space="preserve">Variance of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p>
        </w:tc>
        <w:tc>
          <w:tcPr>
            <w:tcW w:w="0" w:type="auto"/>
          </w:tcPr>
          <w:p w14:paraId="36787BB2" w14:textId="77777777" w:rsidR="001278C0" w:rsidRDefault="00000000">
            <m:oMathPara>
              <m:oMath>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0" w:type="auto"/>
          </w:tcPr>
          <w:p w14:paraId="472E1D9A" w14:textId="77777777" w:rsidR="001278C0" w:rsidRDefault="00000000">
            <w:r>
              <w:t>Dot product magnitude grows with dimension</w:t>
            </w:r>
          </w:p>
        </w:tc>
      </w:tr>
      <w:tr w:rsidR="001278C0" w14:paraId="19AEDA47" w14:textId="77777777">
        <w:tblPrEx>
          <w:tblCellMar>
            <w:top w:w="0" w:type="dxa"/>
            <w:bottom w:w="0" w:type="dxa"/>
          </w:tblCellMar>
        </w:tblPrEx>
        <w:tc>
          <w:tcPr>
            <w:tcW w:w="0" w:type="auto"/>
          </w:tcPr>
          <w:p w14:paraId="5D1DD909" w14:textId="77777777" w:rsidR="001278C0" w:rsidRDefault="00000000">
            <w:r>
              <w:t xml:space="preserve">Std. dev. of </w:t>
            </w:r>
            <m:oMath>
              <m:r>
                <m:rPr>
                  <m:sty m:val="b"/>
                </m:rPr>
                <w:rPr>
                  <w:rFonts w:ascii="Cambria Math" w:hAnsi="Cambria Math"/>
                </w:rPr>
                <m:t>q</m:t>
              </m:r>
              <m:r>
                <m:rPr>
                  <m:sty m:val="p"/>
                </m:rPr>
                <w:rPr>
                  <w:rFonts w:ascii="Cambria Math" w:hAnsi="Cambria Math"/>
                </w:rPr>
                <m:t>⋅</m:t>
              </m:r>
              <m:r>
                <m:rPr>
                  <m:sty m:val="b"/>
                </m:rPr>
                <w:rPr>
                  <w:rFonts w:ascii="Cambria Math" w:hAnsi="Cambria Math"/>
                </w:rPr>
                <m:t>k</m:t>
              </m:r>
            </m:oMath>
          </w:p>
        </w:tc>
        <w:tc>
          <w:tcPr>
            <w:tcW w:w="0" w:type="auto"/>
          </w:tcPr>
          <w:p w14:paraId="5D1C1E70" w14:textId="77777777" w:rsidR="001278C0" w:rsidRDefault="00000000">
            <m:oMathPara>
              <m:oMath>
                <m:r>
                  <m:rPr>
                    <m:nor/>
                  </m:rPr>
                  <m:t>SD</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m:oMathPara>
          </w:p>
        </w:tc>
        <w:tc>
          <w:tcPr>
            <w:tcW w:w="0" w:type="auto"/>
          </w:tcPr>
          <w:p w14:paraId="1AC8854F" w14:textId="77777777" w:rsidR="001278C0" w:rsidRDefault="00000000">
            <w:r>
              <w:t xml:space="preserve">Typical scores are </w:t>
            </w:r>
            <m:oMath>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p>
        </w:tc>
      </w:tr>
      <w:tr w:rsidR="001278C0" w14:paraId="56DA4102" w14:textId="77777777">
        <w:tblPrEx>
          <w:tblCellMar>
            <w:top w:w="0" w:type="dxa"/>
            <w:bottom w:w="0" w:type="dxa"/>
          </w:tblCellMar>
        </w:tblPrEx>
        <w:tc>
          <w:tcPr>
            <w:tcW w:w="0" w:type="auto"/>
          </w:tcPr>
          <w:p w14:paraId="63F8A092" w14:textId="77777777" w:rsidR="001278C0" w:rsidRDefault="00000000">
            <w:r>
              <w:t>Without scaling</w:t>
            </w:r>
          </w:p>
        </w:tc>
        <w:tc>
          <w:tcPr>
            <w:tcW w:w="0" w:type="auto"/>
          </w:tcPr>
          <w:p w14:paraId="5434E584" w14:textId="77777777" w:rsidR="001278C0" w:rsidRDefault="00000000">
            <w:r>
              <w:t xml:space="preserve">Softmax saturates at large </w:t>
            </w:r>
            <m:oMath>
              <m:sSub>
                <m:sSubPr>
                  <m:ctrlPr>
                    <w:rPr>
                      <w:rFonts w:ascii="Cambria Math" w:hAnsi="Cambria Math"/>
                    </w:rPr>
                  </m:ctrlPr>
                </m:sSubPr>
                <m:e>
                  <m:r>
                    <w:rPr>
                      <w:rFonts w:ascii="Cambria Math" w:hAnsi="Cambria Math"/>
                    </w:rPr>
                    <m:t>d</m:t>
                  </m:r>
                </m:e>
                <m:sub>
                  <m:r>
                    <w:rPr>
                      <w:rFonts w:ascii="Cambria Math" w:hAnsi="Cambria Math"/>
                    </w:rPr>
                    <m:t>k</m:t>
                  </m:r>
                </m:sub>
              </m:sSub>
            </m:oMath>
          </w:p>
        </w:tc>
        <w:tc>
          <w:tcPr>
            <w:tcW w:w="0" w:type="auto"/>
          </w:tcPr>
          <w:p w14:paraId="0C55E90D" w14:textId="77777777" w:rsidR="001278C0" w:rsidRDefault="00000000">
            <w:r>
              <w:t>Near-one-hot output, vanishing gradients</w:t>
            </w:r>
          </w:p>
        </w:tc>
      </w:tr>
      <w:tr w:rsidR="001278C0" w14:paraId="1F3ACE27" w14:textId="77777777">
        <w:tblPrEx>
          <w:tblCellMar>
            <w:top w:w="0" w:type="dxa"/>
            <w:bottom w:w="0" w:type="dxa"/>
          </w:tblCellMar>
        </w:tblPrEx>
        <w:tc>
          <w:tcPr>
            <w:tcW w:w="0" w:type="auto"/>
          </w:tcPr>
          <w:p w14:paraId="0DFCC6CA" w14:textId="77777777" w:rsidR="001278C0" w:rsidRDefault="00000000">
            <w:r>
              <w:t xml:space="preserve">After scaling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p>
        </w:tc>
        <w:tc>
          <w:tcPr>
            <w:tcW w:w="0" w:type="auto"/>
          </w:tcPr>
          <w:p w14:paraId="3562FDCA" w14:textId="77777777" w:rsidR="001278C0" w:rsidRDefault="00000000">
            <m:oMathPara>
              <m:oMath>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e>
                </m:d>
                <m:r>
                  <m:rPr>
                    <m:sty m:val="p"/>
                  </m:rPr>
                  <w:rPr>
                    <w:rFonts w:ascii="Cambria Math" w:hAnsi="Cambria Math"/>
                  </w:rPr>
                  <m:t>=</m:t>
                </m:r>
                <m:r>
                  <w:rPr>
                    <w:rFonts w:ascii="Cambria Math" w:hAnsi="Cambria Math"/>
                  </w:rPr>
                  <m:t>1</m:t>
                </m:r>
              </m:oMath>
            </m:oMathPara>
          </w:p>
        </w:tc>
        <w:tc>
          <w:tcPr>
            <w:tcW w:w="0" w:type="auto"/>
          </w:tcPr>
          <w:p w14:paraId="31AEF005" w14:textId="77777777" w:rsidR="001278C0" w:rsidRDefault="00000000">
            <w:r>
              <w:t xml:space="preserve">Unit variance regardless of </w:t>
            </w:r>
            <m:oMath>
              <m:sSub>
                <m:sSubPr>
                  <m:ctrlPr>
                    <w:rPr>
                      <w:rFonts w:ascii="Cambria Math" w:hAnsi="Cambria Math"/>
                    </w:rPr>
                  </m:ctrlPr>
                </m:sSubPr>
                <m:e>
                  <m:r>
                    <w:rPr>
                      <w:rFonts w:ascii="Cambria Math" w:hAnsi="Cambria Math"/>
                    </w:rPr>
                    <m:t>d</m:t>
                  </m:r>
                </m:e>
                <m:sub>
                  <m:r>
                    <w:rPr>
                      <w:rFonts w:ascii="Cambria Math" w:hAnsi="Cambria Math"/>
                    </w:rPr>
                    <m:t>k</m:t>
                  </m:r>
                </m:sub>
              </m:sSub>
            </m:oMath>
          </w:p>
        </w:tc>
      </w:tr>
      <w:tr w:rsidR="001278C0" w14:paraId="1D2802FF" w14:textId="77777777">
        <w:tblPrEx>
          <w:tblCellMar>
            <w:top w:w="0" w:type="dxa"/>
            <w:bottom w:w="0" w:type="dxa"/>
          </w:tblCellMar>
        </w:tblPrEx>
        <w:tc>
          <w:tcPr>
            <w:tcW w:w="0" w:type="auto"/>
          </w:tcPr>
          <w:p w14:paraId="2E037BF2" w14:textId="77777777" w:rsidR="001278C0" w:rsidRDefault="00000000">
            <w:r>
              <w:t>Scaling = temperature</w:t>
            </w:r>
          </w:p>
        </w:tc>
        <w:tc>
          <w:tcPr>
            <w:tcW w:w="0" w:type="auto"/>
          </w:tcPr>
          <w:p w14:paraId="56B6BB38" w14:textId="77777777" w:rsidR="001278C0" w:rsidRDefault="00000000">
            <m:oMathPara>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m:oMathPara>
          </w:p>
        </w:tc>
        <w:tc>
          <w:tcPr>
            <w:tcW w:w="0" w:type="auto"/>
          </w:tcPr>
          <w:p w14:paraId="3B39380C" w14:textId="77777777" w:rsidR="001278C0" w:rsidRDefault="00000000">
            <w:r>
              <w:t xml:space="preserve">Same mathematical role as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p>
        </w:tc>
      </w:tr>
    </w:tbl>
    <w:p w14:paraId="2307B3ED" w14:textId="77777777" w:rsidR="001278C0" w:rsidRDefault="00DC790C">
      <w:r>
        <w:rPr>
          <w:noProof/>
        </w:rPr>
      </w:r>
      <w:r>
        <w:pict w14:anchorId="169F3FE6">
          <v:rect id="Horizontal Line 10"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98E42EB" w14:textId="77777777" w:rsidR="001278C0" w:rsidRDefault="00000000">
      <w:pPr>
        <w:pStyle w:val="Heading2"/>
      </w:pPr>
      <w:bookmarkStart w:id="11" w:name="checkpoint-questions"/>
      <w:bookmarkEnd w:id="10"/>
      <w:r>
        <w:t>10. Checkpoint Questions</w:t>
      </w:r>
    </w:p>
    <w:p w14:paraId="61AA1792" w14:textId="77777777" w:rsidR="001278C0" w:rsidRDefault="00000000">
      <w:r>
        <w:rPr>
          <w:b/>
          <w:bCs/>
        </w:rPr>
        <w:t>Q1.</w:t>
      </w:r>
      <w:r>
        <w:t xml:space="preserve"> If the query and key components have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instead of 1 (e.g., after a different initialization), what scaling factor should be used?</w:t>
      </w:r>
    </w:p>
    <w:p w14:paraId="555732F3" w14:textId="77777777" w:rsidR="001278C0" w:rsidRDefault="00000000">
      <w:r>
        <w:rPr>
          <w:i/>
          <w:iCs/>
        </w:rPr>
        <w:t>Answer:</w:t>
      </w:r>
      <w:r>
        <w:t xml:space="preserve"> </w:t>
      </w:r>
      <m:oMath>
        <m:r>
          <m:rPr>
            <m:nor/>
          </m:rPr>
          <m:t>Var</m:t>
        </m:r>
        <m:d>
          <m:dPr>
            <m:ctrlPr>
              <w:rPr>
                <w:rFonts w:ascii="Cambria Math" w:hAnsi="Cambria Math"/>
              </w:rPr>
            </m:ctrlPr>
          </m:dPr>
          <m:e>
            <m:r>
              <m:rPr>
                <m:sty m:val="b"/>
              </m:rPr>
              <w:rPr>
                <w:rFonts w:ascii="Cambria Math" w:hAnsi="Cambria Math"/>
              </w:rPr>
              <m:t>q</m:t>
            </m:r>
            <m:r>
              <m:rPr>
                <m:sty m:val="p"/>
              </m:rPr>
              <w:rPr>
                <w:rFonts w:ascii="Cambria Math" w:hAnsi="Cambria Math"/>
              </w:rPr>
              <m:t>⋅</m:t>
            </m:r>
            <m:r>
              <m:rPr>
                <m:sty m:val="b"/>
              </m:rP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sSup>
          <m:sSupPr>
            <m:ctrlPr>
              <w:rPr>
                <w:rFonts w:ascii="Cambria Math" w:hAnsi="Cambria Math"/>
              </w:rPr>
            </m:ctrlPr>
          </m:sSupPr>
          <m:e>
            <m:r>
              <w:rPr>
                <w:rFonts w:ascii="Cambria Math" w:hAnsi="Cambria Math"/>
              </w:rPr>
              <m:t>σ</m:t>
            </m:r>
          </m:e>
          <m:sup>
            <m:r>
              <w:rPr>
                <w:rFonts w:ascii="Cambria Math" w:hAnsi="Cambria Math"/>
              </w:rPr>
              <m:t>4</m:t>
            </m:r>
          </m:sup>
        </m:sSup>
      </m:oMath>
      <w:r>
        <w:t xml:space="preserve"> (since </w:t>
      </w:r>
      <m:oMath>
        <m:r>
          <m:rPr>
            <m:nor/>
          </m:rPr>
          <m:t>Var</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l</m:t>
                </m:r>
              </m:sub>
            </m:sSub>
            <m:sSub>
              <m:sSubPr>
                <m:ctrlPr>
                  <w:rPr>
                    <w:rFonts w:ascii="Cambria Math" w:hAnsi="Cambria Math"/>
                  </w:rPr>
                </m:ctrlPr>
              </m:sSubPr>
              <m:e>
                <m:r>
                  <w:rPr>
                    <w:rFonts w:ascii="Cambria Math" w:hAnsi="Cambria Math"/>
                  </w:rPr>
                  <m:t>k</m:t>
                </m:r>
              </m:e>
              <m:sub>
                <m:r>
                  <w:rPr>
                    <w:rFonts w:ascii="Cambria Math" w:hAnsi="Cambria Math"/>
                  </w:rPr>
                  <m:t>l</m:t>
                </m:r>
              </m:sub>
            </m:sSub>
          </m:e>
        </m:d>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q</m:t>
                </m:r>
              </m:e>
              <m:sub>
                <m:r>
                  <w:rPr>
                    <w:rFonts w:ascii="Cambria Math" w:hAnsi="Cambria Math"/>
                  </w:rPr>
                  <m:t>l</m:t>
                </m:r>
              </m:sub>
              <m:sup>
                <m:r>
                  <w:rPr>
                    <w:rFonts w:ascii="Cambria Math" w:hAnsi="Cambria Math"/>
                  </w:rPr>
                  <m:t>2</m:t>
                </m:r>
              </m:sup>
            </m:sSubSup>
          </m:e>
        </m:d>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k</m:t>
                </m:r>
              </m:e>
              <m:sub>
                <m:r>
                  <w:rPr>
                    <w:rFonts w:ascii="Cambria Math" w:hAnsi="Cambria Math"/>
                  </w:rPr>
                  <m:t>l</m:t>
                </m:r>
              </m:sub>
              <m:sup>
                <m:r>
                  <w:rPr>
                    <w:rFonts w:ascii="Cambria Math" w:hAnsi="Cambria Math"/>
                  </w:rPr>
                  <m:t>2</m:t>
                </m:r>
              </m:sup>
            </m:sSubSup>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4</m:t>
            </m:r>
          </m:sup>
        </m:sSup>
      </m:oMath>
      <w:r>
        <w:t xml:space="preserve">). The standard deviation is </w:t>
      </w:r>
      <m:oMath>
        <m:sSup>
          <m:sSupPr>
            <m:ctrlPr>
              <w:rPr>
                <w:rFonts w:ascii="Cambria Math" w:hAnsi="Cambria Math"/>
              </w:rPr>
            </m:ctrlPr>
          </m:sSupPr>
          <m:e>
            <m:r>
              <w:rPr>
                <w:rFonts w:ascii="Cambria Math" w:hAnsi="Cambria Math"/>
              </w:rPr>
              <m:t>σ</m:t>
            </m:r>
          </m:e>
          <m:sup>
            <m:r>
              <w:rPr>
                <w:rFonts w:ascii="Cambria Math" w:hAnsi="Cambria Math"/>
              </w:rPr>
              <m:t>2</m:t>
            </m:r>
          </m:sup>
        </m:sSup>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To restore unit variance, divide by </w:t>
      </w:r>
      <m:oMath>
        <m:sSup>
          <m:sSupPr>
            <m:ctrlPr>
              <w:rPr>
                <w:rFonts w:ascii="Cambria Math" w:hAnsi="Cambria Math"/>
              </w:rPr>
            </m:ctrlPr>
          </m:sSupPr>
          <m:e>
            <m:r>
              <w:rPr>
                <w:rFonts w:ascii="Cambria Math" w:hAnsi="Cambria Math"/>
              </w:rPr>
              <m:t>σ</m:t>
            </m:r>
          </m:e>
          <m:sup>
            <m:r>
              <w:rPr>
                <w:rFonts w:ascii="Cambria Math" w:hAnsi="Cambria Math"/>
              </w:rPr>
              <m:t>2</m:t>
            </m:r>
          </m:sup>
        </m:sSup>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If layer normalization ensures </w:t>
      </w:r>
      <m:oMath>
        <m:r>
          <w:rPr>
            <w:rFonts w:ascii="Cambria Math" w:hAnsi="Cambria Math"/>
          </w:rPr>
          <m:t>σ</m:t>
        </m:r>
        <m:r>
          <m:rPr>
            <m:sty m:val="p"/>
          </m:rPr>
          <w:rPr>
            <w:rFonts w:ascii="Cambria Math" w:hAnsi="Cambria Math"/>
          </w:rPr>
          <m:t>=</m:t>
        </m:r>
        <m:r>
          <w:rPr>
            <w:rFonts w:ascii="Cambria Math" w:hAnsi="Cambria Math"/>
          </w:rPr>
          <m:t>1</m:t>
        </m:r>
      </m:oMath>
      <w:r>
        <w:t xml:space="preserve">, this reduces to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as derived.</w:t>
      </w:r>
    </w:p>
    <w:p w14:paraId="0D4A783C" w14:textId="77777777" w:rsidR="001278C0" w:rsidRDefault="00000000">
      <w:r>
        <w:rPr>
          <w:b/>
          <w:bCs/>
        </w:rPr>
        <w:t>Q2.</w:t>
      </w:r>
      <w:r>
        <w:t xml:space="preserve"> A transformer is designed with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256</m:t>
        </m:r>
      </m:oMath>
      <w:r>
        <w:t xml:space="preserve">. What is the temperature </w:t>
      </w:r>
      <m:oMath>
        <m:r>
          <w:rPr>
            <w:rFonts w:ascii="Cambria Math" w:hAnsi="Cambria Math"/>
          </w:rPr>
          <m:t>τ</m:t>
        </m:r>
      </m:oMath>
      <w:r>
        <w:t xml:space="preserve">? If the designer switches to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1024</m:t>
        </m:r>
      </m:oMath>
      <w:r>
        <w:t xml:space="preserve"> without changing the scaling, what happens to the attention distributions?</w:t>
      </w:r>
    </w:p>
    <w:p w14:paraId="7CF3551C" w14:textId="77777777" w:rsidR="001278C0" w:rsidRDefault="00000000">
      <w:r>
        <w:rPr>
          <w:i/>
          <w:iCs/>
        </w:rPr>
        <w:t>Answer:</w:t>
      </w:r>
      <w:r>
        <w:t xml:space="preserve">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256</m:t>
        </m:r>
      </m:oMath>
      <w:r>
        <w:t xml:space="preserv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256</m:t>
            </m:r>
          </m:e>
        </m:rad>
        <m:r>
          <m:rPr>
            <m:sty m:val="p"/>
          </m:rPr>
          <w:rPr>
            <w:rFonts w:ascii="Cambria Math" w:hAnsi="Cambria Math"/>
          </w:rPr>
          <m:t>=</m:t>
        </m:r>
        <m:r>
          <w:rPr>
            <w:rFonts w:ascii="Cambria Math" w:hAnsi="Cambria Math"/>
          </w:rPr>
          <m:t>16</m:t>
        </m:r>
      </m:oMath>
      <w:r>
        <w:t xml:space="preserve">. At </w:t>
      </w:r>
      <m:oMath>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r>
          <w:rPr>
            <w:rFonts w:ascii="Cambria Math" w:hAnsi="Cambria Math"/>
          </w:rPr>
          <m:t>1024</m:t>
        </m:r>
      </m:oMath>
      <w:r>
        <w:t xml:space="preserve">: </w:t>
      </w:r>
      <m:oMath>
        <m:r>
          <w:rPr>
            <w:rFonts w:ascii="Cambria Math" w:hAnsi="Cambria Math"/>
          </w:rPr>
          <m:t>τ</m:t>
        </m:r>
        <m:r>
          <m:rPr>
            <m:sty m:val="p"/>
          </m:rPr>
          <w:rPr>
            <w:rFonts w:ascii="Cambria Math" w:hAnsi="Cambria Math"/>
          </w:rPr>
          <m:t>=</m:t>
        </m:r>
        <m:rad>
          <m:radPr>
            <m:degHide m:val="1"/>
            <m:ctrlPr>
              <w:rPr>
                <w:rFonts w:ascii="Cambria Math" w:hAnsi="Cambria Math"/>
              </w:rPr>
            </m:ctrlPr>
          </m:radPr>
          <m:deg/>
          <m:e>
            <m:r>
              <w:rPr>
                <w:rFonts w:ascii="Cambria Math" w:hAnsi="Cambria Math"/>
              </w:rPr>
              <m:t>1024</m:t>
            </m:r>
          </m:e>
        </m:rad>
        <m:r>
          <m:rPr>
            <m:sty m:val="p"/>
          </m:rPr>
          <w:rPr>
            <w:rFonts w:ascii="Cambria Math" w:hAnsi="Cambria Math"/>
          </w:rPr>
          <m:t>=</m:t>
        </m:r>
        <m:r>
          <w:rPr>
            <w:rFonts w:ascii="Cambria Math" w:hAnsi="Cambria Math"/>
          </w:rPr>
          <m:t>32</m:t>
        </m:r>
      </m:oMath>
      <w:r>
        <w:t xml:space="preserve">. If the designer keeps scaling by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the attention distributions maintain the same sharpness. If the designer forgets to update the scaling (still divides by 16 instead of 32), the effective temperature is too low — scores are divided by 16 but their variance is now </w:t>
      </w:r>
      <m:oMath>
        <m:r>
          <w:rPr>
            <w:rFonts w:ascii="Cambria Math" w:hAnsi="Cambria Math"/>
          </w:rPr>
          <m:t>1024</m:t>
        </m:r>
      </m:oMath>
      <w:r>
        <w:t xml:space="preserve">, so the scaled scores have variance </w:t>
      </w:r>
      <m:oMath>
        <m:r>
          <w:rPr>
            <w:rFonts w:ascii="Cambria Math" w:hAnsi="Cambria Math"/>
          </w:rPr>
          <m:t>1024</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4</m:t>
        </m:r>
      </m:oMath>
      <w:r>
        <w:t xml:space="preserve"> instead of 1. The attention distributions would be sharper than intended.</w:t>
      </w:r>
    </w:p>
    <w:p w14:paraId="1E14FFAC" w14:textId="77777777" w:rsidR="001278C0" w:rsidRDefault="00000000">
      <w:r>
        <w:rPr>
          <w:b/>
          <w:bCs/>
        </w:rPr>
        <w:t>Q3.</w:t>
      </w:r>
      <w:r>
        <w:t xml:space="preserve"> In the SFM framework, the temperature is a learned parameter </w:t>
      </w:r>
      <m:oMath>
        <m:sSub>
          <m:sSubPr>
            <m:ctrlPr>
              <w:rPr>
                <w:rFonts w:ascii="Cambria Math" w:hAnsi="Cambria Math"/>
              </w:rPr>
            </m:ctrlPr>
          </m:sSubPr>
          <m:e>
            <m:r>
              <w:rPr>
                <w:rFonts w:ascii="Cambria Math" w:hAnsi="Cambria Math"/>
              </w:rPr>
              <m:t>τ</m:t>
            </m:r>
          </m:e>
          <m:sub>
            <m:r>
              <m:rPr>
                <m:nor/>
              </m:rPr>
              <m:t>learned</m:t>
            </m:r>
          </m:sub>
        </m:sSub>
      </m:oMath>
      <w:r>
        <w:t xml:space="preserve"> rather than fixed at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What advantage does this provide?</w:t>
      </w:r>
    </w:p>
    <w:p w14:paraId="26A11D90" w14:textId="77777777" w:rsidR="001278C0" w:rsidRDefault="00000000">
      <w:r>
        <w:rPr>
          <w:i/>
          <w:iCs/>
        </w:rPr>
        <w:t>Answer:</w:t>
      </w:r>
      <w:r>
        <w:t xml:space="preserve"> A learned </w:t>
      </w:r>
      <m:oMath>
        <m:r>
          <w:rPr>
            <w:rFonts w:ascii="Cambria Math" w:hAnsi="Cambria Math"/>
          </w:rPr>
          <m:t>τ</m:t>
        </m:r>
      </m:oMath>
      <w:r>
        <w:t xml:space="preserve"> can adapt to the actual score distribution, which may differ from the theoretical prediction (e.g., after training, the query and key distributions may no longer be zero-mean with unit variance). More importantly, different molecular recognition systems may require different selection stringencies — CRISPR needs very sharp selection while innate immune receptors need broader selection. A fixed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imposes the same sharpness on all systems. A learned </w:t>
      </w:r>
      <m:oMath>
        <m:r>
          <w:rPr>
            <w:rFonts w:ascii="Cambria Math" w:hAnsi="Cambria Math"/>
          </w:rPr>
          <m:t>τ</m:t>
        </m:r>
      </m:oMath>
      <w:r>
        <w:t xml:space="preserve"> allows each SFM to discover the selection stringency appropriate to its domain. The temperature recovery prediction (Lecture 10) tests whether </w:t>
      </w:r>
      <m:oMath>
        <m:sSub>
          <m:sSubPr>
            <m:ctrlPr>
              <w:rPr>
                <w:rFonts w:ascii="Cambria Math" w:hAnsi="Cambria Math"/>
              </w:rPr>
            </m:ctrlPr>
          </m:sSubPr>
          <m:e>
            <m:r>
              <w:rPr>
                <w:rFonts w:ascii="Cambria Math" w:hAnsi="Cambria Math"/>
              </w:rPr>
              <m:t>τ</m:t>
            </m:r>
          </m:e>
          <m:sub>
            <m:r>
              <m:rPr>
                <m:nor/>
              </m:rPr>
              <m:t>learned</m:t>
            </m:r>
          </m:sub>
        </m:sSub>
      </m:oMath>
      <w:r>
        <w:t xml:space="preserve"> has the physical meaning of </w:t>
      </w:r>
      <m:oMath>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w:t>
      </w:r>
    </w:p>
    <w:p w14:paraId="0DF7DA02" w14:textId="77777777" w:rsidR="001278C0" w:rsidRDefault="00DC790C">
      <w:r>
        <w:rPr>
          <w:noProof/>
        </w:rPr>
      </w:r>
      <w:r>
        <w:pict w14:anchorId="11C8DF6F">
          <v:rect id="Horizontal Line 11"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8733725" w14:textId="77777777" w:rsidR="001278C0" w:rsidRDefault="00000000">
      <w:pPr>
        <w:pStyle w:val="Heading2"/>
      </w:pPr>
      <w:bookmarkStart w:id="12" w:name="connection-to-future-lectures"/>
      <w:bookmarkEnd w:id="11"/>
      <w:r>
        <w:t>11. Connection to Future Lectures</w:t>
      </w:r>
    </w:p>
    <w:p w14:paraId="77177E06" w14:textId="77777777" w:rsidR="001278C0" w:rsidRDefault="00000000">
      <w:pPr>
        <w:numPr>
          <w:ilvl w:val="0"/>
          <w:numId w:val="5"/>
        </w:numPr>
      </w:pPr>
      <w:r>
        <w:rPr>
          <w:b/>
          <w:bCs/>
        </w:rPr>
        <w:t>Lecture 4:</w:t>
      </w:r>
      <w:r>
        <w:t xml:space="preserve"> The Boltzmann distribution is derived from maximum entropy with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oMath>
      <w:r>
        <w:t xml:space="preserve">. The physical temperature controls selection stringency for the same mathematical reason that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oMath>
      <w:r>
        <w:t xml:space="preserve"> </w:t>
      </w:r>
      <w:r>
        <w:lastRenderedPageBreak/>
        <w:t>controls attention sharpness: without temperature, the system locks into its lowest-energy state.</w:t>
      </w:r>
    </w:p>
    <w:p w14:paraId="5B4AA87C" w14:textId="77777777" w:rsidR="001278C0" w:rsidRDefault="00000000">
      <w:pPr>
        <w:numPr>
          <w:ilvl w:val="0"/>
          <w:numId w:val="5"/>
        </w:numPr>
      </w:pPr>
      <w:r>
        <w:rPr>
          <w:b/>
          <w:bCs/>
        </w:rPr>
        <w:t>Lecture 6:</w:t>
      </w:r>
      <w:r>
        <w:t xml:space="preserve"> The convergence equation </w:t>
      </w:r>
      <m:oMath>
        <m:r>
          <w:rPr>
            <w:rFonts w:ascii="Cambria Math" w:hAnsi="Cambria Math"/>
          </w:rPr>
          <m:t>P</m:t>
        </m:r>
        <m:d>
          <m:dPr>
            <m:ctrlPr>
              <w:rPr>
                <w:rFonts w:ascii="Cambria Math" w:hAnsi="Cambria Math"/>
              </w:rPr>
            </m:ctrlPr>
          </m:dPr>
          <m:e>
            <m:r>
              <w:rPr>
                <w:rFonts w:ascii="Cambria Math" w:hAnsi="Cambria Math"/>
              </w:rPr>
              <m:t>j</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τ</m:t>
            </m:r>
          </m:e>
        </m:d>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e>
        </m:d>
      </m:oMath>
      <w:r>
        <w:t xml:space="preserve"> is proven unique. Temperature </w:t>
      </w:r>
      <m:oMath>
        <m:r>
          <w:rPr>
            <w:rFonts w:ascii="Cambria Math" w:hAnsi="Cambria Math"/>
          </w:rPr>
          <m:t>τ</m:t>
        </m:r>
      </m:oMath>
      <w:r>
        <w:t xml:space="preserve"> is the only free parameter — the functional form is fully determined by five axioms.</w:t>
      </w:r>
    </w:p>
    <w:p w14:paraId="5A2E8412" w14:textId="77777777" w:rsidR="001278C0" w:rsidRDefault="00000000">
      <w:pPr>
        <w:numPr>
          <w:ilvl w:val="0"/>
          <w:numId w:val="5"/>
        </w:numPr>
      </w:pPr>
      <w:r>
        <w:rPr>
          <w:b/>
          <w:bCs/>
        </w:rPr>
        <w:t>Lecture 7:</w:t>
      </w:r>
      <w:r>
        <w:t xml:space="preserve"> SFMs use learned temperature </w:t>
      </w:r>
      <m:oMath>
        <m:r>
          <w:rPr>
            <w:rFonts w:ascii="Cambria Math" w:hAnsi="Cambria Math"/>
          </w:rPr>
          <m:t>τ</m:t>
        </m:r>
      </m:oMath>
      <w:r>
        <w:t xml:space="preserve"> following CLIP. The value of </w:t>
      </w:r>
      <m:oMath>
        <m:sSub>
          <m:sSubPr>
            <m:ctrlPr>
              <w:rPr>
                <w:rFonts w:ascii="Cambria Math" w:hAnsi="Cambria Math"/>
              </w:rPr>
            </m:ctrlPr>
          </m:sSubPr>
          <m:e>
            <m:r>
              <w:rPr>
                <w:rFonts w:ascii="Cambria Math" w:hAnsi="Cambria Math"/>
              </w:rPr>
              <m:t>τ</m:t>
            </m:r>
          </m:e>
          <m:sub>
            <m:r>
              <m:rPr>
                <m:nor/>
              </m:rPr>
              <m:t>learned</m:t>
            </m:r>
          </m:sub>
        </m:sSub>
      </m:oMath>
      <w:r>
        <w:t xml:space="preserve"> is a prediction of the theory, testable via affinity calibration.</w:t>
      </w:r>
    </w:p>
    <w:p w14:paraId="458D9D60" w14:textId="77777777" w:rsidR="001278C0" w:rsidRDefault="00000000">
      <w:pPr>
        <w:numPr>
          <w:ilvl w:val="0"/>
          <w:numId w:val="5"/>
        </w:numPr>
      </w:pPr>
      <w:r>
        <w:rPr>
          <w:b/>
          <w:bCs/>
        </w:rPr>
        <w:t>Lecture 10:</w:t>
      </w:r>
      <w:r>
        <w:t xml:space="preserve"> The temperature recovery prediction </w:t>
      </w:r>
      <m:oMath>
        <m:sSub>
          <m:sSubPr>
            <m:ctrlPr>
              <w:rPr>
                <w:rFonts w:ascii="Cambria Math" w:hAnsi="Cambria Math"/>
              </w:rPr>
            </m:ctrlPr>
          </m:sSubPr>
          <m:e>
            <m:r>
              <w:rPr>
                <w:rFonts w:ascii="Cambria Math" w:hAnsi="Cambria Math"/>
              </w:rPr>
              <m:t>w</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learned</m:t>
            </m:r>
          </m:sub>
        </m:sSub>
      </m:oMath>
      <w:r>
        <w:t xml:space="preserve"> provides a quantitative test of whether the learned temperature has physical meaning.</w:t>
      </w:r>
      <w:bookmarkEnd w:id="1"/>
      <w:bookmarkEnd w:id="12"/>
    </w:p>
    <w:sectPr w:rsidR="001278C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8B68AF" w14:textId="77777777" w:rsidR="00DC790C" w:rsidRDefault="00DC790C">
      <w:r>
        <w:separator/>
      </w:r>
    </w:p>
  </w:endnote>
  <w:endnote w:type="continuationSeparator" w:id="0">
    <w:p w14:paraId="7339BFBE" w14:textId="77777777" w:rsidR="00DC790C" w:rsidRDefault="00DC7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FB1C6" w14:textId="77777777" w:rsidR="001278C0" w:rsidRDefault="00000000">
    <w:pPr>
      <w:jc w:val="center"/>
    </w:pPr>
    <w:r>
      <w:rPr>
        <w:sz w:val="18"/>
        <w:szCs w:val="18"/>
      </w:rPr>
      <w:fldChar w:fldCharType="begin"/>
    </w:r>
    <w:r>
      <w:rPr>
        <w:sz w:val="18"/>
        <w:szCs w:val="18"/>
      </w:rPr>
      <w:instrText>PAGE</w:instrText>
    </w:r>
    <w:r>
      <w:rPr>
        <w:sz w:val="18"/>
        <w:szCs w:val="18"/>
      </w:rPr>
      <w:fldChar w:fldCharType="separate"/>
    </w:r>
    <w:r w:rsidR="00BB27D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EC9DA" w14:textId="77777777" w:rsidR="00DC790C" w:rsidRDefault="00DC790C">
      <w:r>
        <w:separator/>
      </w:r>
    </w:p>
  </w:footnote>
  <w:footnote w:type="continuationSeparator" w:id="0">
    <w:p w14:paraId="055BD286" w14:textId="77777777" w:rsidR="00DC790C" w:rsidRDefault="00DC7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C0E77" w14:textId="77777777" w:rsidR="001278C0" w:rsidRDefault="00000000">
    <w:pPr>
      <w:pBdr>
        <w:bottom w:val="single" w:sz="4" w:space="4" w:color="999999"/>
      </w:pBdr>
    </w:pPr>
    <w:r>
      <w:rPr>
        <w:i/>
        <w:iCs/>
        <w:sz w:val="18"/>
        <w:szCs w:val="18"/>
      </w:rPr>
      <w:t>MRC Lecture 2 — Derivation Guide 3: The Variance Scaling Argument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27AA2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9C46D2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7EE41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3E074084"/>
    <w:multiLevelType w:val="hybridMultilevel"/>
    <w:tmpl w:val="86FCD234"/>
    <w:lvl w:ilvl="0" w:tplc="D5440B60">
      <w:start w:val="1"/>
      <w:numFmt w:val="bullet"/>
      <w:lvlText w:val="●"/>
      <w:lvlJc w:val="left"/>
      <w:pPr>
        <w:ind w:left="720" w:hanging="360"/>
      </w:pPr>
    </w:lvl>
    <w:lvl w:ilvl="1" w:tplc="CDCED278">
      <w:start w:val="1"/>
      <w:numFmt w:val="bullet"/>
      <w:lvlText w:val="○"/>
      <w:lvlJc w:val="left"/>
      <w:pPr>
        <w:ind w:left="1440" w:hanging="360"/>
      </w:pPr>
    </w:lvl>
    <w:lvl w:ilvl="2" w:tplc="FF226C34">
      <w:start w:val="1"/>
      <w:numFmt w:val="bullet"/>
      <w:lvlText w:val="■"/>
      <w:lvlJc w:val="left"/>
      <w:pPr>
        <w:ind w:left="2160" w:hanging="360"/>
      </w:pPr>
    </w:lvl>
    <w:lvl w:ilvl="3" w:tplc="99886B3C">
      <w:start w:val="1"/>
      <w:numFmt w:val="bullet"/>
      <w:lvlText w:val="●"/>
      <w:lvlJc w:val="left"/>
      <w:pPr>
        <w:ind w:left="2880" w:hanging="360"/>
      </w:pPr>
    </w:lvl>
    <w:lvl w:ilvl="4" w:tplc="6278FFF8">
      <w:start w:val="1"/>
      <w:numFmt w:val="bullet"/>
      <w:lvlText w:val="○"/>
      <w:lvlJc w:val="left"/>
      <w:pPr>
        <w:ind w:left="3600" w:hanging="360"/>
      </w:pPr>
    </w:lvl>
    <w:lvl w:ilvl="5" w:tplc="5D4EDBA0">
      <w:start w:val="1"/>
      <w:numFmt w:val="bullet"/>
      <w:lvlText w:val="■"/>
      <w:lvlJc w:val="left"/>
      <w:pPr>
        <w:ind w:left="4320" w:hanging="360"/>
      </w:pPr>
    </w:lvl>
    <w:lvl w:ilvl="6" w:tplc="44A4AE2A">
      <w:start w:val="1"/>
      <w:numFmt w:val="bullet"/>
      <w:lvlText w:val="●"/>
      <w:lvlJc w:val="left"/>
      <w:pPr>
        <w:ind w:left="5040" w:hanging="360"/>
      </w:pPr>
    </w:lvl>
    <w:lvl w:ilvl="7" w:tplc="30324078">
      <w:start w:val="1"/>
      <w:numFmt w:val="bullet"/>
      <w:lvlText w:val="●"/>
      <w:lvlJc w:val="left"/>
      <w:pPr>
        <w:ind w:left="5760" w:hanging="360"/>
      </w:pPr>
    </w:lvl>
    <w:lvl w:ilvl="8" w:tplc="A2507A90">
      <w:start w:val="1"/>
      <w:numFmt w:val="bullet"/>
      <w:lvlText w:val="●"/>
      <w:lvlJc w:val="left"/>
      <w:pPr>
        <w:ind w:left="6480" w:hanging="360"/>
      </w:pPr>
    </w:lvl>
  </w:abstractNum>
  <w:num w:numId="1" w16cid:durableId="859323243">
    <w:abstractNumId w:val="3"/>
    <w:lvlOverride w:ilvl="0">
      <w:startOverride w:val="1"/>
    </w:lvlOverride>
  </w:num>
  <w:num w:numId="2" w16cid:durableId="584848232">
    <w:abstractNumId w:val="0"/>
  </w:num>
  <w:num w:numId="3" w16cid:durableId="17715880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3075307">
    <w:abstractNumId w:val="1"/>
  </w:num>
  <w:num w:numId="5" w16cid:durableId="970791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8C0"/>
    <w:rsid w:val="001278C0"/>
    <w:rsid w:val="00BB27DC"/>
    <w:rsid w:val="00DC790C"/>
    <w:rsid w:val="00F70B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5D18A4EC"/>
  <w15:docId w15:val="{396FCF14-75AE-114B-88BB-3C300D1F9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1719</Words>
  <Characters>9803</Characters>
  <Application>Microsoft Office Word</Application>
  <DocSecurity>0</DocSecurity>
  <Lines>81</Lines>
  <Paragraphs>22</Paragraphs>
  <ScaleCrop>false</ScaleCrop>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Reddy  Sai</dc:creator>
  <cp:keywords/>
  <cp:lastModifiedBy>Reddy  Sai</cp:lastModifiedBy>
  <cp:revision>2</cp:revision>
  <dcterms:created xsi:type="dcterms:W3CDTF">2026-03-30T13:27:00Z</dcterms:created>
  <dcterms:modified xsi:type="dcterms:W3CDTF">2026-03-30T13:27:00Z</dcterms:modified>
</cp:coreProperties>
</file>