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FA35" w14:textId="77777777" w:rsidR="009D17D3" w:rsidRDefault="00000000">
      <w:pPr>
        <w:pStyle w:val="Heading1"/>
      </w:pPr>
      <w:bookmarkStart w:id="0" w:name="mrc-lecture-3-derivation-guide-1"/>
      <w:r>
        <w:t>MRC Lecture 3 — Derivation Guide 1</w:t>
      </w:r>
    </w:p>
    <w:p w14:paraId="41038CFC" w14:textId="77777777" w:rsidR="009D17D3" w:rsidRDefault="00000000">
      <w:pPr>
        <w:pStyle w:val="Heading1"/>
      </w:pPr>
      <w:bookmarkStart w:id="1" w:name="Xb2b2bcf26585de0f740e2856f4dd9d7ff209919"/>
      <w:bookmarkEnd w:id="0"/>
      <w:r>
        <w:t>The InfoNCE Loss: Derivation from the Boltzmann Selection Probability</w:t>
      </w:r>
    </w:p>
    <w:p w14:paraId="40446F32" w14:textId="77777777" w:rsidR="009D17D3" w:rsidRDefault="00000000">
      <w:r>
        <w:t>Sai T. Reddy — ETH Zurich / BIIE</w:t>
      </w:r>
    </w:p>
    <w:p w14:paraId="1C6AAE3A" w14:textId="77777777" w:rsidR="009D17D3" w:rsidRDefault="002B2BDF">
      <w:r>
        <w:rPr>
          <w:noProof/>
        </w:rPr>
      </w:r>
      <w:r>
        <w:pict w14:anchorId="37391300">
          <v:rect id="Horizontal Line 1"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3AAB179" w14:textId="77777777" w:rsidR="009D17D3" w:rsidRDefault="00000000">
      <w:pPr>
        <w:pStyle w:val="Heading2"/>
      </w:pPr>
      <w:bookmarkStart w:id="2" w:name="motivation"/>
      <w:r>
        <w:t>1. Motivation</w:t>
      </w:r>
    </w:p>
    <w:p w14:paraId="066756F6" w14:textId="77777777" w:rsidR="009D17D3" w:rsidRDefault="00000000">
      <w:r>
        <w:t xml:space="preserve">The </w:t>
      </w:r>
      <w:r>
        <w:rPr>
          <w:b/>
          <w:bCs/>
        </w:rPr>
        <w:t>InfoNCE loss</w:t>
      </w:r>
      <w:r>
        <w:t xml:space="preserve"> is the training objective for all Specificity Foundation Models. It was introduced by Oord et al. (2018) from an information-theoretic perspective: it maximizes a lower bound on the mutual information between representations. CLIP (Radford et al., 2021) adopted it for cross-modal contrastive learning between images and text. CALM (Lee et al., 2026) adopted it for antibody-antigen binding prediction.</w:t>
      </w:r>
    </w:p>
    <w:p w14:paraId="457FD357" w14:textId="77777777" w:rsidR="009D17D3" w:rsidRDefault="00000000">
      <w:r>
        <w:t xml:space="preserve">In this guide, we provide a completely independent derivation from physics: InfoNCE is the </w:t>
      </w:r>
      <w:r>
        <w:rPr>
          <w:b/>
          <w:bCs/>
        </w:rPr>
        <w:t>maximum likelihood estimator</w:t>
      </w:r>
      <w:r>
        <w:t xml:space="preserve"> of the Boltzmann selection probability — the convergence equation. The training objective is not selected from a menu of contrastive losses. It is derived from the governing equation of molecular binding.</w:t>
      </w:r>
    </w:p>
    <w:p w14:paraId="53DB7E61" w14:textId="77777777" w:rsidR="009D17D3" w:rsidRDefault="002B2BDF">
      <w:r>
        <w:rPr>
          <w:noProof/>
        </w:rPr>
      </w:r>
      <w:r>
        <w:pict w14:anchorId="7B7B9282">
          <v:rect id="Horizontal Line 2"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68C3DE9" w14:textId="77777777" w:rsidR="009D17D3" w:rsidRDefault="00000000">
      <w:pPr>
        <w:pStyle w:val="Heading2"/>
      </w:pPr>
      <w:bookmarkStart w:id="3" w:name="setup-the-selection-scenario"/>
      <w:bookmarkEnd w:id="2"/>
      <w:r>
        <w:t>2. Setup: The Selection Scenario</w:t>
      </w:r>
    </w:p>
    <w:p w14:paraId="6D2FD1FC" w14:textId="77777777" w:rsidR="009D17D3" w:rsidRDefault="00000000">
      <w:r>
        <w:rPr>
          <w:b/>
          <w:bCs/>
        </w:rPr>
        <w:t>Physical scenario.</w:t>
      </w:r>
      <w:r>
        <w:t xml:space="preserve"> An agent molecule (e.g., an antibody) encounters a pool of candidate targets. The pool contains one correct binding partner </w:t>
      </w:r>
      <m:oMath>
        <m:r>
          <w:rPr>
            <w:rFonts w:ascii="Cambria Math" w:hAnsi="Cambria Math"/>
          </w:rPr>
          <m:t>f</m:t>
        </m:r>
      </m:oMath>
      <w:r>
        <w:t xml:space="preserve"> (the cognate target) and </w:t>
      </w:r>
      <m:oMath>
        <m:r>
          <w:rPr>
            <w:rFonts w:ascii="Cambria Math" w:hAnsi="Cambria Math"/>
          </w:rPr>
          <m:t>M</m:t>
        </m:r>
      </m:oMath>
      <w:r>
        <w:t xml:space="preserve"> non-cognate competitors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oMath>
      <w:r>
        <w:t>. The agent must “select” a target to bind.</w:t>
      </w:r>
    </w:p>
    <w:p w14:paraId="5E978F2E" w14:textId="77777777" w:rsidR="009D17D3" w:rsidRDefault="00000000">
      <w:r>
        <w:rPr>
          <w:b/>
          <w:bCs/>
        </w:rPr>
        <w:t>Embeddings.</w:t>
      </w:r>
      <w:r>
        <w:t xml:space="preserve"> The agent has been encoded into a query vector </w:t>
      </w:r>
      <m:oMath>
        <m:r>
          <m:rPr>
            <m:sty m:val="b"/>
          </m:rPr>
          <w:rPr>
            <w:rFonts w:ascii="Cambria Math" w:hAnsi="Cambria Math"/>
          </w:rPr>
          <m:t>q</m:t>
        </m:r>
      </m:oMath>
      <w:r>
        <w:t xml:space="preserve"> by the agent encoder. Each target </w:t>
      </w:r>
      <m:oMath>
        <m:r>
          <w:rPr>
            <w:rFonts w:ascii="Cambria Math" w:hAnsi="Cambria Math"/>
          </w:rPr>
          <m:t>j</m:t>
        </m:r>
      </m:oMath>
      <w:r>
        <w:t xml:space="preserve"> has been encoded into a key vector </w:t>
      </w:r>
      <m:oMath>
        <m:sSub>
          <m:sSubPr>
            <m:ctrlPr>
              <w:rPr>
                <w:rFonts w:ascii="Cambria Math" w:hAnsi="Cambria Math"/>
              </w:rPr>
            </m:ctrlPr>
          </m:sSubPr>
          <m:e>
            <m:r>
              <m:rPr>
                <m:sty m:val="b"/>
              </m:rPr>
              <w:rPr>
                <w:rFonts w:ascii="Cambria Math" w:hAnsi="Cambria Math"/>
              </w:rPr>
              <m:t>k</m:t>
            </m:r>
          </m:e>
          <m:sub>
            <m:r>
              <w:rPr>
                <w:rFonts w:ascii="Cambria Math" w:hAnsi="Cambria Math"/>
              </w:rPr>
              <m:t>j</m:t>
            </m:r>
          </m:sub>
        </m:sSub>
      </m:oMath>
      <w:r>
        <w:t xml:space="preserve"> by the target encoder. The compatibility score between the agent and target </w:t>
      </w:r>
      <m:oMath>
        <m:r>
          <w:rPr>
            <w:rFonts w:ascii="Cambria Math" w:hAnsi="Cambria Math"/>
          </w:rPr>
          <m:t>j</m:t>
        </m:r>
      </m:oMath>
      <w:r>
        <w:t xml:space="preserve"> is:</w:t>
      </w:r>
    </w:p>
    <w:p w14:paraId="775CC16F" w14:textId="77777777" w:rsidR="009D17D3"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nor/>
                </m:rPr>
                <m:t>sim</m:t>
              </m:r>
              <m:d>
                <m:dPr>
                  <m:ctrlPr>
                    <w:rPr>
                      <w:rFonts w:ascii="Cambria Math" w:hAnsi="Cambria Math"/>
                    </w:rPr>
                  </m:ctrlPr>
                </m:dPr>
                <m:e>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e>
              </m:d>
            </m:num>
            <m:den>
              <m:r>
                <w:rPr>
                  <w:rFonts w:ascii="Cambria Math" w:hAnsi="Cambria Math"/>
                </w:rPr>
                <m:t>τ</m:t>
              </m:r>
            </m:den>
          </m:f>
        </m:oMath>
      </m:oMathPara>
    </w:p>
    <w:p w14:paraId="3C75A47A" w14:textId="77777777" w:rsidR="009D17D3" w:rsidRDefault="00000000">
      <w:r>
        <w:t xml:space="preserve">where </w:t>
      </w:r>
      <m:oMath>
        <m:r>
          <m:rPr>
            <m:nor/>
          </m:rPr>
          <m:t>sim</m:t>
        </m:r>
        <m:d>
          <m:dPr>
            <m:ctrlPr>
              <w:rPr>
                <w:rFonts w:ascii="Cambria Math" w:hAnsi="Cambria Math"/>
              </w:rPr>
            </m:ctrlPr>
          </m:dPr>
          <m:e>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e>
        </m:d>
        <m:r>
          <m:rPr>
            <m:sty m:val="p"/>
          </m:rPr>
          <w:rPr>
            <w:rFonts w:ascii="Cambria Math" w:hAnsi="Cambria Math"/>
          </w:rPr>
          <m:t>=</m:t>
        </m:r>
        <m:acc>
          <m:accPr>
            <m:ctrlPr>
              <w:rPr>
                <w:rFonts w:ascii="Cambria Math" w:hAnsi="Cambria Math"/>
              </w:rPr>
            </m:ctrlPr>
          </m:accPr>
          <m:e>
            <m:r>
              <m:rPr>
                <m:sty m:val="b"/>
              </m:rPr>
              <w:rPr>
                <w:rFonts w:ascii="Cambria Math" w:hAnsi="Cambria Math"/>
              </w:rPr>
              <m:t>q</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k</m:t>
                </m:r>
              </m:e>
            </m:acc>
          </m:e>
          <m:sub>
            <m:r>
              <w:rPr>
                <w:rFonts w:ascii="Cambria Math" w:hAnsi="Cambria Math"/>
              </w:rPr>
              <m:t>j</m:t>
            </m:r>
          </m:sub>
        </m:sSub>
      </m:oMath>
      <w:r>
        <w:t xml:space="preserve"> is the cosine similarity (dot product of L2-normalized embeddings, from Lecture 1) and </w:t>
      </w:r>
      <m:oMath>
        <m:r>
          <w:rPr>
            <w:rFonts w:ascii="Cambria Math" w:hAnsi="Cambria Math"/>
          </w:rPr>
          <m:t>τ</m:t>
        </m:r>
        <m:r>
          <m:rPr>
            <m:sty m:val="p"/>
          </m:rPr>
          <w:rPr>
            <w:rFonts w:ascii="Cambria Math" w:hAnsi="Cambria Math"/>
          </w:rPr>
          <m:t>&gt;</m:t>
        </m:r>
        <m:r>
          <w:rPr>
            <w:rFonts w:ascii="Cambria Math" w:hAnsi="Cambria Math"/>
          </w:rPr>
          <m:t>0</m:t>
        </m:r>
      </m:oMath>
      <w:r>
        <w:t xml:space="preserve"> is the temperature parameter.</w:t>
      </w:r>
    </w:p>
    <w:p w14:paraId="0833BE68" w14:textId="77777777" w:rsidR="009D17D3" w:rsidRDefault="002B2BDF">
      <w:r>
        <w:rPr>
          <w:noProof/>
        </w:rPr>
      </w:r>
      <w:r>
        <w:pict w14:anchorId="54D67CC3">
          <v:rect id="Horizontal Line 3"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41C4657" w14:textId="77777777" w:rsidR="009D17D3" w:rsidRDefault="00000000">
      <w:pPr>
        <w:pStyle w:val="Heading2"/>
      </w:pPr>
      <w:bookmarkStart w:id="4" w:name="the-selection-probability"/>
      <w:bookmarkEnd w:id="3"/>
      <w:r>
        <w:t>3. The Selection Probability</w:t>
      </w:r>
    </w:p>
    <w:p w14:paraId="0BC3580B" w14:textId="77777777" w:rsidR="009D17D3" w:rsidRDefault="00000000">
      <w:r>
        <w:rPr>
          <w:b/>
          <w:bCs/>
        </w:rPr>
        <w:t>From the convergence equation.</w:t>
      </w:r>
      <w:r>
        <w:t xml:space="preserve"> At thermal equilibrium, the probability that the agent selects target </w:t>
      </w:r>
      <m:oMath>
        <m:r>
          <w:rPr>
            <w:rFonts w:ascii="Cambria Math" w:hAnsi="Cambria Math"/>
          </w:rPr>
          <m:t>j</m:t>
        </m:r>
      </m:oMath>
      <w:r>
        <w:t xml:space="preserve"> from the pool follows the Boltzmann distribution (Lecture 1, Derivation Guide 5; proven unique in Lecture 6):</w:t>
      </w:r>
    </w:p>
    <w:p w14:paraId="601548B4" w14:textId="77777777" w:rsidR="009D17D3"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j</m:t>
              </m:r>
              <m:r>
                <m:rPr>
                  <m:sty m:val="p"/>
                </m:rPr>
                <w:rPr>
                  <w:rFonts w:ascii="Cambria Math" w:hAnsi="Cambria Math"/>
                </w:rPr>
                <m:t>∣</m:t>
              </m:r>
              <m:r>
                <m:rPr>
                  <m:sty m:val="b"/>
                </m:rP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m:rPr>
                      <m:nor/>
                    </m:rPr>
                    <m:t>pool</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e>
              </m:d>
            </m:den>
          </m:f>
        </m:oMath>
      </m:oMathPara>
    </w:p>
    <w:p w14:paraId="2B930FC3" w14:textId="77777777" w:rsidR="009D17D3" w:rsidRDefault="00000000">
      <w:r>
        <w:t>This is the softmax function applied to the compatibility scores — the convergence equation.</w:t>
      </w:r>
    </w:p>
    <w:p w14:paraId="43D074AC" w14:textId="77777777" w:rsidR="009D17D3" w:rsidRDefault="00000000">
      <w:r>
        <w:rPr>
          <w:b/>
          <w:bCs/>
        </w:rPr>
        <w:t>Applied to the training scenario.</w:t>
      </w:r>
      <w:r>
        <w:t xml:space="preserve"> The pool consists of the correct target </w:t>
      </w:r>
      <m:oMath>
        <m:r>
          <w:rPr>
            <w:rFonts w:ascii="Cambria Math" w:hAnsi="Cambria Math"/>
          </w:rPr>
          <m:t>f</m:t>
        </m:r>
      </m:oMath>
      <w:r>
        <w:t xml:space="preserve"> and </w:t>
      </w:r>
      <m:oMath>
        <m:r>
          <w:rPr>
            <w:rFonts w:ascii="Cambria Math" w:hAnsi="Cambria Math"/>
          </w:rPr>
          <m:t>M</m:t>
        </m:r>
      </m:oMath>
      <w:r>
        <w:t xml:space="preserve"> competitors. The probability of the agent correctly selecting its cognate target is:</w:t>
      </w:r>
    </w:p>
    <w:p w14:paraId="2F18B33E" w14:textId="77777777" w:rsidR="009D17D3" w:rsidRDefault="00000000">
      <m:oMathPara>
        <m:oMathParaPr>
          <m:jc m:val="center"/>
        </m:oMathParaPr>
        <m:oMath>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m:rPr>
                  <m:sty m:val="b"/>
                </m:rP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f</m:t>
                      </m:r>
                    </m:sub>
                  </m:sSub>
                </m:e>
              </m:d>
            </m:num>
            <m:den>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f</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c</m:t>
                          </m:r>
                        </m:e>
                        <m:sub>
                          <m:r>
                            <w:rPr>
                              <w:rFonts w:ascii="Cambria Math" w:hAnsi="Cambria Math"/>
                            </w:rPr>
                            <m:t>i</m:t>
                          </m:r>
                        </m:sub>
                      </m:sSub>
                    </m:sub>
                  </m:sSub>
                </m:e>
              </m:d>
            </m:den>
          </m:f>
        </m:oMath>
      </m:oMathPara>
    </w:p>
    <w:p w14:paraId="61A1134F" w14:textId="77777777" w:rsidR="009D17D3" w:rsidRDefault="00000000">
      <w:r>
        <w:t xml:space="preserve">where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m:rPr>
            <m:nor/>
          </m:rPr>
          <m:t>sim</m:t>
        </m:r>
        <m:d>
          <m:dPr>
            <m:ctrlPr>
              <w:rPr>
                <w:rFonts w:ascii="Cambria Math" w:hAnsi="Cambria Math"/>
              </w:rPr>
            </m:ctrlPr>
          </m:dPr>
          <m:e>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f</m:t>
                </m:r>
              </m:sub>
            </m:sSub>
          </m:e>
        </m:d>
        <m:r>
          <m:rPr>
            <m:sty m:val="p"/>
          </m:rPr>
          <w:rPr>
            <w:rFonts w:ascii="Cambria Math" w:hAnsi="Cambria Math"/>
          </w:rPr>
          <m:t>/</m:t>
        </m:r>
        <m:r>
          <w:rPr>
            <w:rFonts w:ascii="Cambria Math" w:hAnsi="Cambria Math"/>
          </w:rPr>
          <m:t>τ</m:t>
        </m:r>
      </m:oMath>
      <w:r>
        <w:t xml:space="preserve"> is the score for the correct target and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c</m:t>
                </m:r>
              </m:e>
              <m:sub>
                <m:r>
                  <w:rPr>
                    <w:rFonts w:ascii="Cambria Math" w:hAnsi="Cambria Math"/>
                  </w:rPr>
                  <m:t>i</m:t>
                </m:r>
              </m:sub>
            </m:sSub>
          </m:sub>
        </m:sSub>
        <m:r>
          <m:rPr>
            <m:sty m:val="p"/>
          </m:rPr>
          <w:rPr>
            <w:rFonts w:ascii="Cambria Math" w:hAnsi="Cambria Math"/>
          </w:rPr>
          <m:t>=</m:t>
        </m:r>
        <m:r>
          <m:rPr>
            <m:nor/>
          </m:rPr>
          <m:t>sim</m:t>
        </m:r>
        <m:d>
          <m:dPr>
            <m:ctrlPr>
              <w:rPr>
                <w:rFonts w:ascii="Cambria Math" w:hAnsi="Cambria Math"/>
              </w:rPr>
            </m:ctrlPr>
          </m:dPr>
          <m:e>
            <m:r>
              <m:rPr>
                <m:sty m:val="b"/>
              </m:rP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sSub>
                  <m:sSubPr>
                    <m:ctrlPr>
                      <w:rPr>
                        <w:rFonts w:ascii="Cambria Math" w:hAnsi="Cambria Math"/>
                      </w:rPr>
                    </m:ctrlPr>
                  </m:sSubPr>
                  <m:e>
                    <m:r>
                      <w:rPr>
                        <w:rFonts w:ascii="Cambria Math" w:hAnsi="Cambria Math"/>
                      </w:rPr>
                      <m:t>c</m:t>
                    </m:r>
                  </m:e>
                  <m:sub>
                    <m:r>
                      <w:rPr>
                        <w:rFonts w:ascii="Cambria Math" w:hAnsi="Cambria Math"/>
                      </w:rPr>
                      <m:t>i</m:t>
                    </m:r>
                  </m:sub>
                </m:sSub>
              </m:sub>
            </m:sSub>
          </m:e>
        </m:d>
        <m:r>
          <m:rPr>
            <m:sty m:val="p"/>
          </m:rPr>
          <w:rPr>
            <w:rFonts w:ascii="Cambria Math" w:hAnsi="Cambria Math"/>
          </w:rPr>
          <m:t>/</m:t>
        </m:r>
        <m:r>
          <w:rPr>
            <w:rFonts w:ascii="Cambria Math" w:hAnsi="Cambria Math"/>
          </w:rPr>
          <m:t>τ</m:t>
        </m:r>
      </m:oMath>
      <w:r>
        <w:t xml:space="preserve"> is the score for competitor </w:t>
      </w:r>
      <m:oMath>
        <m:r>
          <w:rPr>
            <w:rFonts w:ascii="Cambria Math" w:hAnsi="Cambria Math"/>
          </w:rPr>
          <m:t>i</m:t>
        </m:r>
      </m:oMath>
      <w:r>
        <w:t>.</w:t>
      </w:r>
    </w:p>
    <w:p w14:paraId="7B6EA9F8" w14:textId="77777777" w:rsidR="009D17D3" w:rsidRDefault="00000000">
      <w:r>
        <w:rPr>
          <w:b/>
          <w:bCs/>
        </w:rPr>
        <w:t>Biological interpretation.</w:t>
      </w:r>
      <w:r>
        <w:t xml:space="preserve"> In the immune system, this corresponds to clonal selection: a lymphocyte (agent) must discriminate its cognate foreign antigen (correct target </w:t>
      </w:r>
      <m:oMath>
        <m:r>
          <w:rPr>
            <w:rFonts w:ascii="Cambria Math" w:hAnsi="Cambria Math"/>
          </w:rPr>
          <m:t>f</m:t>
        </m:r>
      </m:oMath>
      <w:r>
        <w:t xml:space="preserve">) from self-antigens (competitors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oMath>
      <w:r>
        <w:t>). The probability of correct selection is governed by the Boltzmann distribution over binding energies. The training objective should maximize this probability.</w:t>
      </w:r>
    </w:p>
    <w:p w14:paraId="5F7B7AFD" w14:textId="77777777" w:rsidR="009D17D3" w:rsidRDefault="002B2BDF">
      <w:r>
        <w:rPr>
          <w:noProof/>
        </w:rPr>
      </w:r>
      <w:r>
        <w:pict w14:anchorId="31FA5377">
          <v:rect id="Horizontal Line 4"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F2A2B55" w14:textId="77777777" w:rsidR="009D17D3" w:rsidRDefault="00000000">
      <w:pPr>
        <w:pStyle w:val="Heading2"/>
      </w:pPr>
      <w:bookmarkStart w:id="5" w:name="maximum-likelihood-estimation"/>
      <w:bookmarkEnd w:id="4"/>
      <w:r>
        <w:t>4. Maximum Likelihood Estimation</w:t>
      </w:r>
    </w:p>
    <w:p w14:paraId="2FCD132D" w14:textId="77777777" w:rsidR="009D17D3" w:rsidRDefault="00000000">
      <w:r>
        <w:rPr>
          <w:b/>
          <w:bCs/>
        </w:rPr>
        <w:t>The likelihood.</w:t>
      </w:r>
      <w:r>
        <w:t xml:space="preserve"> Given a training set of </w:t>
      </w:r>
      <m:oMath>
        <m:r>
          <w:rPr>
            <w:rFonts w:ascii="Cambria Math" w:hAnsi="Cambria Math"/>
          </w:rPr>
          <m:t>N</m:t>
        </m:r>
      </m:oMath>
      <w:r>
        <w:t xml:space="preserve"> agent-target binding pairs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e>
        </m:d>
        <m:r>
          <m:rPr>
            <m:sty m:val="p"/>
          </m:rPr>
          <w:rPr>
            <w:rFonts w:ascii="Cambria Math" w:hAnsi="Cambria Math"/>
          </w:rPr>
          <m:t>}</m:t>
        </m:r>
      </m:oMath>
      <w:r>
        <w:t>, each with its own competitor pool, the joint likelihood of all correct selections is:</w:t>
      </w:r>
    </w:p>
    <w:p w14:paraId="69658122" w14:textId="77777777" w:rsidR="009D17D3" w:rsidRDefault="00000000">
      <m:oMathPara>
        <m:oMathParaPr>
          <m:jc m:val="center"/>
        </m:oMathParaPr>
        <m:oMath>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oMath>
      </m:oMathPara>
    </w:p>
    <w:p w14:paraId="7617E2BE" w14:textId="77777777" w:rsidR="009D17D3" w:rsidRDefault="00000000">
      <w:r>
        <w:rPr>
          <w:b/>
          <w:bCs/>
        </w:rPr>
        <w:t>The log-likelihood.</w:t>
      </w:r>
      <w:r>
        <w:t xml:space="preserve"> Taking the logarithm (which is monotonic, so maximizing the log-likelihood is equivalent to maximizing the likelihood):</w:t>
      </w:r>
    </w:p>
    <w:p w14:paraId="0D629AB9" w14:textId="77777777" w:rsidR="009D17D3" w:rsidRDefault="00000000">
      <m:oMathPara>
        <m:oMathParaPr>
          <m:jc m:val="center"/>
        </m:oMathParaPr>
        <m:oMath>
          <m:r>
            <m:rPr>
              <m:sty m:val="p"/>
            </m:rPr>
            <w:rPr>
              <w:rFonts w:ascii="Cambria Math" w:hAnsi="Cambria Math"/>
            </w:rPr>
            <m:t>log</m:t>
          </m:r>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oMath>
      </m:oMathPara>
    </w:p>
    <w:p w14:paraId="1AD65CE3" w14:textId="77777777" w:rsidR="009D17D3" w:rsidRDefault="00000000">
      <w:r>
        <w:rPr>
          <w:b/>
          <w:bCs/>
        </w:rPr>
        <w:t>The negative log-likelihood.</w:t>
      </w:r>
      <w:r>
        <w:t xml:space="preserve"> In machine learning convention, we minimize a loss function. The loss is the negative average log-likelihood:</w:t>
      </w:r>
    </w:p>
    <w:p w14:paraId="2CB6345A" w14:textId="77777777" w:rsidR="009D17D3" w:rsidRDefault="00000000">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oMath>
      </m:oMathPara>
    </w:p>
    <w:p w14:paraId="650329E6" w14:textId="77777777" w:rsidR="009D17D3" w:rsidRDefault="002B2BDF">
      <w:r>
        <w:rPr>
          <w:noProof/>
        </w:rPr>
      </w:r>
      <w:r>
        <w:pict w14:anchorId="298C4DB0">
          <v:rect id="Horizontal Line 5"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56B4827" w14:textId="77777777" w:rsidR="009D17D3" w:rsidRDefault="00000000">
      <w:pPr>
        <w:pStyle w:val="Heading2"/>
      </w:pPr>
      <w:bookmarkStart w:id="6" w:name="substituting-the-convergence-equation"/>
      <w:bookmarkEnd w:id="5"/>
      <w:r>
        <w:t>5. Substituting the Convergence Equation</w:t>
      </w:r>
    </w:p>
    <w:p w14:paraId="3FBBD3B7" w14:textId="77777777" w:rsidR="009D17D3" w:rsidRDefault="00000000">
      <w:r>
        <w:rPr>
          <w:b/>
          <w:bCs/>
        </w:rPr>
        <w:t>Step 1.</w:t>
      </w:r>
      <w:r>
        <w:t xml:space="preserve"> Substitute the selection probability from §3:</w:t>
      </w:r>
    </w:p>
    <w:p w14:paraId="23B5DB44" w14:textId="77777777" w:rsidR="009D17D3" w:rsidRDefault="00000000">
      <m:oMathPara>
        <m:oMathParaPr>
          <m:jc m:val="center"/>
        </m:oMathParaPr>
        <m:oMath>
          <m:r>
            <m:rPr>
              <m:scr m:val="script"/>
              <m:sty m:val="p"/>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f</m:t>
                          </m:r>
                        </m:e>
                        <m:sub>
                          <m:r>
                            <w:rPr>
                              <w:rFonts w:ascii="Cambria Math" w:hAnsi="Cambria Math"/>
                            </w:rPr>
                            <m:t>i</m:t>
                          </m:r>
                        </m:sub>
                      </m:sSub>
                    </m:sub>
                  </m:sSub>
                </m:e>
              </m:d>
            </m:num>
            <m:den>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f</m:t>
                          </m:r>
                        </m:e>
                        <m:sub>
                          <m:r>
                            <w:rPr>
                              <w:rFonts w:ascii="Cambria Math" w:hAnsi="Cambria Math"/>
                            </w:rPr>
                            <m:t>i</m:t>
                          </m:r>
                        </m:sub>
                      </m:sSub>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c</m:t>
                          </m:r>
                        </m:e>
                        <m:sub>
                          <m:r>
                            <w:rPr>
                              <w:rFonts w:ascii="Cambria Math" w:hAnsi="Cambria Math"/>
                            </w:rPr>
                            <m:t>j</m:t>
                          </m:r>
                        </m:sub>
                      </m:sSub>
                    </m:sub>
                  </m:sSub>
                </m:e>
              </m:d>
            </m:den>
          </m:f>
        </m:oMath>
      </m:oMathPara>
    </w:p>
    <w:p w14:paraId="12A973A2" w14:textId="77777777" w:rsidR="009D17D3" w:rsidRDefault="00000000">
      <w:r>
        <w:rPr>
          <w:b/>
          <w:bCs/>
        </w:rPr>
        <w:t>Step 2.</w:t>
      </w:r>
      <w:r>
        <w:t xml:space="preserve"> In the contrastive training setup, the competitor pool for agent </w:t>
      </w:r>
      <m:oMath>
        <m:r>
          <w:rPr>
            <w:rFonts w:ascii="Cambria Math" w:hAnsi="Cambria Math"/>
          </w:rPr>
          <m:t>i</m:t>
        </m:r>
      </m:oMath>
      <w:r>
        <w:t xml:space="preserve"> is the set of all other targets in the mini-batch. For a batch of </w:t>
      </w:r>
      <m:oMath>
        <m:r>
          <w:rPr>
            <w:rFonts w:ascii="Cambria Math" w:hAnsi="Cambria Math"/>
          </w:rPr>
          <m:t>N</m:t>
        </m:r>
      </m:oMath>
      <w:r>
        <w:t xml:space="preserve"> pairs, agent </w:t>
      </w:r>
      <m:oMath>
        <m:r>
          <w:rPr>
            <w:rFonts w:ascii="Cambria Math" w:hAnsi="Cambria Math"/>
          </w:rPr>
          <m:t>i</m:t>
        </m:r>
      </m:oMath>
      <w:r>
        <w:t xml:space="preserve">’s correct target is target </w:t>
      </w:r>
      <m:oMath>
        <m:r>
          <w:rPr>
            <w:rFonts w:ascii="Cambria Math" w:hAnsi="Cambria Math"/>
          </w:rPr>
          <m:t>i</m:t>
        </m:r>
      </m:oMath>
      <w:r>
        <w:t xml:space="preserve">, and the competitors are targets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oMath>
      <w:r>
        <w:t>. The pool is the entire batch.</w:t>
      </w:r>
    </w:p>
    <w:p w14:paraId="09C5BC9C" w14:textId="77777777" w:rsidR="009D17D3" w:rsidRDefault="00000000">
      <w:r>
        <w:t xml:space="preserve">Define the similarity matrix: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m:rPr>
            <m:nor/>
          </m: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e>
        </m:d>
        <m:r>
          <m:rPr>
            <m:sty m:val="p"/>
          </m:rPr>
          <w:rPr>
            <w:rFonts w:ascii="Cambria Math" w:hAnsi="Cambria Math"/>
          </w:rPr>
          <m:t>/</m:t>
        </m:r>
        <m:r>
          <w:rPr>
            <w:rFonts w:ascii="Cambria Math" w:hAnsi="Cambria Math"/>
          </w:rPr>
          <m:t>τ</m:t>
        </m:r>
      </m:oMath>
      <w:r>
        <w:t xml:space="preserve"> for all </w:t>
      </w:r>
      <m:oMath>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w:t>
      </w:r>
    </w:p>
    <w:p w14:paraId="01E16D57" w14:textId="77777777" w:rsidR="009D17D3" w:rsidRDefault="00000000">
      <w:r>
        <w:t xml:space="preserve">The correct pair for agent </w:t>
      </w:r>
      <m:oMath>
        <m:r>
          <w:rPr>
            <w:rFonts w:ascii="Cambria Math" w:hAnsi="Cambria Math"/>
          </w:rPr>
          <m:t>i</m:t>
        </m:r>
      </m:oMath>
      <w:r>
        <w:t xml:space="preserve"> is target </w:t>
      </w:r>
      <m:oMath>
        <m:r>
          <w:rPr>
            <w:rFonts w:ascii="Cambria Math" w:hAnsi="Cambria Math"/>
          </w:rPr>
          <m:t>i</m:t>
        </m:r>
      </m:oMath>
      <w:r>
        <w:t xml:space="preserve">, so </w:t>
      </w: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ii</m:t>
            </m:r>
          </m:sub>
        </m:sSub>
      </m:oMath>
      <w:r>
        <w:t xml:space="preserve"> (the diagonal entry).</w:t>
      </w:r>
    </w:p>
    <w:p w14:paraId="402C4CB7" w14:textId="77777777" w:rsidR="009D17D3" w:rsidRDefault="00000000">
      <w:r>
        <w:rPr>
          <w:b/>
          <w:bCs/>
        </w:rPr>
        <w:t>Step 3.</w:t>
      </w:r>
      <w:r>
        <w:t xml:space="preserve"> Substitute:</w:t>
      </w:r>
    </w:p>
    <w:p w14:paraId="7E87E577" w14:textId="77777777" w:rsidR="009D17D3" w:rsidRDefault="00000000">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InfoNCE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den>
          </m:f>
        </m:oMath>
      </m:oMathPara>
    </w:p>
    <w:p w14:paraId="3E7B0708" w14:textId="77777777" w:rsidR="009D17D3" w:rsidRDefault="00000000">
      <w:r>
        <w:t xml:space="preserve">This is the </w:t>
      </w:r>
      <w:r>
        <w:rPr>
          <w:b/>
          <w:bCs/>
        </w:rPr>
        <w:t>InfoNCE loss</w:t>
      </w:r>
      <w:r>
        <w:t xml:space="preserve">. </w:t>
      </w:r>
      <m:oMath>
        <m:r>
          <m:rPr>
            <m:sty m:val="p"/>
          </m:rPr>
          <w:rPr>
            <w:rFonts w:ascii="Cambria Math" w:hAnsi="Cambria Math"/>
          </w:rPr>
          <m:t>◼</m:t>
        </m:r>
      </m:oMath>
    </w:p>
    <w:p w14:paraId="10C9A10A" w14:textId="77777777" w:rsidR="009D17D3" w:rsidRDefault="002B2BDF">
      <w:r>
        <w:rPr>
          <w:noProof/>
        </w:rPr>
      </w:r>
      <w:r>
        <w:pict w14:anchorId="57E7805A">
          <v:rect id="Horizontal Line 6"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233BC06" w14:textId="77777777" w:rsidR="009D17D3" w:rsidRDefault="00000000">
      <w:pPr>
        <w:pStyle w:val="Heading2"/>
      </w:pPr>
      <w:bookmarkStart w:id="7" w:name="interpretation"/>
      <w:bookmarkEnd w:id="6"/>
      <w:r>
        <w:t>6. Interpretation</w:t>
      </w:r>
    </w:p>
    <w:p w14:paraId="35C0FF48" w14:textId="77777777" w:rsidR="009D17D3" w:rsidRDefault="00000000">
      <w:r>
        <w:rPr>
          <w:b/>
          <w:bCs/>
        </w:rPr>
        <w:t>What the loss computes.</w:t>
      </w:r>
      <w:r>
        <w:t xml:space="preserve"> For each agent </w:t>
      </w:r>
      <m:oMath>
        <m:r>
          <w:rPr>
            <w:rFonts w:ascii="Cambria Math" w:hAnsi="Cambria Math"/>
          </w:rPr>
          <m:t>i</m:t>
        </m:r>
      </m:oMath>
      <w:r>
        <w:t xml:space="preserve"> in the batch:</w:t>
      </w:r>
    </w:p>
    <w:p w14:paraId="480E4379" w14:textId="77777777" w:rsidR="009D17D3" w:rsidRDefault="00000000">
      <w:pPr>
        <w:numPr>
          <w:ilvl w:val="0"/>
          <w:numId w:val="3"/>
        </w:numPr>
      </w:pPr>
      <w:r>
        <w:t xml:space="preserve">Compute the similarity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with every target </w:t>
      </w:r>
      <m:oMath>
        <m:r>
          <w:rPr>
            <w:rFonts w:ascii="Cambria Math" w:hAnsi="Cambria Math"/>
          </w:rPr>
          <m:t>j</m:t>
        </m:r>
      </m:oMath>
      <w:r>
        <w:t xml:space="preserve"> in the batch</w:t>
      </w:r>
    </w:p>
    <w:p w14:paraId="663F5C63" w14:textId="77777777" w:rsidR="009D17D3" w:rsidRDefault="00000000">
      <w:pPr>
        <w:numPr>
          <w:ilvl w:val="0"/>
          <w:numId w:val="3"/>
        </w:numPr>
      </w:pPr>
      <w:r>
        <w:t xml:space="preserve">Apply softmax to get the probability distribution over targets: </w:t>
      </w:r>
      <m:oMath>
        <m:r>
          <w:rPr>
            <w:rFonts w:ascii="Cambria Math" w:hAnsi="Cambria Math"/>
          </w:rPr>
          <m:t>P</m:t>
        </m:r>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ik</m:t>
                </m:r>
              </m:sub>
            </m:sSub>
          </m:e>
        </m:d>
      </m:oMath>
    </w:p>
    <w:p w14:paraId="27C81D3B" w14:textId="77777777" w:rsidR="009D17D3" w:rsidRDefault="00000000">
      <w:pPr>
        <w:numPr>
          <w:ilvl w:val="0"/>
          <w:numId w:val="3"/>
        </w:numPr>
      </w:pPr>
      <w:r>
        <w:t xml:space="preserve">Extract the probability of the correct target: </w:t>
      </w: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ik</m:t>
                </m:r>
              </m:sub>
            </m:sSub>
          </m:e>
        </m:d>
      </m:oMath>
    </w:p>
    <w:p w14:paraId="43161D0D" w14:textId="77777777" w:rsidR="009D17D3" w:rsidRDefault="00000000">
      <w:pPr>
        <w:numPr>
          <w:ilvl w:val="0"/>
          <w:numId w:val="3"/>
        </w:numPr>
      </w:pPr>
      <w:r>
        <w:t xml:space="preserve">Take the negative log of this probability: </w:t>
      </w:r>
      <m:oMath>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oMath>
    </w:p>
    <w:p w14:paraId="4265538A" w14:textId="77777777" w:rsidR="009D17D3" w:rsidRDefault="00000000">
      <w:r>
        <w:t>Average over all agents in the batch.</w:t>
      </w:r>
    </w:p>
    <w:p w14:paraId="4442AA7A" w14:textId="77777777" w:rsidR="009D17D3" w:rsidRDefault="00000000">
      <w:r>
        <w:rPr>
          <w:b/>
          <w:bCs/>
        </w:rPr>
        <w:t>What the loss minimizes.</w:t>
      </w:r>
      <w:r>
        <w:t xml:space="preserve"> The loss is minimized when </w:t>
      </w: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r>
          <m:rPr>
            <m:sty m:val="p"/>
          </m:rPr>
          <w:rPr>
            <w:rFonts w:ascii="Cambria Math" w:hAnsi="Cambria Math"/>
          </w:rPr>
          <m:t>=</m:t>
        </m:r>
        <m:r>
          <w:rPr>
            <w:rFonts w:ascii="Cambria Math" w:hAnsi="Cambria Math"/>
          </w:rPr>
          <m:t>1</m:t>
        </m:r>
      </m:oMath>
      <w:r>
        <w:t xml:space="preserve"> for every agent — when every agent selects its correct target with probability 1. This requires </w:t>
      </w:r>
      <m:oMath>
        <m:sSub>
          <m:sSubPr>
            <m:ctrlPr>
              <w:rPr>
                <w:rFonts w:ascii="Cambria Math" w:hAnsi="Cambria Math"/>
              </w:rPr>
            </m:ctrlPr>
          </m:sSubPr>
          <m:e>
            <m:r>
              <w:rPr>
                <w:rFonts w:ascii="Cambria Math" w:hAnsi="Cambria Math"/>
              </w:rPr>
              <m:t>S</m:t>
            </m:r>
          </m:e>
          <m:sub>
            <m:r>
              <w:rPr>
                <w:rFonts w:ascii="Cambria Math" w:hAnsi="Cambria Math"/>
              </w:rPr>
              <m:t>ii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for all </w:t>
      </w:r>
      <m:oMath>
        <m:r>
          <w:rPr>
            <w:rFonts w:ascii="Cambria Math" w:hAnsi="Cambria Math"/>
          </w:rPr>
          <m:t>j</m:t>
        </m:r>
        <m:r>
          <m:rPr>
            <m:sty m:val="p"/>
          </m:rPr>
          <w:rPr>
            <w:rFonts w:ascii="Cambria Math" w:hAnsi="Cambria Math"/>
          </w:rPr>
          <m:t>≠</m:t>
        </m:r>
        <m:r>
          <w:rPr>
            <w:rFonts w:ascii="Cambria Math" w:hAnsi="Cambria Math"/>
          </w:rPr>
          <m:t>i</m:t>
        </m:r>
      </m:oMath>
      <w:r>
        <w:t>: the correct pair has much higher similarity than any incorrect pair.</w:t>
      </w:r>
    </w:p>
    <w:p w14:paraId="4C92DFE3" w14:textId="77777777" w:rsidR="009D17D3" w:rsidRDefault="00000000">
      <w:r>
        <w:rPr>
          <w:b/>
          <w:bCs/>
        </w:rPr>
        <w:t>Theoretical bounds:</w:t>
      </w:r>
    </w:p>
    <w:p w14:paraId="39A3F1F0" w14:textId="77777777" w:rsidR="009D17D3" w:rsidRDefault="00000000">
      <w:pPr>
        <w:numPr>
          <w:ilvl w:val="0"/>
          <w:numId w:val="4"/>
        </w:numPr>
      </w:pPr>
      <w:r>
        <w:rPr>
          <w:b/>
          <w:bCs/>
        </w:rPr>
        <w:t>Minimum:</w:t>
      </w:r>
      <w:r>
        <w:t xml:space="preserve"> </w:t>
      </w:r>
      <m:oMath>
        <m:sSub>
          <m:sSubPr>
            <m:ctrlPr>
              <w:rPr>
                <w:rFonts w:ascii="Cambria Math" w:hAnsi="Cambria Math"/>
              </w:rPr>
            </m:ctrlPr>
          </m:sSubPr>
          <m:e>
            <m:r>
              <m:rPr>
                <m:scr m:val="script"/>
                <m:sty m:val="p"/>
              </m:rPr>
              <w:rPr>
                <w:rFonts w:ascii="Cambria Math" w:hAnsi="Cambria Math"/>
              </w:rPr>
              <m:t>L</m:t>
            </m:r>
          </m:e>
          <m:sub>
            <m:r>
              <m:rPr>
                <m:nor/>
              </m:rPr>
              <m:t>InfoNCE</m:t>
            </m:r>
          </m:sub>
        </m:sSub>
        <m:r>
          <m:rPr>
            <m:sty m:val="p"/>
          </m:rPr>
          <w:rPr>
            <w:rFonts w:ascii="Cambria Math" w:hAnsi="Cambria Math"/>
          </w:rPr>
          <m:t>=</m:t>
        </m:r>
        <m:r>
          <w:rPr>
            <w:rFonts w:ascii="Cambria Math" w:hAnsi="Cambria Math"/>
          </w:rPr>
          <m:t>0</m:t>
        </m:r>
      </m:oMath>
      <w:r>
        <w:t xml:space="preserve"> when </w:t>
      </w: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r>
          <m:rPr>
            <m:sty m:val="p"/>
          </m:rPr>
          <w:rPr>
            <w:rFonts w:ascii="Cambria Math" w:hAnsi="Cambria Math"/>
          </w:rPr>
          <m:t>=</m:t>
        </m:r>
        <m:r>
          <w:rPr>
            <w:rFonts w:ascii="Cambria Math" w:hAnsi="Cambria Math"/>
          </w:rPr>
          <m:t>1</m:t>
        </m:r>
      </m:oMath>
      <w:r>
        <w:t xml:space="preserve"> for all </w:t>
      </w:r>
      <m:oMath>
        <m:r>
          <w:rPr>
            <w:rFonts w:ascii="Cambria Math" w:hAnsi="Cambria Math"/>
          </w:rPr>
          <m:t>i</m:t>
        </m:r>
      </m:oMath>
      <w:r>
        <w:t xml:space="preserve"> (perfect retrieval).</w:t>
      </w:r>
    </w:p>
    <w:p w14:paraId="6185624C" w14:textId="77777777" w:rsidR="009D17D3" w:rsidRDefault="00000000">
      <w:pPr>
        <w:numPr>
          <w:ilvl w:val="0"/>
          <w:numId w:val="4"/>
        </w:numPr>
      </w:pPr>
      <w:r>
        <w:rPr>
          <w:b/>
          <w:bCs/>
        </w:rPr>
        <w:t>Maximum:</w:t>
      </w:r>
      <w:r>
        <w:t xml:space="preserve"> </w:t>
      </w:r>
      <m:oMath>
        <m:sSub>
          <m:sSubPr>
            <m:ctrlPr>
              <w:rPr>
                <w:rFonts w:ascii="Cambria Math" w:hAnsi="Cambria Math"/>
              </w:rPr>
            </m:ctrlPr>
          </m:sSubPr>
          <m:e>
            <m:r>
              <m:rPr>
                <m:scr m:val="script"/>
                <m:sty m:val="p"/>
              </m:rPr>
              <w:rPr>
                <w:rFonts w:ascii="Cambria Math" w:hAnsi="Cambria Math"/>
              </w:rPr>
              <m:t>L</m:t>
            </m:r>
          </m:e>
          <m:sub>
            <m:r>
              <m:rPr>
                <m:nor/>
              </m:rPr>
              <m:t>InfoNCE</m:t>
            </m:r>
          </m:sub>
        </m:sSub>
        <m:r>
          <m:rPr>
            <m:sty m:val="p"/>
          </m:rPr>
          <w:rPr>
            <w:rFonts w:ascii="Cambria Math" w:hAnsi="Cambria Math"/>
          </w:rPr>
          <m:t>=log</m:t>
        </m:r>
        <m:r>
          <w:rPr>
            <w:rFonts w:ascii="Cambria Math" w:hAnsi="Cambria Math"/>
          </w:rPr>
          <m:t>N</m:t>
        </m:r>
      </m:oMath>
      <w:r>
        <w:t xml:space="preserve"> when </w:t>
      </w: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for all </w:t>
      </w:r>
      <m:oMath>
        <m:r>
          <w:rPr>
            <w:rFonts w:ascii="Cambria Math" w:hAnsi="Cambria Math"/>
          </w:rPr>
          <m:t>i</m:t>
        </m:r>
      </m:oMath>
      <w:r>
        <w:t xml:space="preserve"> (random guessing — all targets are equally likely). This is because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r>
          <m:rPr>
            <m:sty m:val="p"/>
          </m:rPr>
          <w:rPr>
            <w:rFonts w:ascii="Cambria Math" w:hAnsi="Cambria Math"/>
          </w:rPr>
          <m:t>=log</m:t>
        </m:r>
        <m:r>
          <w:rPr>
            <w:rFonts w:ascii="Cambria Math" w:hAnsi="Cambria Math"/>
          </w:rPr>
          <m:t>N</m:t>
        </m:r>
      </m:oMath>
      <w:r>
        <w:t>.</w:t>
      </w:r>
    </w:p>
    <w:p w14:paraId="5518DCD8" w14:textId="77777777" w:rsidR="009D17D3" w:rsidRDefault="002B2BDF">
      <w:r>
        <w:rPr>
          <w:noProof/>
        </w:rPr>
      </w:r>
      <w:r>
        <w:pict w14:anchorId="777D4EDF">
          <v:rect id="Horizontal Line 7"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5DD1F23" w14:textId="77777777" w:rsidR="009D17D3" w:rsidRDefault="00000000">
      <w:pPr>
        <w:pStyle w:val="Heading2"/>
      </w:pPr>
      <w:bookmarkStart w:id="8" w:name="infonce-as-cross-entropy"/>
      <w:bookmarkEnd w:id="7"/>
      <w:r>
        <w:t>7. InfoNCE as Cross-Entropy</w:t>
      </w:r>
    </w:p>
    <w:p w14:paraId="7F00654B" w14:textId="77777777" w:rsidR="009D17D3" w:rsidRDefault="00000000">
      <w:r>
        <w:rPr>
          <w:b/>
          <w:bCs/>
        </w:rPr>
        <w:t>Claim.</w:t>
      </w:r>
      <w:r>
        <w:t xml:space="preserve"> The InfoNCE loss for agent </w:t>
      </w:r>
      <m:oMath>
        <m:r>
          <w:rPr>
            <w:rFonts w:ascii="Cambria Math" w:hAnsi="Cambria Math"/>
          </w:rPr>
          <m:t>i</m:t>
        </m:r>
      </m:oMath>
      <w:r>
        <w:t xml:space="preserve"> is equivalent to the cross-entropy between a one-hot label and the softmax distribution over targets.</w:t>
      </w:r>
    </w:p>
    <w:p w14:paraId="4D3AD772" w14:textId="77777777" w:rsidR="009D17D3" w:rsidRDefault="00000000">
      <w:r>
        <w:rPr>
          <w:b/>
          <w:bCs/>
        </w:rPr>
        <w:t>Proof.</w:t>
      </w:r>
      <w:r>
        <w:t xml:space="preserve"> The one-hot label for agent </w:t>
      </w:r>
      <m:oMath>
        <m:r>
          <w:rPr>
            <w:rFonts w:ascii="Cambria Math" w:hAnsi="Cambria Math"/>
          </w:rPr>
          <m:t>i</m:t>
        </m:r>
      </m:oMath>
      <w:r>
        <w:t xml:space="preserve"> is:</w:t>
      </w:r>
    </w:p>
    <w:p w14:paraId="65680B26" w14:textId="77777777" w:rsidR="009D17D3"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e>
                </m:m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e>
                </m:mr>
              </m:m>
            </m:e>
          </m:d>
        </m:oMath>
      </m:oMathPara>
    </w:p>
    <w:p w14:paraId="6380AFBB" w14:textId="77777777" w:rsidR="009D17D3" w:rsidRDefault="00000000">
      <w:r>
        <w:t>The predicted probability distribution is:</w:t>
      </w:r>
    </w:p>
    <w:p w14:paraId="5AE28D98" w14:textId="77777777" w:rsidR="009D17D3" w:rsidRDefault="00000000">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ik</m:t>
                      </m:r>
                    </m:sub>
                  </m:sSub>
                </m:e>
              </m:d>
            </m:den>
          </m:f>
          <m:r>
            <m:rPr>
              <m:sty m:val="p"/>
            </m:rPr>
            <w:rPr>
              <w:rFonts w:ascii="Cambria Math" w:hAnsi="Cambria Math"/>
            </w:rPr>
            <m:t>=</m:t>
          </m:r>
          <m:r>
            <m:rPr>
              <m:nor/>
            </m:rPr>
            <m:t>softmax</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sub>
                  </m:sSub>
                </m:e>
              </m:d>
            </m:e>
            <m:sub>
              <m:r>
                <w:rPr>
                  <w:rFonts w:ascii="Cambria Math" w:hAnsi="Cambria Math"/>
                </w:rPr>
                <m:t>j</m:t>
              </m:r>
            </m:sub>
          </m:sSub>
        </m:oMath>
      </m:oMathPara>
    </w:p>
    <w:p w14:paraId="405EF94E" w14:textId="77777777" w:rsidR="009D17D3" w:rsidRDefault="00000000">
      <w:r>
        <w:t>The cross-entropy loss is:</w:t>
      </w:r>
    </w:p>
    <w:p w14:paraId="168EED32" w14:textId="77777777" w:rsidR="009D17D3" w:rsidRDefault="00000000">
      <m:oMathPara>
        <m:oMathParaPr>
          <m:jc m:val="center"/>
        </m:oMathParaP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ij</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r>
                <w:rPr>
                  <w:rFonts w:ascii="Cambria Math" w:hAnsi="Cambria Math"/>
                </w:rPr>
                <m:t>0</m:t>
              </m:r>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ii</m:t>
              </m:r>
            </m:sub>
          </m:sSub>
        </m:oMath>
      </m:oMathPara>
    </w:p>
    <w:p w14:paraId="042E5210" w14:textId="77777777" w:rsidR="009D17D3" w:rsidRDefault="00000000">
      <m:oMathPara>
        <m:oMathParaPr>
          <m:jc m:val="center"/>
        </m:oMathParaPr>
        <m:oMath>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ik</m:t>
                      </m:r>
                    </m:sub>
                  </m:sSub>
                </m:e>
              </m:d>
            </m:den>
          </m:f>
        </m:oMath>
      </m:oMathPara>
    </w:p>
    <w:p w14:paraId="000EDA73" w14:textId="77777777" w:rsidR="009D17D3" w:rsidRDefault="00000000">
      <w:r>
        <w:t xml:space="preserve">This is exactly the InfoNCE loss for agent </w:t>
      </w:r>
      <m:oMath>
        <m:r>
          <w:rPr>
            <w:rFonts w:ascii="Cambria Math" w:hAnsi="Cambria Math"/>
          </w:rPr>
          <m:t>i</m:t>
        </m:r>
      </m:oMath>
      <w:r>
        <w:t xml:space="preserve">. </w:t>
      </w:r>
      <m:oMath>
        <m:r>
          <m:rPr>
            <m:sty m:val="p"/>
          </m:rPr>
          <w:rPr>
            <w:rFonts w:ascii="Cambria Math" w:hAnsi="Cambria Math"/>
          </w:rPr>
          <m:t>◼</m:t>
        </m:r>
      </m:oMath>
    </w:p>
    <w:p w14:paraId="54DF2ED0" w14:textId="77777777" w:rsidR="009D17D3" w:rsidRDefault="00000000">
      <w:r>
        <w:rPr>
          <w:b/>
          <w:bCs/>
        </w:rPr>
        <w:t>Implication.</w:t>
      </w:r>
      <w:r>
        <w:t xml:space="preserve"> InfoNCE is multi-class cross-entropy applied to the </w:t>
      </w:r>
      <m:oMath>
        <m:r>
          <w:rPr>
            <w:rFonts w:ascii="Cambria Math" w:hAnsi="Cambria Math"/>
          </w:rPr>
          <m:t>N</m:t>
        </m:r>
        <m:r>
          <m:rPr>
            <m:sty m:val="p"/>
          </m:rPr>
          <w:rPr>
            <w:rFonts w:ascii="Cambria Math" w:hAnsi="Cambria Math"/>
          </w:rPr>
          <m:t>×</m:t>
        </m:r>
        <m:r>
          <w:rPr>
            <w:rFonts w:ascii="Cambria Math" w:hAnsi="Cambria Math"/>
          </w:rPr>
          <m:t>N</m:t>
        </m:r>
      </m:oMath>
      <w:r>
        <w:t xml:space="preserve"> similarity matrix, where the “classes” are the </w:t>
      </w:r>
      <m:oMath>
        <m:r>
          <w:rPr>
            <w:rFonts w:ascii="Cambria Math" w:hAnsi="Cambria Math"/>
          </w:rPr>
          <m:t>N</m:t>
        </m:r>
      </m:oMath>
      <w:r>
        <w:t xml:space="preserve"> targets and the correct class for agent </w:t>
      </w:r>
      <m:oMath>
        <m:r>
          <w:rPr>
            <w:rFonts w:ascii="Cambria Math" w:hAnsi="Cambria Math"/>
          </w:rPr>
          <m:t>i</m:t>
        </m:r>
      </m:oMath>
      <w:r>
        <w:t xml:space="preserve"> is target </w:t>
      </w:r>
      <m:oMath>
        <m:r>
          <w:rPr>
            <w:rFonts w:ascii="Cambria Math" w:hAnsi="Cambria Math"/>
          </w:rPr>
          <m:t>i</m:t>
        </m:r>
      </m:oMath>
      <w:r>
        <w:t xml:space="preserve"> (the diagonal). This is why InfoNCE training can be implemented efficiently using standard cross-entropy loss functions available in any deep learning framework, with the similarity matrix as logits and the diagonal indices as labels.</w:t>
      </w:r>
    </w:p>
    <w:p w14:paraId="1113D4E2" w14:textId="77777777" w:rsidR="009D17D3" w:rsidRDefault="002B2BDF">
      <w:r>
        <w:rPr>
          <w:noProof/>
        </w:rPr>
      </w:r>
      <w:r>
        <w:pict w14:anchorId="3A5E19AC">
          <v:rect id="Horizontal Line 8"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0DA91C2" w14:textId="77777777" w:rsidR="009D17D3" w:rsidRDefault="00000000">
      <w:pPr>
        <w:pStyle w:val="Heading2"/>
      </w:pPr>
      <w:bookmarkStart w:id="9" w:name="the-role-of-in-batch-negatives"/>
      <w:bookmarkEnd w:id="8"/>
      <w:r>
        <w:t>8. The Role of In-Batch Negatives</w:t>
      </w:r>
    </w:p>
    <w:p w14:paraId="1C168709" w14:textId="77777777" w:rsidR="009D17D3" w:rsidRDefault="00000000">
      <w:r>
        <w:rPr>
          <w:b/>
          <w:bCs/>
        </w:rPr>
        <w:t>Definition.</w:t>
      </w:r>
      <w:r>
        <w:t xml:space="preserve"> In the InfoNCE setup, the competitor pool for each agent is the entire mini-batch. For agent </w:t>
      </w:r>
      <m:oMath>
        <m:r>
          <w:rPr>
            <w:rFonts w:ascii="Cambria Math" w:hAnsi="Cambria Math"/>
          </w:rPr>
          <m:t>i</m:t>
        </m:r>
      </m:oMath>
      <w:r>
        <w:t xml:space="preserve">, all targets </w:t>
      </w:r>
      <m:oMath>
        <m:r>
          <w:rPr>
            <w:rFonts w:ascii="Cambria Math" w:hAnsi="Cambria Math"/>
          </w:rPr>
          <m:t>j</m:t>
        </m:r>
        <m:r>
          <m:rPr>
            <m:sty m:val="p"/>
          </m:rPr>
          <w:rPr>
            <w:rFonts w:ascii="Cambria Math" w:hAnsi="Cambria Math"/>
          </w:rPr>
          <m:t>≠</m:t>
        </m:r>
        <m:r>
          <w:rPr>
            <w:rFonts w:ascii="Cambria Math" w:hAnsi="Cambria Math"/>
          </w:rPr>
          <m:t>i</m:t>
        </m:r>
      </m:oMath>
      <w:r>
        <w:t xml:space="preserve"> serve as </w:t>
      </w:r>
      <w:r>
        <w:rPr>
          <w:b/>
          <w:bCs/>
        </w:rPr>
        <w:t>in-batch negatives</w:t>
      </w:r>
      <w:r>
        <w:t xml:space="preserve"> — surrogate non-binding partners.</w:t>
      </w:r>
    </w:p>
    <w:p w14:paraId="274729A8" w14:textId="77777777" w:rsidR="009D17D3" w:rsidRDefault="00000000">
      <w:r>
        <w:rPr>
          <w:b/>
          <w:bCs/>
        </w:rPr>
        <w:t>Why this works.</w:t>
      </w:r>
      <w:r>
        <w:t xml:space="preserve"> In a randomly sampled mini-batch of </w:t>
      </w:r>
      <m:oMath>
        <m:r>
          <w:rPr>
            <w:rFonts w:ascii="Cambria Math" w:hAnsi="Cambria Math"/>
          </w:rPr>
          <m:t>N</m:t>
        </m:r>
      </m:oMath>
      <w:r>
        <w:t xml:space="preserve"> binding pairs, the probability that two randomly paired molecules (agent </w:t>
      </w:r>
      <m:oMath>
        <m:r>
          <w:rPr>
            <w:rFonts w:ascii="Cambria Math" w:hAnsi="Cambria Math"/>
          </w:rPr>
          <m:t>i</m:t>
        </m:r>
      </m:oMath>
      <w:r>
        <w:t xml:space="preserve"> with target </w:t>
      </w:r>
      <m:oMath>
        <m:r>
          <w:rPr>
            <w:rFonts w:ascii="Cambria Math" w:hAnsi="Cambria Math"/>
          </w:rPr>
          <m:t>j</m:t>
        </m:r>
        <m:r>
          <m:rPr>
            <m:sty m:val="p"/>
          </m:rPr>
          <w:rPr>
            <w:rFonts w:ascii="Cambria Math" w:hAnsi="Cambria Math"/>
          </w:rPr>
          <m:t>≠</m:t>
        </m:r>
        <m:r>
          <w:rPr>
            <w:rFonts w:ascii="Cambria Math" w:hAnsi="Cambria Math"/>
          </w:rPr>
          <m:t>i</m:t>
        </m:r>
      </m:oMath>
      <w:r>
        <w:t>) actually bind is extremely small — there are millions of possible antigens for each antibody, so a random antigen is almost certainly a non-binder. In-batch negatives are therefore valid (though noisy) samples of the non-binding distribution.</w:t>
      </w:r>
    </w:p>
    <w:p w14:paraId="7015CD26" w14:textId="77777777" w:rsidR="009D17D3" w:rsidRDefault="00000000">
      <w:r>
        <w:rPr>
          <w:b/>
          <w:bCs/>
        </w:rPr>
        <w:t>Batch size as competitor pool size.</w:t>
      </w:r>
      <w:r>
        <w:t xml:space="preserve"> The number of competitors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equals the batch size minus one. Larger batches provide more negatives, making the discrimination task harder and the learning signal richer. The relationship between batch size and learning quality is analogous to the relationship between competitor pool size and selection stringency in the Boltzmann distribution: more competitors require sharper discrimination.</w:t>
      </w:r>
    </w:p>
    <w:p w14:paraId="0F6C10B6" w14:textId="77777777" w:rsidR="009D17D3" w:rsidRDefault="00000000">
      <w:r>
        <w:rPr>
          <w:b/>
          <w:bCs/>
        </w:rPr>
        <w:t>CLIP</w:t>
      </w:r>
      <w:r>
        <w:t xml:space="preserve"> used batch sizes up to 32,768. </w:t>
      </w:r>
      <w:r>
        <w:rPr>
          <w:b/>
          <w:bCs/>
        </w:rPr>
        <w:t>CALM</w:t>
      </w:r>
      <w:r>
        <w:t xml:space="preserve"> used smaller batches (limited by the ~4,000 available pairs) but supplemented with hard negative mining strategies.</w:t>
      </w:r>
    </w:p>
    <w:p w14:paraId="3FC9CACB" w14:textId="77777777" w:rsidR="009D17D3" w:rsidRDefault="002B2BDF">
      <w:r>
        <w:rPr>
          <w:noProof/>
        </w:rPr>
      </w:r>
      <w:r>
        <w:pict w14:anchorId="23C007B6">
          <v:rect id="Horizontal Line 9"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B759BD2" w14:textId="77777777" w:rsidR="009D17D3" w:rsidRDefault="00000000">
      <w:pPr>
        <w:pStyle w:val="Heading2"/>
      </w:pPr>
      <w:bookmarkStart w:id="10" w:name="connection-to-mutual-information"/>
      <w:bookmarkEnd w:id="9"/>
      <w:r>
        <w:t>9. Connection to Mutual Information</w:t>
      </w:r>
    </w:p>
    <w:p w14:paraId="29E7AB78" w14:textId="77777777" w:rsidR="009D17D3" w:rsidRDefault="00000000">
      <w:r>
        <w:rPr>
          <w:b/>
          <w:bCs/>
        </w:rPr>
        <w:t>The information-theoretic perspective.</w:t>
      </w:r>
      <w:r>
        <w:t xml:space="preserve"> Oord et al. (2018) proved that InfoNCE maximizes a lower bound on the mutual information </w:t>
      </w:r>
      <m:oMath>
        <m:r>
          <w:rPr>
            <w:rFonts w:ascii="Cambria Math" w:hAnsi="Cambria Math"/>
          </w:rPr>
          <m:t>I</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oMath>
      <w:r>
        <w:t xml:space="preserve"> between agent and target representations:</w:t>
      </w:r>
    </w:p>
    <w:p w14:paraId="37A9EED0" w14:textId="77777777" w:rsidR="009D17D3" w:rsidRDefault="00000000">
      <m:oMathPara>
        <m:oMathParaPr>
          <m:jc m:val="center"/>
        </m:oMathParaPr>
        <m:oMath>
          <m:r>
            <w:rPr>
              <w:rFonts w:ascii="Cambria Math" w:hAnsi="Cambria Math"/>
            </w:rPr>
            <m:t>I</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≥log</m:t>
          </m:r>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InfoNCE</m:t>
              </m:r>
            </m:sub>
          </m:sSub>
        </m:oMath>
      </m:oMathPara>
    </w:p>
    <w:p w14:paraId="0D3B81B3" w14:textId="77777777" w:rsidR="009D17D3" w:rsidRDefault="00000000">
      <w:r>
        <w:t>As the loss decreases (better discrimination), the lower bound tightens. At perfect performance (</w:t>
      </w:r>
      <m:oMath>
        <m:r>
          <m:rPr>
            <m:scr m:val="script"/>
            <m:sty m:val="p"/>
          </m:rPr>
          <w:rPr>
            <w:rFonts w:ascii="Cambria Math" w:hAnsi="Cambria Math"/>
          </w:rPr>
          <m:t>L=</m:t>
        </m:r>
        <m:r>
          <w:rPr>
            <w:rFonts w:ascii="Cambria Math" w:hAnsi="Cambria Math"/>
          </w:rPr>
          <m:t>0</m:t>
        </m:r>
      </m:oMath>
      <w:r>
        <w:t xml:space="preserve">), the bound equals </w:t>
      </w:r>
      <m:oMath>
        <m:r>
          <m:rPr>
            <m:sty m:val="p"/>
          </m:rPr>
          <w:rPr>
            <w:rFonts w:ascii="Cambria Math" w:hAnsi="Cambria Math"/>
          </w:rPr>
          <m:t>log</m:t>
        </m:r>
        <m:r>
          <w:rPr>
            <w:rFonts w:ascii="Cambria Math" w:hAnsi="Cambria Math"/>
          </w:rPr>
          <m:t>N</m:t>
        </m:r>
      </m:oMath>
      <w:r>
        <w:t>.</w:t>
      </w:r>
    </w:p>
    <w:p w14:paraId="3EEB653A" w14:textId="77777777" w:rsidR="009D17D3" w:rsidRDefault="00000000">
      <w:r>
        <w:rPr>
          <w:b/>
          <w:bCs/>
        </w:rPr>
        <w:t>The physical perspective.</w:t>
      </w:r>
      <w:r>
        <w:t xml:space="preserve"> The MRC framework provides a complementary interpretation: InfoNCE maximizes the likelihood of the Boltzmann selection probability. The two perspectives converge because the Boltzmann distribution IS the maximum entropy distribution (Jaynes, 1957), and maximum entropy distributions are precisely those that maximize mutual information subject to </w:t>
      </w:r>
      <w:r>
        <w:lastRenderedPageBreak/>
        <w:t>energy constraints. The information-theoretic and physical derivations are not merely analogous — they are different expressions of the same mathematical principle.</w:t>
      </w:r>
    </w:p>
    <w:p w14:paraId="67973A8F" w14:textId="77777777" w:rsidR="009D17D3" w:rsidRDefault="002B2BDF">
      <w:r>
        <w:rPr>
          <w:noProof/>
        </w:rPr>
      </w:r>
      <w:r>
        <w:pict w14:anchorId="51EF392B">
          <v:rect id="Horizontal Line 10"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FAE6DA5" w14:textId="77777777" w:rsidR="009D17D3" w:rsidRDefault="00000000">
      <w:pPr>
        <w:pStyle w:val="Heading2"/>
      </w:pPr>
      <w:bookmarkStart w:id="11" w:name="summary"/>
      <w:bookmarkEnd w:id="10"/>
      <w:r>
        <w:t>10.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992"/>
        <w:gridCol w:w="3783"/>
        <w:gridCol w:w="3241"/>
      </w:tblGrid>
      <w:tr w:rsidR="009D17D3" w14:paraId="1E8AD366" w14:textId="77777777">
        <w:tblPrEx>
          <w:tblCellMar>
            <w:top w:w="0" w:type="dxa"/>
            <w:bottom w:w="0" w:type="dxa"/>
          </w:tblCellMar>
        </w:tblPrEx>
        <w:trPr>
          <w:tblHeader/>
        </w:trPr>
        <w:tc>
          <w:tcPr>
            <w:tcW w:w="0" w:type="auto"/>
          </w:tcPr>
          <w:p w14:paraId="51B129C8" w14:textId="77777777" w:rsidR="009D17D3" w:rsidRDefault="00000000">
            <w:r>
              <w:t>Concept</w:t>
            </w:r>
          </w:p>
        </w:tc>
        <w:tc>
          <w:tcPr>
            <w:tcW w:w="0" w:type="auto"/>
          </w:tcPr>
          <w:p w14:paraId="149CCB81" w14:textId="77777777" w:rsidR="009D17D3" w:rsidRDefault="00000000">
            <w:r>
              <w:t>Definition</w:t>
            </w:r>
          </w:p>
        </w:tc>
        <w:tc>
          <w:tcPr>
            <w:tcW w:w="0" w:type="auto"/>
          </w:tcPr>
          <w:p w14:paraId="5E37D247" w14:textId="77777777" w:rsidR="009D17D3" w:rsidRDefault="00000000">
            <w:r>
              <w:t>Significance</w:t>
            </w:r>
          </w:p>
        </w:tc>
      </w:tr>
      <w:tr w:rsidR="009D17D3" w14:paraId="6BD78CE3" w14:textId="77777777">
        <w:tblPrEx>
          <w:tblCellMar>
            <w:top w:w="0" w:type="dxa"/>
            <w:bottom w:w="0" w:type="dxa"/>
          </w:tblCellMar>
        </w:tblPrEx>
        <w:tc>
          <w:tcPr>
            <w:tcW w:w="0" w:type="auto"/>
          </w:tcPr>
          <w:p w14:paraId="4EDCAF38" w14:textId="77777777" w:rsidR="009D17D3" w:rsidRDefault="00000000">
            <w:r>
              <w:t>Selection probability</w:t>
            </w:r>
          </w:p>
        </w:tc>
        <w:tc>
          <w:tcPr>
            <w:tcW w:w="0" w:type="auto"/>
          </w:tcPr>
          <w:p w14:paraId="033AD5E8" w14:textId="77777777" w:rsidR="009D17D3" w:rsidRDefault="00000000">
            <m:oMathPara>
              <m:oMath>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m:rPr>
                        <m:sty m:val="b"/>
                      </m:rPr>
                      <w:rPr>
                        <w:rFonts w:ascii="Cambria Math" w:hAnsi="Cambria Math"/>
                      </w:rPr>
                      <m:t>q</m:t>
                    </m:r>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f</m:t>
                        </m:r>
                      </m:sub>
                    </m:sSub>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e>
                </m:d>
              </m:oMath>
            </m:oMathPara>
          </w:p>
        </w:tc>
        <w:tc>
          <w:tcPr>
            <w:tcW w:w="0" w:type="auto"/>
          </w:tcPr>
          <w:p w14:paraId="032CE19A" w14:textId="77777777" w:rsidR="009D17D3" w:rsidRDefault="00000000">
            <w:r>
              <w:t>Boltzmann/softmax over competitor pool</w:t>
            </w:r>
          </w:p>
        </w:tc>
      </w:tr>
      <w:tr w:rsidR="009D17D3" w14:paraId="29B024F3" w14:textId="77777777">
        <w:tblPrEx>
          <w:tblCellMar>
            <w:top w:w="0" w:type="dxa"/>
            <w:bottom w:w="0" w:type="dxa"/>
          </w:tblCellMar>
        </w:tblPrEx>
        <w:tc>
          <w:tcPr>
            <w:tcW w:w="0" w:type="auto"/>
          </w:tcPr>
          <w:p w14:paraId="4744DD4A" w14:textId="77777777" w:rsidR="009D17D3" w:rsidRDefault="00000000">
            <w:r>
              <w:t>InfoNCE loss</w:t>
            </w:r>
          </w:p>
        </w:tc>
        <w:tc>
          <w:tcPr>
            <w:tcW w:w="0" w:type="auto"/>
          </w:tcPr>
          <w:p w14:paraId="37EA499C" w14:textId="77777777" w:rsidR="009D17D3" w:rsidRDefault="00000000">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ii</m:t>
                            </m:r>
                          </m:sub>
                        </m:sSub>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ij</m:t>
                            </m:r>
                          </m:sub>
                        </m:sSub>
                      </m:e>
                    </m:d>
                  </m:den>
                </m:f>
              </m:oMath>
            </m:oMathPara>
          </w:p>
        </w:tc>
        <w:tc>
          <w:tcPr>
            <w:tcW w:w="0" w:type="auto"/>
          </w:tcPr>
          <w:p w14:paraId="3216A477" w14:textId="77777777" w:rsidR="009D17D3" w:rsidRDefault="00000000">
            <w:r>
              <w:t>Negative log-likelihood of correct selection</w:t>
            </w:r>
          </w:p>
        </w:tc>
      </w:tr>
      <w:tr w:rsidR="009D17D3" w14:paraId="46E51C0F" w14:textId="77777777">
        <w:tblPrEx>
          <w:tblCellMar>
            <w:top w:w="0" w:type="dxa"/>
            <w:bottom w:w="0" w:type="dxa"/>
          </w:tblCellMar>
        </w:tblPrEx>
        <w:tc>
          <w:tcPr>
            <w:tcW w:w="0" w:type="auto"/>
          </w:tcPr>
          <w:p w14:paraId="65864F33" w14:textId="77777777" w:rsidR="009D17D3" w:rsidRDefault="00000000">
            <w:r>
              <w:t>In-batch negatives</w:t>
            </w:r>
          </w:p>
        </w:tc>
        <w:tc>
          <w:tcPr>
            <w:tcW w:w="0" w:type="auto"/>
          </w:tcPr>
          <w:p w14:paraId="6C9937F5" w14:textId="77777777" w:rsidR="009D17D3" w:rsidRDefault="00000000">
            <w:r>
              <w:t>All other targets in the mini-batch</w:t>
            </w:r>
          </w:p>
        </w:tc>
        <w:tc>
          <w:tcPr>
            <w:tcW w:w="0" w:type="auto"/>
          </w:tcPr>
          <w:p w14:paraId="4D04A970" w14:textId="77777777" w:rsidR="009D17D3" w:rsidRDefault="00000000">
            <w:r>
              <w:t>Surrogate competitor pool</w:t>
            </w:r>
          </w:p>
        </w:tc>
      </w:tr>
      <w:tr w:rsidR="009D17D3" w14:paraId="1BDD4805" w14:textId="77777777">
        <w:tblPrEx>
          <w:tblCellMar>
            <w:top w:w="0" w:type="dxa"/>
            <w:bottom w:w="0" w:type="dxa"/>
          </w:tblCellMar>
        </w:tblPrEx>
        <w:tc>
          <w:tcPr>
            <w:tcW w:w="0" w:type="auto"/>
          </w:tcPr>
          <w:p w14:paraId="5E723447" w14:textId="77777777" w:rsidR="009D17D3" w:rsidRDefault="00000000">
            <w:r>
              <w:t>Cross-entropy equivalence</w:t>
            </w:r>
          </w:p>
        </w:tc>
        <w:tc>
          <w:tcPr>
            <w:tcW w:w="0" w:type="auto"/>
          </w:tcPr>
          <w:p w14:paraId="5E4C76E9" w14:textId="77777777" w:rsidR="009D17D3" w:rsidRDefault="00000000">
            <w:r>
              <w:t xml:space="preserve">InfoNCE = cross-entropy with one-hot labels on </w:t>
            </w:r>
            <m:oMath>
              <m:r>
                <w:rPr>
                  <w:rFonts w:ascii="Cambria Math" w:hAnsi="Cambria Math"/>
                </w:rPr>
                <m:t>S</m:t>
              </m:r>
            </m:oMath>
          </w:p>
        </w:tc>
        <w:tc>
          <w:tcPr>
            <w:tcW w:w="0" w:type="auto"/>
          </w:tcPr>
          <w:p w14:paraId="367AB0CC" w14:textId="77777777" w:rsidR="009D17D3" w:rsidRDefault="00000000">
            <w:r>
              <w:t>Efficient implementation</w:t>
            </w:r>
          </w:p>
        </w:tc>
      </w:tr>
      <w:tr w:rsidR="009D17D3" w14:paraId="4CCB5CEE" w14:textId="77777777">
        <w:tblPrEx>
          <w:tblCellMar>
            <w:top w:w="0" w:type="dxa"/>
            <w:bottom w:w="0" w:type="dxa"/>
          </w:tblCellMar>
        </w:tblPrEx>
        <w:tc>
          <w:tcPr>
            <w:tcW w:w="0" w:type="auto"/>
          </w:tcPr>
          <w:p w14:paraId="1320AD5A" w14:textId="77777777" w:rsidR="009D17D3" w:rsidRDefault="00000000">
            <w:r>
              <w:t>Theoretical minimum</w:t>
            </w:r>
          </w:p>
        </w:tc>
        <w:tc>
          <w:tcPr>
            <w:tcW w:w="0" w:type="auto"/>
          </w:tcPr>
          <w:p w14:paraId="67A71EC0" w14:textId="77777777" w:rsidR="009D17D3" w:rsidRDefault="00000000">
            <m:oMathPara>
              <m:oMath>
                <m:r>
                  <m:rPr>
                    <m:scr m:val="script"/>
                    <m:sty m:val="p"/>
                  </m:rPr>
                  <w:rPr>
                    <w:rFonts w:ascii="Cambria Math" w:hAnsi="Cambria Math"/>
                  </w:rPr>
                  <m:t>L=</m:t>
                </m:r>
                <m:r>
                  <w:rPr>
                    <w:rFonts w:ascii="Cambria Math" w:hAnsi="Cambria Math"/>
                  </w:rPr>
                  <m:t>0</m:t>
                </m:r>
              </m:oMath>
            </m:oMathPara>
          </w:p>
        </w:tc>
        <w:tc>
          <w:tcPr>
            <w:tcW w:w="0" w:type="auto"/>
          </w:tcPr>
          <w:p w14:paraId="1153896A" w14:textId="77777777" w:rsidR="009D17D3" w:rsidRDefault="00000000">
            <w:r>
              <w:t>Perfect retrieval</w:t>
            </w:r>
          </w:p>
        </w:tc>
      </w:tr>
      <w:tr w:rsidR="009D17D3" w14:paraId="4DCADA07" w14:textId="77777777">
        <w:tblPrEx>
          <w:tblCellMar>
            <w:top w:w="0" w:type="dxa"/>
            <w:bottom w:w="0" w:type="dxa"/>
          </w:tblCellMar>
        </w:tblPrEx>
        <w:tc>
          <w:tcPr>
            <w:tcW w:w="0" w:type="auto"/>
          </w:tcPr>
          <w:p w14:paraId="30B903DC" w14:textId="77777777" w:rsidR="009D17D3" w:rsidRDefault="00000000">
            <w:r>
              <w:t>Theoretical maximum</w:t>
            </w:r>
          </w:p>
        </w:tc>
        <w:tc>
          <w:tcPr>
            <w:tcW w:w="0" w:type="auto"/>
          </w:tcPr>
          <w:p w14:paraId="44D5C9E4" w14:textId="77777777" w:rsidR="009D17D3" w:rsidRDefault="00000000">
            <m:oMathPara>
              <m:oMath>
                <m:r>
                  <m:rPr>
                    <m:scr m:val="script"/>
                    <m:sty m:val="p"/>
                  </m:rPr>
                  <w:rPr>
                    <w:rFonts w:ascii="Cambria Math" w:hAnsi="Cambria Math"/>
                  </w:rPr>
                  <m:t>L</m:t>
                </m:r>
                <m:r>
                  <m:rPr>
                    <m:sty m:val="p"/>
                  </m:rPr>
                  <w:rPr>
                    <w:rFonts w:ascii="Cambria Math" w:hAnsi="Cambria Math"/>
                  </w:rPr>
                  <m:t>=log</m:t>
                </m:r>
                <m:r>
                  <w:rPr>
                    <w:rFonts w:ascii="Cambria Math" w:hAnsi="Cambria Math"/>
                  </w:rPr>
                  <m:t>N</m:t>
                </m:r>
              </m:oMath>
            </m:oMathPara>
          </w:p>
        </w:tc>
        <w:tc>
          <w:tcPr>
            <w:tcW w:w="0" w:type="auto"/>
          </w:tcPr>
          <w:p w14:paraId="58AF07CB" w14:textId="77777777" w:rsidR="009D17D3" w:rsidRDefault="00000000">
            <w:r>
              <w:t>Random guessing</w:t>
            </w:r>
          </w:p>
        </w:tc>
      </w:tr>
      <w:tr w:rsidR="009D17D3" w14:paraId="6DC1D398" w14:textId="77777777">
        <w:tblPrEx>
          <w:tblCellMar>
            <w:top w:w="0" w:type="dxa"/>
            <w:bottom w:w="0" w:type="dxa"/>
          </w:tblCellMar>
        </w:tblPrEx>
        <w:tc>
          <w:tcPr>
            <w:tcW w:w="0" w:type="auto"/>
          </w:tcPr>
          <w:p w14:paraId="7A1B0BDE" w14:textId="77777777" w:rsidR="009D17D3" w:rsidRDefault="00000000">
            <w:r>
              <w:t>Mutual information</w:t>
            </w:r>
          </w:p>
        </w:tc>
        <w:tc>
          <w:tcPr>
            <w:tcW w:w="0" w:type="auto"/>
          </w:tcPr>
          <w:p w14:paraId="7AA32EDE" w14:textId="77777777" w:rsidR="009D17D3" w:rsidRDefault="00000000">
            <m:oMathPara>
              <m:oMath>
                <m:r>
                  <w:rPr>
                    <w:rFonts w:ascii="Cambria Math" w:hAnsi="Cambria Math"/>
                  </w:rPr>
                  <m:t>I</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≥log</m:t>
                </m:r>
                <m:r>
                  <w:rPr>
                    <w:rFonts w:ascii="Cambria Math" w:hAnsi="Cambria Math"/>
                  </w:rPr>
                  <m:t>N</m:t>
                </m:r>
                <m:r>
                  <m:rPr>
                    <m:scr m:val="script"/>
                    <m:sty m:val="p"/>
                  </m:rPr>
                  <w:rPr>
                    <w:rFonts w:ascii="Cambria Math" w:hAnsi="Cambria Math"/>
                  </w:rPr>
                  <m:t>-L</m:t>
                </m:r>
              </m:oMath>
            </m:oMathPara>
          </w:p>
        </w:tc>
        <w:tc>
          <w:tcPr>
            <w:tcW w:w="0" w:type="auto"/>
          </w:tcPr>
          <w:p w14:paraId="6149F827" w14:textId="77777777" w:rsidR="009D17D3" w:rsidRDefault="00000000">
            <w:r>
              <w:t>Information-theoretic interpretation</w:t>
            </w:r>
          </w:p>
        </w:tc>
      </w:tr>
    </w:tbl>
    <w:p w14:paraId="3FDF6FD8" w14:textId="77777777" w:rsidR="009D17D3" w:rsidRDefault="002B2BDF">
      <w:r>
        <w:rPr>
          <w:noProof/>
        </w:rPr>
      </w:r>
      <w:r>
        <w:pict w14:anchorId="0FCDDC25">
          <v:rect id="Horizontal Line 11"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9D29472" w14:textId="77777777" w:rsidR="009D17D3" w:rsidRDefault="00000000">
      <w:pPr>
        <w:pStyle w:val="Heading2"/>
      </w:pPr>
      <w:bookmarkStart w:id="12" w:name="checkpoint-questions"/>
      <w:bookmarkEnd w:id="11"/>
      <w:r>
        <w:t>11. Checkpoint Questions</w:t>
      </w:r>
    </w:p>
    <w:p w14:paraId="1E95D798" w14:textId="77777777" w:rsidR="009D17D3" w:rsidRDefault="00000000">
      <w:r>
        <w:rPr>
          <w:b/>
          <w:bCs/>
        </w:rPr>
        <w:t>Q1.</w:t>
      </w:r>
      <w:r>
        <w:t xml:space="preserve"> In a batch of </w:t>
      </w:r>
      <m:oMath>
        <m:r>
          <w:rPr>
            <w:rFonts w:ascii="Cambria Math" w:hAnsi="Cambria Math"/>
          </w:rPr>
          <m:t>N</m:t>
        </m:r>
        <m:r>
          <m:rPr>
            <m:sty m:val="p"/>
          </m:rPr>
          <w:rPr>
            <w:rFonts w:ascii="Cambria Math" w:hAnsi="Cambria Math"/>
          </w:rPr>
          <m:t>=</m:t>
        </m:r>
        <m:r>
          <w:rPr>
            <w:rFonts w:ascii="Cambria Math" w:hAnsi="Cambria Math"/>
          </w:rPr>
          <m:t>256</m:t>
        </m:r>
      </m:oMath>
      <w:r>
        <w:t xml:space="preserve"> pairs, what is the InfoNCE loss if the model is guessing randomly (uniform distribution over targets)?</w:t>
      </w:r>
    </w:p>
    <w:p w14:paraId="757CB78F" w14:textId="77777777" w:rsidR="009D17D3" w:rsidRDefault="00000000">
      <w:r>
        <w:rPr>
          <w:i/>
          <w:iCs/>
        </w:rPr>
        <w:t>Answer:</w:t>
      </w:r>
      <w:r>
        <w:t xml:space="preserve"> Random guessing means </w:t>
      </w: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256</m:t>
        </m:r>
      </m:oMath>
      <w:r>
        <w:t xml:space="preserve"> for all </w:t>
      </w:r>
      <m:oMath>
        <m:r>
          <w:rPr>
            <w:rFonts w:ascii="Cambria Math" w:hAnsi="Cambria Math"/>
          </w:rPr>
          <m:t>i</m:t>
        </m:r>
      </m:oMath>
      <w:r>
        <w:t xml:space="preserve">. The loss is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256</m:t>
            </m:r>
          </m:e>
        </m:d>
        <m:r>
          <m:rPr>
            <m:sty m:val="p"/>
          </m:rPr>
          <w:rPr>
            <w:rFonts w:ascii="Cambria Math" w:hAnsi="Cambria Math"/>
          </w:rPr>
          <m:t>=log</m:t>
        </m:r>
        <m:d>
          <m:dPr>
            <m:ctrlPr>
              <w:rPr>
                <w:rFonts w:ascii="Cambria Math" w:hAnsi="Cambria Math"/>
              </w:rPr>
            </m:ctrlPr>
          </m:dPr>
          <m:e>
            <m:r>
              <w:rPr>
                <w:rFonts w:ascii="Cambria Math" w:hAnsi="Cambria Math"/>
              </w:rPr>
              <m:t>256</m:t>
            </m:r>
          </m:e>
        </m:d>
        <m:r>
          <m:rPr>
            <m:sty m:val="p"/>
          </m:rPr>
          <w:rPr>
            <w:rFonts w:ascii="Cambria Math" w:hAnsi="Cambria Math"/>
          </w:rPr>
          <m:t>=</m:t>
        </m:r>
        <m:r>
          <w:rPr>
            <w:rFonts w:ascii="Cambria Math" w:hAnsi="Cambria Math"/>
          </w:rPr>
          <m:t>8</m:t>
        </m:r>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5.55</m:t>
        </m:r>
      </m:oMath>
      <w:r>
        <w:t xml:space="preserve"> (in natural log) or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256</m:t>
            </m:r>
          </m:e>
        </m:d>
        <m:r>
          <m:rPr>
            <m:sty m:val="p"/>
          </m:rPr>
          <w:rPr>
            <w:rFonts w:ascii="Cambria Math" w:hAnsi="Cambria Math"/>
          </w:rPr>
          <m:t>=</m:t>
        </m:r>
        <m:r>
          <w:rPr>
            <w:rFonts w:ascii="Cambria Math" w:hAnsi="Cambria Math"/>
          </w:rPr>
          <m:t>8</m:t>
        </m:r>
      </m:oMath>
      <w:r>
        <w:t xml:space="preserve"> (in log base 2). This is the theoretical maximum.</w:t>
      </w:r>
    </w:p>
    <w:p w14:paraId="4C9AE4E1" w14:textId="77777777" w:rsidR="009D17D3" w:rsidRDefault="00000000">
      <w:r>
        <w:rPr>
          <w:b/>
          <w:bCs/>
        </w:rPr>
        <w:t>Q2.</w:t>
      </w:r>
      <w:r>
        <w:t xml:space="preserve"> The derivation assumes the convergence equation (softmax) as the selection probability. What happens if you start from a different selection function — say, the sigmoid — and derive the MLE?</w:t>
      </w:r>
    </w:p>
    <w:p w14:paraId="6D4B7635" w14:textId="77777777" w:rsidR="009D17D3" w:rsidRDefault="00000000">
      <w:r>
        <w:rPr>
          <w:i/>
          <w:iCs/>
        </w:rPr>
        <w:t>Answer:</w:t>
      </w:r>
      <w:r>
        <w:t xml:space="preserve"> Starting from the sigmoid </w:t>
      </w:r>
      <m:oMath>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f</m:t>
                </m:r>
              </m:sub>
            </m:sSub>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e>
            </m:d>
          </m:e>
        </m:d>
      </m:oMath>
      <w:r>
        <w:t xml:space="preserve"> gives binary cross-entropy: </w:t>
      </w:r>
      <m:oMath>
        <m:r>
          <m:rPr>
            <m:scr m:val="script"/>
            <m:sty m:val="p"/>
          </m:rPr>
          <w:rPr>
            <w:rFonts w:ascii="Cambria Math" w:hAnsi="Cambria Math"/>
          </w:rPr>
          <m:t>L</m:t>
        </m:r>
        <m:r>
          <m:rPr>
            <m:sty m:val="p"/>
          </m:rPr>
          <w:rPr>
            <w:rFonts w:ascii="Cambria Math" w:hAnsi="Cambria Math"/>
          </w:rPr>
          <m:t>=-log</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f</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f</m:t>
            </m:r>
          </m:sub>
          <m:sup>
            <m:r>
              <w:rPr>
                <w:rFonts w:ascii="Cambria Math" w:hAnsi="Cambria Math"/>
              </w:rPr>
              <m:t>​</m:t>
            </m:r>
          </m:sup>
          <m:e>
            <m:r>
              <m:rPr>
                <m:sty m:val="p"/>
              </m:rPr>
              <w:rPr>
                <w:rFonts w:ascii="Cambria Math" w:hAnsi="Cambria Math"/>
              </w:rPr>
              <m:t>log</m:t>
            </m:r>
          </m:e>
        </m:nary>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e>
        </m:d>
      </m:oMath>
      <w:r>
        <w:t>. This treats each pair independently — it does not model the full competitor pool. In Lecture 6, we prove that sigmoid violates the IIA axiom, meaning it cannot correctly represent competitive molecular selection. The MLE of an incorrect model gives an incorrect loss function.</w:t>
      </w:r>
    </w:p>
    <w:p w14:paraId="0302D3BB" w14:textId="77777777" w:rsidR="009D17D3" w:rsidRDefault="00000000">
      <w:r>
        <w:rPr>
          <w:b/>
          <w:bCs/>
        </w:rPr>
        <w:t>Q3.</w:t>
      </w:r>
      <w:r>
        <w:t xml:space="preserve"> Why is the denominator of InfoNCE a sum over ALL targets in the batch, not just the negatives?</w:t>
      </w:r>
    </w:p>
    <w:p w14:paraId="1E8165CE" w14:textId="77777777" w:rsidR="009D17D3" w:rsidRDefault="00000000">
      <w:r>
        <w:rPr>
          <w:i/>
          <w:iCs/>
        </w:rPr>
        <w:t>Answer:</w:t>
      </w:r>
      <w:r>
        <w:t xml:space="preserve"> The denominator includes the correct target because it represents the full partition function of the Boltzmann distribution: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nor/>
              </m:rPr>
              <m:t>pool</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xml:space="preserve">. The pool includes the correct target — it is one of the candidates the agent could bind. Excluding the correct target from the denominator would give </w:t>
      </w:r>
      <m:oMath>
        <m:r>
          <w:rPr>
            <w:rFonts w:ascii="Cambria Math" w:hAnsi="Cambria Math"/>
          </w:rPr>
          <m:t>P</m:t>
        </m:r>
        <m:d>
          <m:dPr>
            <m:ctrlPr>
              <w:rPr>
                <w:rFonts w:ascii="Cambria Math" w:hAnsi="Cambria Math"/>
              </w:rPr>
            </m:ctrlPr>
          </m:dPr>
          <m:e>
            <m:r>
              <w:rPr>
                <w:rFonts w:ascii="Cambria Math" w:hAnsi="Cambria Math"/>
              </w:rPr>
              <m:t>f</m:t>
            </m:r>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f</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f</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oMath>
      <w:r>
        <w:t>, which does not sum to 1 over all candidates and is not a valid probability distribution.</w:t>
      </w:r>
    </w:p>
    <w:p w14:paraId="652B6481" w14:textId="77777777" w:rsidR="009D17D3" w:rsidRDefault="002B2BDF">
      <w:r>
        <w:rPr>
          <w:noProof/>
        </w:rPr>
      </w:r>
      <w:r>
        <w:pict w14:anchorId="448B0C5D">
          <v:rect id="Horizontal Line 12"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CBBA372" w14:textId="77777777" w:rsidR="009D17D3" w:rsidRDefault="00000000">
      <w:pPr>
        <w:pStyle w:val="Heading2"/>
      </w:pPr>
      <w:bookmarkStart w:id="13" w:name="connection-to-future-lectures"/>
      <w:bookmarkEnd w:id="12"/>
      <w:r>
        <w:t>12. Connection to Future Lectures</w:t>
      </w:r>
    </w:p>
    <w:p w14:paraId="557A2C8C" w14:textId="77777777" w:rsidR="009D17D3" w:rsidRDefault="00000000">
      <w:pPr>
        <w:numPr>
          <w:ilvl w:val="0"/>
          <w:numId w:val="5"/>
        </w:numPr>
      </w:pPr>
      <w:r>
        <w:rPr>
          <w:b/>
          <w:bCs/>
        </w:rPr>
        <w:t>Lecture 3, WB2:</w:t>
      </w:r>
      <w:r>
        <w:t xml:space="preserve"> The symmetric loss averages InfoNCE computed in both directions (agent→target and target→agent), derived from the physical symmetry </w:t>
      </w:r>
      <m:oMath>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AB</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BA</m:t>
            </m:r>
          </m:sub>
        </m:sSub>
      </m:oMath>
      <w:r>
        <w:t>.</w:t>
      </w:r>
    </w:p>
    <w:p w14:paraId="4B0BD26C" w14:textId="77777777" w:rsidR="009D17D3" w:rsidRDefault="00000000">
      <w:pPr>
        <w:numPr>
          <w:ilvl w:val="0"/>
          <w:numId w:val="5"/>
        </w:numPr>
      </w:pPr>
      <w:r>
        <w:rPr>
          <w:b/>
          <w:bCs/>
        </w:rPr>
        <w:t>Lecture 6:</w:t>
      </w:r>
      <w:r>
        <w:t xml:space="preserve"> The convergence equation — which we assumed as the starting point of this derivation — is proven to be the unique selection function satisfying five axioms. This closes the logical loop: the loss function is derived from the governing equation, and the governing equation is proven unique.</w:t>
      </w:r>
    </w:p>
    <w:p w14:paraId="1F9451BA" w14:textId="77777777" w:rsidR="009D17D3" w:rsidRDefault="00000000">
      <w:pPr>
        <w:numPr>
          <w:ilvl w:val="0"/>
          <w:numId w:val="5"/>
        </w:numPr>
      </w:pPr>
      <w:r>
        <w:rPr>
          <w:b/>
          <w:bCs/>
        </w:rPr>
        <w:t>Lecture 7:</w:t>
      </w:r>
      <w:r>
        <w:t xml:space="preserve"> The full SFM architecture prescribes InfoNCE as the training objective. The derivation here shows it is the MLE of the convergence equation; Lecture 7 shows it is also the only loss consistent with all five architecture conditions.</w:t>
      </w:r>
    </w:p>
    <w:p w14:paraId="181013E8" w14:textId="77777777" w:rsidR="009D17D3" w:rsidRDefault="00000000">
      <w:pPr>
        <w:numPr>
          <w:ilvl w:val="0"/>
          <w:numId w:val="5"/>
        </w:numPr>
      </w:pPr>
      <w:r>
        <w:rPr>
          <w:b/>
          <w:bCs/>
        </w:rPr>
        <w:t>Lecture 9:</w:t>
      </w:r>
      <w:r>
        <w:t xml:space="preserve"> The MRC scaling law predicts exponential convergence of retrieval accuracy with training data diversity. The exponential form follows from the fact that InfoNCE trains the </w:t>
      </w:r>
      <w:r>
        <w:lastRenderedPageBreak/>
        <w:t>model to estimate parameters in a known equation (the convergence equation), not to discover an unknown function.</w:t>
      </w:r>
      <w:bookmarkEnd w:id="1"/>
      <w:bookmarkEnd w:id="13"/>
    </w:p>
    <w:sectPr w:rsidR="009D17D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FB5D9" w14:textId="77777777" w:rsidR="002B2BDF" w:rsidRDefault="002B2BDF">
      <w:r>
        <w:separator/>
      </w:r>
    </w:p>
  </w:endnote>
  <w:endnote w:type="continuationSeparator" w:id="0">
    <w:p w14:paraId="0505D4F4" w14:textId="77777777" w:rsidR="002B2BDF" w:rsidRDefault="002B2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A0A5" w14:textId="77777777" w:rsidR="009D17D3" w:rsidRDefault="00000000">
    <w:pPr>
      <w:jc w:val="center"/>
    </w:pPr>
    <w:r>
      <w:rPr>
        <w:sz w:val="18"/>
        <w:szCs w:val="18"/>
      </w:rPr>
      <w:fldChar w:fldCharType="begin"/>
    </w:r>
    <w:r>
      <w:rPr>
        <w:sz w:val="18"/>
        <w:szCs w:val="18"/>
      </w:rPr>
      <w:instrText>PAGE</w:instrText>
    </w:r>
    <w:r>
      <w:rPr>
        <w:sz w:val="18"/>
        <w:szCs w:val="18"/>
      </w:rPr>
      <w:fldChar w:fldCharType="separate"/>
    </w:r>
    <w:r w:rsidR="00A903E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9C6B9" w14:textId="77777777" w:rsidR="002B2BDF" w:rsidRDefault="002B2BDF">
      <w:r>
        <w:separator/>
      </w:r>
    </w:p>
  </w:footnote>
  <w:footnote w:type="continuationSeparator" w:id="0">
    <w:p w14:paraId="39E71673" w14:textId="77777777" w:rsidR="002B2BDF" w:rsidRDefault="002B2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AEC9" w14:textId="77777777" w:rsidR="009D17D3" w:rsidRDefault="00000000">
    <w:pPr>
      <w:pBdr>
        <w:bottom w:val="single" w:sz="4" w:space="4" w:color="999999"/>
      </w:pBdr>
    </w:pPr>
    <w:r>
      <w:rPr>
        <w:i/>
        <w:iCs/>
        <w:sz w:val="18"/>
        <w:szCs w:val="18"/>
      </w:rPr>
      <w:t>MRC Lecture 3 — Derivation Guide 1: The InfoNCE Loss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5E09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67497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CF03B8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F1F4064"/>
    <w:multiLevelType w:val="hybridMultilevel"/>
    <w:tmpl w:val="F1A4B4B8"/>
    <w:lvl w:ilvl="0" w:tplc="A9B6545A">
      <w:start w:val="1"/>
      <w:numFmt w:val="bullet"/>
      <w:lvlText w:val="●"/>
      <w:lvlJc w:val="left"/>
      <w:pPr>
        <w:ind w:left="720" w:hanging="360"/>
      </w:pPr>
    </w:lvl>
    <w:lvl w:ilvl="1" w:tplc="7A208BBE">
      <w:start w:val="1"/>
      <w:numFmt w:val="bullet"/>
      <w:lvlText w:val="○"/>
      <w:lvlJc w:val="left"/>
      <w:pPr>
        <w:ind w:left="1440" w:hanging="360"/>
      </w:pPr>
    </w:lvl>
    <w:lvl w:ilvl="2" w:tplc="9F481442">
      <w:start w:val="1"/>
      <w:numFmt w:val="bullet"/>
      <w:lvlText w:val="■"/>
      <w:lvlJc w:val="left"/>
      <w:pPr>
        <w:ind w:left="2160" w:hanging="360"/>
      </w:pPr>
    </w:lvl>
    <w:lvl w:ilvl="3" w:tplc="A8D697B2">
      <w:start w:val="1"/>
      <w:numFmt w:val="bullet"/>
      <w:lvlText w:val="●"/>
      <w:lvlJc w:val="left"/>
      <w:pPr>
        <w:ind w:left="2880" w:hanging="360"/>
      </w:pPr>
    </w:lvl>
    <w:lvl w:ilvl="4" w:tplc="199E1A76">
      <w:start w:val="1"/>
      <w:numFmt w:val="bullet"/>
      <w:lvlText w:val="○"/>
      <w:lvlJc w:val="left"/>
      <w:pPr>
        <w:ind w:left="3600" w:hanging="360"/>
      </w:pPr>
    </w:lvl>
    <w:lvl w:ilvl="5" w:tplc="6FAA3EBE">
      <w:start w:val="1"/>
      <w:numFmt w:val="bullet"/>
      <w:lvlText w:val="■"/>
      <w:lvlJc w:val="left"/>
      <w:pPr>
        <w:ind w:left="4320" w:hanging="360"/>
      </w:pPr>
    </w:lvl>
    <w:lvl w:ilvl="6" w:tplc="8CECD064">
      <w:start w:val="1"/>
      <w:numFmt w:val="bullet"/>
      <w:lvlText w:val="●"/>
      <w:lvlJc w:val="left"/>
      <w:pPr>
        <w:ind w:left="5040" w:hanging="360"/>
      </w:pPr>
    </w:lvl>
    <w:lvl w:ilvl="7" w:tplc="1EE6E6A0">
      <w:start w:val="1"/>
      <w:numFmt w:val="bullet"/>
      <w:lvlText w:val="●"/>
      <w:lvlJc w:val="left"/>
      <w:pPr>
        <w:ind w:left="5760" w:hanging="360"/>
      </w:pPr>
    </w:lvl>
    <w:lvl w:ilvl="8" w:tplc="13D407DC">
      <w:start w:val="1"/>
      <w:numFmt w:val="bullet"/>
      <w:lvlText w:val="●"/>
      <w:lvlJc w:val="left"/>
      <w:pPr>
        <w:ind w:left="6480" w:hanging="360"/>
      </w:pPr>
    </w:lvl>
  </w:abstractNum>
  <w:num w:numId="1" w16cid:durableId="1854605077">
    <w:abstractNumId w:val="3"/>
    <w:lvlOverride w:ilvl="0">
      <w:startOverride w:val="1"/>
    </w:lvlOverride>
  </w:num>
  <w:num w:numId="2" w16cid:durableId="1832138069">
    <w:abstractNumId w:val="0"/>
  </w:num>
  <w:num w:numId="3" w16cid:durableId="228929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7748310">
    <w:abstractNumId w:val="1"/>
  </w:num>
  <w:num w:numId="5" w16cid:durableId="39403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7D3"/>
    <w:rsid w:val="002B2BDF"/>
    <w:rsid w:val="009D17D3"/>
    <w:rsid w:val="00A903EE"/>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BD370BE"/>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1755</Words>
  <Characters>10009</Characters>
  <Application>Microsoft Office Word</Application>
  <DocSecurity>0</DocSecurity>
  <Lines>83</Lines>
  <Paragraphs>23</Paragraphs>
  <ScaleCrop>false</ScaleCrop>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2026-03-30T13:48:00Z</dcterms:created>
  <dcterms:modified xsi:type="dcterms:W3CDTF">2026-03-30T13:48:00Z</dcterms:modified>
</cp:coreProperties>
</file>