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A11FA" w14:textId="77777777" w:rsidR="009D65E2" w:rsidRDefault="00000000">
      <w:pPr>
        <w:pStyle w:val="Heading1"/>
      </w:pPr>
      <w:bookmarkStart w:id="0" w:name="mrc-lecture-4-derivation-guide-2"/>
      <w:r>
        <w:t>MRC Lecture 4 — Derivation Guide 2</w:t>
      </w:r>
    </w:p>
    <w:p w14:paraId="02F045D8" w14:textId="77777777" w:rsidR="009D65E2" w:rsidRDefault="00000000">
      <w:pPr>
        <w:pStyle w:val="Heading1"/>
      </w:pPr>
      <w:bookmarkStart w:id="1" w:name="X0c8b79cba49aa843a108ab2e27df590f7ae88ec"/>
      <w:bookmarkEnd w:id="0"/>
      <w:r>
        <w:t>The Dissociation Constant K_d and Binding Free Energy ΔG</w:t>
      </w:r>
    </w:p>
    <w:p w14:paraId="56B40E6A" w14:textId="77777777" w:rsidR="009D65E2" w:rsidRDefault="00000000">
      <w:r>
        <w:t>Sai T. Reddy — ETH Zurich / BIIE</w:t>
      </w:r>
    </w:p>
    <w:p w14:paraId="5499EA05" w14:textId="77777777" w:rsidR="009D65E2" w:rsidRDefault="00276607">
      <w:r>
        <w:rPr>
          <w:noProof/>
        </w:rPr>
      </w:r>
      <w:r>
        <w:pict w14:anchorId="189F5493">
          <v:rect id="Horizontal Line 1" o:spid="_x0000_s1039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FB39B22" w14:textId="77777777" w:rsidR="009D65E2" w:rsidRDefault="00000000">
      <w:pPr>
        <w:pStyle w:val="Heading2"/>
      </w:pPr>
      <w:bookmarkStart w:id="2" w:name="motivation"/>
      <w:r>
        <w:t>1. Motivation</w:t>
      </w:r>
    </w:p>
    <w:p w14:paraId="18532E9C" w14:textId="77777777" w:rsidR="009D65E2" w:rsidRDefault="00000000">
      <w:r>
        <w:t xml:space="preserve">The general Boltzmann distribution (Derivation Guide 1) gives the probability of finding a system in any energy state. For molecular binding, the simplest and most important case is the </w:t>
      </w:r>
      <w:r>
        <w:rPr>
          <w:b/>
          <w:bCs/>
        </w:rPr>
        <w:t>two-state system</w:t>
      </w:r>
      <w:r>
        <w:t xml:space="preserve">: a molecule is either bound to its partner or not. Applying the Boltzmann distribution to this two-state system yields the </w:t>
      </w:r>
      <w:r>
        <w:rPr>
          <w:b/>
          <w:bCs/>
        </w:rPr>
        <w:t>dissociation constant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t xml:space="preserve"> — the quantity measured by every binding assay (SPR, ITC, BLI) for over 150 years.</w:t>
      </w:r>
    </w:p>
    <w:p w14:paraId="4A2FE68C" w14:textId="77777777" w:rsidR="009D65E2" w:rsidRDefault="00000000">
      <w:r>
        <w:t xml:space="preserve">This guide derives the relationship </w:t>
      </w:r>
      <m:oMath>
        <m:r>
          <w:rPr>
            <w:rFonts w:ascii="Cambria Math" w:hAnsi="Cambria Math"/>
          </w:rPr>
          <m:t>ΔG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RT</m:t>
        </m:r>
        <m:r>
          <m:rPr>
            <m:sty m:val="p"/>
          </m:rPr>
          <w:rPr>
            <w:rFonts w:ascii="Cambria Math" w:hAnsi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t xml:space="preserve"> from the Boltzmann distribution, works through numerical examples spanning the biologically relevant range, and shows that every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t xml:space="preserve"> measurement is — at its core — a measurement of the Boltzmann probability ratio between bound and unbound states.</w:t>
      </w:r>
    </w:p>
    <w:p w14:paraId="2AAC5477" w14:textId="77777777" w:rsidR="009D65E2" w:rsidRDefault="00276607">
      <w:r>
        <w:rPr>
          <w:noProof/>
        </w:rPr>
      </w:r>
      <w:r>
        <w:pict w14:anchorId="596E0EFD">
          <v:rect id="Horizontal Line 2" o:spid="_x0000_s1038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0311746" w14:textId="77777777" w:rsidR="009D65E2" w:rsidRDefault="00000000">
      <w:pPr>
        <w:pStyle w:val="Heading2"/>
      </w:pPr>
      <w:bookmarkStart w:id="3" w:name="the-two-state-binding-equilibrium"/>
      <w:bookmarkEnd w:id="2"/>
      <w:r>
        <w:t>2. The Two-State Binding Equilibrium</w:t>
      </w:r>
    </w:p>
    <w:p w14:paraId="66569B30" w14:textId="77777777" w:rsidR="009D65E2" w:rsidRDefault="00000000">
      <w:r>
        <w:t>Consider an agent molecule A (antibody, enzyme, receptor) and a target molecule T (antigen, substrate, ligand) in solution:</w:t>
      </w:r>
    </w:p>
    <w:p w14:paraId="238C7A93" w14:textId="77777777" w:rsidR="009D65E2" w:rsidRDefault="00000000"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A+T</m:t>
          </m:r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⇌</m:t>
          </m:r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A​:​T</m:t>
          </m:r>
        </m:oMath>
      </m:oMathPara>
    </w:p>
    <w:p w14:paraId="5F470FB9" w14:textId="77777777" w:rsidR="009D65E2" w:rsidRDefault="00000000">
      <w:r>
        <w:t>At equilibrium, the forward (association) and reverse (dissociation) rates are equal. The system has two relevant states:</w:t>
      </w:r>
    </w:p>
    <w:p w14:paraId="4433207F" w14:textId="77777777" w:rsidR="009D65E2" w:rsidRDefault="00000000">
      <w:pPr>
        <w:numPr>
          <w:ilvl w:val="0"/>
          <w:numId w:val="3"/>
        </w:numPr>
      </w:pPr>
      <w:r>
        <w:rPr>
          <w:b/>
          <w:bCs/>
        </w:rPr>
        <w:t>Unbound state:</w:t>
      </w:r>
      <w:r>
        <w:t xml:space="preserve"> A and T are free in solution. Define the free energy reference at zero: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nor/>
              </m:rPr>
              <m:t>unbound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.</w:t>
      </w:r>
    </w:p>
    <w:p w14:paraId="78727E60" w14:textId="77777777" w:rsidR="009D65E2" w:rsidRDefault="00000000">
      <w:pPr>
        <w:numPr>
          <w:ilvl w:val="0"/>
          <w:numId w:val="3"/>
        </w:numPr>
      </w:pPr>
      <w:r>
        <w:rPr>
          <w:b/>
          <w:bCs/>
        </w:rPr>
        <w:t>Bound state:</w:t>
      </w:r>
      <w:r>
        <w:t xml:space="preserve"> A and T form a complex. Free energy relative to the unbound reference: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nor/>
              </m:rPr>
              <m:t>bound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ΔG</m:t>
        </m:r>
      </m:oMath>
      <w:r>
        <w:t>.</w:t>
      </w:r>
    </w:p>
    <w:p w14:paraId="5B672BB3" w14:textId="77777777" w:rsidR="009D65E2" w:rsidRDefault="00000000">
      <w:r>
        <w:rPr>
          <w:b/>
          <w:bCs/>
        </w:rPr>
        <w:t>Sign convention.</w:t>
      </w:r>
      <w:r>
        <w:t xml:space="preserve"> When binding is favorable, </w:t>
      </w:r>
      <m:oMath>
        <m:r>
          <w:rPr>
            <w:rFonts w:ascii="Cambria Math" w:hAnsi="Cambria Math"/>
          </w:rPr>
          <m:t>ΔG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 xml:space="preserve"> (the complex is lower in energy than the separated partners). When binding is unfavorable, </w:t>
      </w:r>
      <m:oMath>
        <m:r>
          <w:rPr>
            <w:rFonts w:ascii="Cambria Math" w:hAnsi="Cambria Math"/>
          </w:rPr>
          <m:t>ΔG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. Equilibrium where both states are equally populated corresponds to </w:t>
      </w:r>
      <m:oMath>
        <m:r>
          <w:rPr>
            <w:rFonts w:ascii="Cambria Math" w:hAnsi="Cambria Math"/>
          </w:rPr>
          <m:t>ΔG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.</w:t>
      </w:r>
    </w:p>
    <w:p w14:paraId="2004516A" w14:textId="77777777" w:rsidR="009D65E2" w:rsidRDefault="00276607">
      <w:r>
        <w:rPr>
          <w:noProof/>
        </w:rPr>
      </w:r>
      <w:r>
        <w:pict w14:anchorId="5CF243C7">
          <v:rect id="Horizontal Line 3" o:spid="_x0000_s1037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0B40BC0" w14:textId="77777777" w:rsidR="009D65E2" w:rsidRDefault="00000000">
      <w:pPr>
        <w:pStyle w:val="Heading2"/>
      </w:pPr>
      <w:bookmarkStart w:id="4" w:name="applying-the-boltzmann-distribution"/>
      <w:bookmarkEnd w:id="3"/>
      <w:r>
        <w:t>3. Applying the Boltzmann Distribution</w:t>
      </w:r>
    </w:p>
    <w:p w14:paraId="7633A016" w14:textId="77777777" w:rsidR="009D65E2" w:rsidRDefault="00000000">
      <w:r>
        <w:t>From the Boltzmann distribution (Derivation Guide 1), the probability of each state is:</w:t>
      </w:r>
    </w:p>
    <w:p w14:paraId="359155F1" w14:textId="77777777" w:rsidR="009D65E2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bound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ΔG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RT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+exp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ΔG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RT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ΔG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RT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+exp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ΔG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RT</m:t>
                  </m:r>
                </m:e>
              </m:d>
            </m:den>
          </m:f>
        </m:oMath>
      </m:oMathPara>
    </w:p>
    <w:p w14:paraId="239AD23F" w14:textId="77777777" w:rsidR="009D65E2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unbound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+exp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ΔG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RT</m:t>
                  </m:r>
                </m:e>
              </m:d>
            </m:den>
          </m:f>
        </m:oMath>
      </m:oMathPara>
    </w:p>
    <w:p w14:paraId="0580909C" w14:textId="77777777" w:rsidR="009D65E2" w:rsidRDefault="00000000">
      <w:r>
        <w:rPr>
          <w:b/>
          <w:bCs/>
        </w:rPr>
        <w:t>Gas constant convention.</w:t>
      </w:r>
      <w:r>
        <w:t xml:space="preserve"> For molecular applications, we use the gas constant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1.987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kcal/(mol·K) instead of Boltzmann’s constant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, which gives energies in kcal/mol rather than per-molecule units. At physiological temperature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310</m:t>
        </m:r>
      </m:oMath>
      <w:r>
        <w:t xml:space="preserve"> K:</w:t>
      </w:r>
    </w:p>
    <w:p w14:paraId="30385C5B" w14:textId="77777777" w:rsidR="009D65E2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RT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0.616</m:t>
          </m:r>
          <m:r>
            <m:rPr>
              <m:nor/>
            </m:rPr>
            <m:t xml:space="preserve"> kcal/mol</m:t>
          </m:r>
        </m:oMath>
      </m:oMathPara>
    </w:p>
    <w:p w14:paraId="7D3BE4EC" w14:textId="77777777" w:rsidR="009D65E2" w:rsidRDefault="00000000">
      <w:r>
        <w:t xml:space="preserve">This is the </w:t>
      </w:r>
      <w:r>
        <w:rPr>
          <w:b/>
          <w:bCs/>
        </w:rPr>
        <w:t>thermal energy</w:t>
      </w:r>
      <w:r>
        <w:t xml:space="preserve"> — the natural energy scale for molecular recognition.</w:t>
      </w:r>
    </w:p>
    <w:p w14:paraId="7DCA3814" w14:textId="77777777" w:rsidR="009D65E2" w:rsidRDefault="00276607">
      <w:r>
        <w:rPr>
          <w:noProof/>
        </w:rPr>
      </w:r>
      <w:r>
        <w:pict w14:anchorId="4AD8C28F">
          <v:rect id="Horizontal Line 4" o:spid="_x0000_s1036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1D64B54" w14:textId="77777777" w:rsidR="009D65E2" w:rsidRDefault="00000000">
      <w:pPr>
        <w:pStyle w:val="Heading2"/>
      </w:pPr>
      <w:bookmarkStart w:id="5" w:name="the-boltzmann-probability-ratio"/>
      <w:bookmarkEnd w:id="4"/>
      <w:r>
        <w:t>4. The Boltzmann Probability Ratio</w:t>
      </w:r>
    </w:p>
    <w:p w14:paraId="2514BD4B" w14:textId="77777777" w:rsidR="009D65E2" w:rsidRDefault="00000000">
      <w:r>
        <w:t xml:space="preserve">The </w:t>
      </w:r>
      <w:r>
        <w:rPr>
          <w:b/>
          <w:bCs/>
        </w:rPr>
        <w:t>ratio</w:t>
      </w:r>
      <w:r>
        <w:t xml:space="preserve"> of bound to unbound probabilities is:</w:t>
      </w:r>
    </w:p>
    <w:p w14:paraId="27AEAFAD" w14:textId="77777777" w:rsidR="009D65E2" w:rsidRDefault="00000000"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m:t>bound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m:t>unbound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=exp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ΔG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RT</m:t>
              </m:r>
            </m:e>
          </m:d>
        </m:oMath>
      </m:oMathPara>
    </w:p>
    <w:p w14:paraId="739659FC" w14:textId="77777777" w:rsidR="009D65E2" w:rsidRDefault="00000000">
      <w:r>
        <w:t xml:space="preserve">This ratio equals the </w:t>
      </w:r>
      <w:r>
        <w:rPr>
          <w:b/>
          <w:bCs/>
        </w:rPr>
        <w:t>association constant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>:</w:t>
      </w:r>
    </w:p>
    <w:p w14:paraId="6A070617" w14:textId="77777777" w:rsidR="009D65E2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m:t>bound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m:t>unbound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=exp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ΔG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RT</m:t>
              </m:r>
            </m:e>
          </m:d>
        </m:oMath>
      </m:oMathPara>
    </w:p>
    <w:p w14:paraId="2A818FA0" w14:textId="77777777" w:rsidR="009D65E2" w:rsidRDefault="00000000">
      <w:r>
        <w:t xml:space="preserve">The </w:t>
      </w:r>
      <w:r>
        <w:rPr>
          <w:b/>
          <w:bCs/>
        </w:rPr>
        <w:t>dissociation constant</w:t>
      </w:r>
      <w:r>
        <w:t xml:space="preserve"> is the inverse:</w:t>
      </w:r>
    </w:p>
    <w:p w14:paraId="476FBCD9" w14:textId="77777777" w:rsidR="009D65E2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=exp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ΔG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RT</m:t>
              </m:r>
            </m:e>
          </m:d>
        </m:oMath>
      </m:oMathPara>
    </w:p>
    <w:p w14:paraId="24ACB4DD" w14:textId="77777777" w:rsidR="009D65E2" w:rsidRDefault="00000000">
      <w:r>
        <w:t>Taking the natural logarithm of both sides:</w:t>
      </w:r>
    </w:p>
    <w:p w14:paraId="10A34892" w14:textId="77777777" w:rsidR="009D65E2" w:rsidRDefault="00000000"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ΔG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RT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e>
          </m:borderBox>
        </m:oMath>
      </m:oMathPara>
    </w:p>
    <w:p w14:paraId="6323CB0D" w14:textId="77777777" w:rsidR="009D65E2" w:rsidRDefault="00000000">
      <w:r>
        <w:t xml:space="preserve">This is the fundamental equation connecting the measurable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t xml:space="preserve"> to the thermodynamic quantity </w:t>
      </w:r>
      <m:oMath>
        <m:r>
          <w:rPr>
            <w:rFonts w:ascii="Cambria Math" w:hAnsi="Cambria Math"/>
          </w:rPr>
          <m:t>ΔG</m:t>
        </m:r>
      </m:oMath>
      <w:r>
        <w:t xml:space="preserve">. Note that this is </w:t>
      </w:r>
      <w:r>
        <w:rPr>
          <w:b/>
          <w:bCs/>
        </w:rPr>
        <w:t>exact</w:t>
      </w:r>
      <w:r>
        <w:t xml:space="preserve"> at equilibrium — it is a direct consequence of the Boltzmann distribution, not an approximation.</w:t>
      </w:r>
    </w:p>
    <w:p w14:paraId="6F318C88" w14:textId="77777777" w:rsidR="009D65E2" w:rsidRDefault="00276607">
      <w:r>
        <w:rPr>
          <w:noProof/>
        </w:rPr>
      </w:r>
      <w:r>
        <w:pict w14:anchorId="0284CF13">
          <v:rect id="Horizontal Line 5" o:spid="_x0000_s1035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AE9434D" w14:textId="77777777" w:rsidR="009D65E2" w:rsidRDefault="00000000">
      <w:pPr>
        <w:pStyle w:val="Heading2"/>
      </w:pPr>
      <w:bookmarkStart w:id="6" w:name="units-and-interpretation-of-k_d"/>
      <w:bookmarkEnd w:id="5"/>
      <w:r>
        <w:t>5. Units and Interpretation of K_d</w:t>
      </w:r>
    </w:p>
    <w:p w14:paraId="41C7D197" w14:textId="77777777" w:rsidR="009D65E2" w:rsidRDefault="00000000">
      <w:r>
        <w:t>The dissociation constant has units of molar concentration:</w:t>
      </w:r>
    </w:p>
    <w:p w14:paraId="29C067EC" w14:textId="77777777" w:rsidR="009D65E2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A​:​T</m:t>
                  </m:r>
                </m:e>
              </m:d>
            </m:den>
          </m:f>
        </m:oMath>
      </m:oMathPara>
    </w:p>
    <w:p w14:paraId="555F88F2" w14:textId="77777777" w:rsidR="009D65E2" w:rsidRDefault="00000000">
      <w:r>
        <w:rPr>
          <w:b/>
          <w:bCs/>
        </w:rPr>
        <w:t>Physical interpretation.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t xml:space="preserve"> equals the concentration of free target at which half of the agent molecules are bound and half are free. A smaller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t xml:space="preserve"> means tighter binding: at lower free target concentration, half of the agent is already bound.</w:t>
      </w:r>
    </w:p>
    <w:p w14:paraId="4D159F4E" w14:textId="77777777" w:rsidR="009D65E2" w:rsidRDefault="00000000">
      <w:r>
        <w:rPr>
          <w:b/>
          <w:bCs/>
        </w:rPr>
        <w:t>Typical ranges:</w:t>
      </w:r>
    </w:p>
    <w:p w14:paraId="518D42AF" w14:textId="77777777" w:rsidR="009D65E2" w:rsidRDefault="00000000">
      <w:pPr>
        <w:numPr>
          <w:ilvl w:val="0"/>
          <w:numId w:val="4"/>
        </w:numPr>
      </w:pPr>
      <w:r>
        <w:rPr>
          <w:b/>
          <w:bCs/>
        </w:rPr>
        <w:t>Picomolar</w:t>
      </w:r>
      <w: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>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12</m:t>
            </m:r>
          </m:sup>
        </m:sSup>
      </m:oMath>
      <w:r>
        <w:t xml:space="preserve"> M): ultra-tight binding. Biotin-streptavidin is the canonical example; some engineered therapeutic antibodies approach this range.</w:t>
      </w:r>
    </w:p>
    <w:p w14:paraId="33441B20" w14:textId="77777777" w:rsidR="009D65E2" w:rsidRDefault="00000000">
      <w:pPr>
        <w:numPr>
          <w:ilvl w:val="0"/>
          <w:numId w:val="4"/>
        </w:numPr>
      </w:pPr>
      <w:r>
        <w:rPr>
          <w:b/>
          <w:bCs/>
        </w:rPr>
        <w:t>Nanomolar</w:t>
      </w:r>
      <w: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>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9</m:t>
            </m:r>
          </m:sup>
        </m:sSup>
      </m:oMath>
      <w:r>
        <w:t xml:space="preserve"> M): high-affinity therapeutic antibodies, tight enzyme-substrate interactions.</w:t>
      </w:r>
    </w:p>
    <w:p w14:paraId="56D17583" w14:textId="77777777" w:rsidR="009D65E2" w:rsidRDefault="00000000">
      <w:pPr>
        <w:numPr>
          <w:ilvl w:val="0"/>
          <w:numId w:val="4"/>
        </w:numPr>
      </w:pPr>
      <w:r>
        <w:rPr>
          <w:b/>
          <w:bCs/>
        </w:rPr>
        <w:t>Micromolar</w:t>
      </w:r>
      <w: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>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6</m:t>
            </m:r>
          </m:sup>
        </m:sSup>
      </m:oMath>
      <w:r>
        <w:t xml:space="preserve"> M): many protein-protein interactions, moderate enzyme-substrate binding.</w:t>
      </w:r>
    </w:p>
    <w:p w14:paraId="3C960918" w14:textId="77777777" w:rsidR="009D65E2" w:rsidRDefault="00000000">
      <w:pPr>
        <w:numPr>
          <w:ilvl w:val="0"/>
          <w:numId w:val="4"/>
        </w:numPr>
      </w:pPr>
      <w:r>
        <w:rPr>
          <w:b/>
          <w:bCs/>
        </w:rPr>
        <w:t>Millimolar</w:t>
      </w:r>
      <w: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>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M): weak, transient interactions typical of signaling and metabolism.</w:t>
      </w:r>
    </w:p>
    <w:p w14:paraId="62E7A3C6" w14:textId="77777777" w:rsidR="009D65E2" w:rsidRDefault="00276607">
      <w:r>
        <w:rPr>
          <w:noProof/>
        </w:rPr>
      </w:r>
      <w:r>
        <w:pict w14:anchorId="4B7212CE">
          <v:rect id="Horizontal Line 6" o:spid="_x0000_s1034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B82DCC3" w14:textId="77777777" w:rsidR="009D65E2" w:rsidRDefault="00000000">
      <w:pPr>
        <w:pStyle w:val="Heading2"/>
      </w:pPr>
      <w:bookmarkStart w:id="7" w:name="worked-example-1-high-affinity-antibody"/>
      <w:bookmarkEnd w:id="6"/>
      <w:r>
        <w:t>6. Worked Example 1: High-Affinity Antibody</w:t>
      </w:r>
    </w:p>
    <w:p w14:paraId="165C0C05" w14:textId="77777777" w:rsidR="009D65E2" w:rsidRDefault="00000000">
      <w:r>
        <w:rPr>
          <w:b/>
          <w:bCs/>
        </w:rPr>
        <w:t>Problem.</w:t>
      </w:r>
      <w:r>
        <w:t xml:space="preserve"> A therapeutic antibody has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</m:oMath>
      <w:r>
        <w:t xml:space="preserve"> nM </w:t>
      </w:r>
      <m:oMath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8</m:t>
            </m:r>
          </m:sup>
        </m:sSup>
      </m:oMath>
      <w:r>
        <w:t xml:space="preserve"> M against its target antigen. Compute </w:t>
      </w:r>
      <m:oMath>
        <m:r>
          <w:rPr>
            <w:rFonts w:ascii="Cambria Math" w:hAnsi="Cambria Math"/>
          </w:rPr>
          <m:t>ΔG</m:t>
        </m:r>
      </m:oMath>
      <w:r>
        <w:t xml:space="preserve"> at physiological temperature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310</m:t>
        </m:r>
      </m:oMath>
      <w:r>
        <w:t xml:space="preserve"> K.</w:t>
      </w:r>
    </w:p>
    <w:p w14:paraId="6445D3F0" w14:textId="77777777" w:rsidR="009D65E2" w:rsidRDefault="00000000">
      <w:r>
        <w:rPr>
          <w:b/>
          <w:bCs/>
        </w:rPr>
        <w:t>Step 1.</w:t>
      </w:r>
      <w:r>
        <w:t xml:space="preserve"> Apply </w:t>
      </w:r>
      <m:oMath>
        <m:r>
          <w:rPr>
            <w:rFonts w:ascii="Cambria Math" w:hAnsi="Cambria Math"/>
          </w:rPr>
          <m:t>ΔG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RT</m:t>
        </m:r>
        <m:r>
          <m:rPr>
            <m:sty m:val="p"/>
          </m:rPr>
          <w:rPr>
            <w:rFonts w:ascii="Cambria Math" w:hAnsi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t>:</w:t>
      </w:r>
    </w:p>
    <w:p w14:paraId="65E079E6" w14:textId="77777777" w:rsidR="009D65E2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ΔG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0.616</m:t>
              </m:r>
              <m:r>
                <m:rPr>
                  <m:nor/>
                </m:rPr>
                <m:t xml:space="preserve"> kcal/mol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×ln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8</m:t>
                  </m:r>
                </m:sup>
              </m:sSup>
            </m:e>
          </m:d>
        </m:oMath>
      </m:oMathPara>
    </w:p>
    <w:p w14:paraId="6FB152FB" w14:textId="77777777" w:rsidR="009D65E2" w:rsidRDefault="00000000">
      <w:r>
        <w:rPr>
          <w:b/>
          <w:bCs/>
        </w:rPr>
        <w:t>Step 2.</w:t>
      </w:r>
      <w:r>
        <w:t xml:space="preserve"> Compute </w:t>
      </w:r>
      <m:oMath>
        <m:r>
          <m:rPr>
            <m:sty m:val="p"/>
          </m:rPr>
          <w:rPr>
            <w:rFonts w:ascii="Cambria Math" w:hAnsi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8</m:t>
                </m:r>
              </m:sup>
            </m:sSup>
          </m:e>
        </m:d>
      </m:oMath>
      <w:r>
        <w:t>:</w:t>
      </w:r>
    </w:p>
    <w:p w14:paraId="00C94CA4" w14:textId="77777777" w:rsidR="009D65E2" w:rsidRDefault="00000000"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ln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8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×ln</m:t>
          </m:r>
          <m:r>
            <w:rPr>
              <w:rFonts w:ascii="Cambria Math" w:hAnsi="Cambria Math"/>
            </w:rPr>
            <m:t>10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8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2.303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18.42</m:t>
          </m:r>
        </m:oMath>
      </m:oMathPara>
    </w:p>
    <w:p w14:paraId="458DE0CE" w14:textId="77777777" w:rsidR="009D65E2" w:rsidRDefault="00000000">
      <w:r>
        <w:rPr>
          <w:b/>
          <w:bCs/>
        </w:rPr>
        <w:t>Step 3.</w:t>
      </w:r>
      <w:r>
        <w:t xml:space="preserve"> Multiply:</w:t>
      </w:r>
    </w:p>
    <w:p w14:paraId="6EF625A3" w14:textId="77777777" w:rsidR="009D65E2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ΔG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0.616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18.42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11.3</m:t>
          </m:r>
          <m:r>
            <m:rPr>
              <m:nor/>
            </m:rPr>
            <m:t xml:space="preserve"> kcal/mol</m:t>
          </m:r>
        </m:oMath>
      </m:oMathPara>
    </w:p>
    <w:p w14:paraId="740ECB9B" w14:textId="77777777" w:rsidR="009D65E2" w:rsidRDefault="00000000">
      <w:r>
        <w:rPr>
          <w:b/>
          <w:bCs/>
        </w:rPr>
        <w:t>Interpretation.</w:t>
      </w:r>
      <w:r>
        <w:t xml:space="preserve"> The bound state is 11.3 kcal/mol more stable than the unbound state. In thermal units: </w:t>
      </w:r>
      <m:oMath>
        <m:r>
          <w:rPr>
            <w:rFonts w:ascii="Cambria Math" w:hAnsi="Cambria Math"/>
          </w:rPr>
          <m:t>11.3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0.616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18.3 RT</m:t>
        </m:r>
      </m:oMath>
      <w:r>
        <w:t xml:space="preserve">. The Boltzmann probability ratio is </w:t>
      </w:r>
      <m:oMath>
        <m:r>
          <m:rPr>
            <m:sty m:val="p"/>
          </m:rPr>
          <w:rPr>
            <w:rFonts w:ascii="Cambria Math" w:hAnsi="Cambria Math"/>
          </w:rPr>
          <m:t>exp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18.3</m:t>
            </m:r>
          </m:e>
        </m:d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9</m:t>
        </m:r>
        <m:r>
          <m:rPr>
            <m:sty m:val="p"/>
          </m:rPr>
          <w:rPr>
            <w:rFonts w:ascii="Cambria Math" w:hAnsi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</m:oMath>
      <w:r>
        <w:t xml:space="preserve"> — at equilibrium with equal free concentrations, the bound state is about 100 million times more probable than the unbound state.</w:t>
      </w:r>
    </w:p>
    <w:p w14:paraId="76A60100" w14:textId="77777777" w:rsidR="009D65E2" w:rsidRDefault="00276607">
      <w:r>
        <w:rPr>
          <w:noProof/>
        </w:rPr>
      </w:r>
      <w:r>
        <w:pict w14:anchorId="03641806">
          <v:rect id="Horizontal Line 7" o:spid="_x0000_s1033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9815B67" w14:textId="77777777" w:rsidR="009D65E2" w:rsidRDefault="00000000">
      <w:pPr>
        <w:pStyle w:val="Heading2"/>
      </w:pPr>
      <w:bookmarkStart w:id="8" w:name="Xa6511f0c1870035a3d9cce8f8b8cacdb787abbe"/>
      <w:bookmarkEnd w:id="7"/>
      <w:r>
        <w:t>7. Worked Example 2: Moderate-Affinity Interaction</w:t>
      </w:r>
    </w:p>
    <w:p w14:paraId="529C68BE" w14:textId="77777777" w:rsidR="009D65E2" w:rsidRDefault="00000000">
      <w:r>
        <w:rPr>
          <w:b/>
          <w:bCs/>
        </w:rPr>
        <w:t>Problem.</w:t>
      </w:r>
      <w:r>
        <w:t xml:space="preserve"> An enzyme has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μM </w:t>
      </w:r>
      <m:oMath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6</m:t>
            </m:r>
          </m:sup>
        </m:sSup>
      </m:oMath>
      <w:r>
        <w:t xml:space="preserve"> M against its substrate. Compute </w:t>
      </w:r>
      <m:oMath>
        <m:r>
          <w:rPr>
            <w:rFonts w:ascii="Cambria Math" w:hAnsi="Cambria Math"/>
          </w:rPr>
          <m:t>ΔG</m:t>
        </m:r>
      </m:oMath>
      <w:r>
        <w:t xml:space="preserve"> at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310</m:t>
        </m:r>
      </m:oMath>
      <w:r>
        <w:t xml:space="preserve"> K.</w:t>
      </w:r>
    </w:p>
    <w:p w14:paraId="556B1132" w14:textId="77777777" w:rsidR="009D65E2" w:rsidRDefault="00000000">
      <w:r>
        <w:rPr>
          <w:b/>
          <w:bCs/>
        </w:rPr>
        <w:t>Step 1.</w:t>
      </w:r>
      <w:r>
        <w:t xml:space="preserve"> Apply </w:t>
      </w:r>
      <m:oMath>
        <m:r>
          <w:rPr>
            <w:rFonts w:ascii="Cambria Math" w:hAnsi="Cambria Math"/>
          </w:rPr>
          <m:t>ΔG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RT</m:t>
        </m:r>
        <m:r>
          <m:rPr>
            <m:sty m:val="p"/>
          </m:rPr>
          <w:rPr>
            <w:rFonts w:ascii="Cambria Math" w:hAnsi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t>:</w:t>
      </w:r>
    </w:p>
    <w:p w14:paraId="077F92A5" w14:textId="77777777" w:rsidR="009D65E2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ΔG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0.616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×ln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0.616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13.82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8.5</m:t>
          </m:r>
          <m:r>
            <m:rPr>
              <m:nor/>
            </m:rPr>
            <m:t xml:space="preserve"> kcal/mol</m:t>
          </m:r>
        </m:oMath>
      </m:oMathPara>
    </w:p>
    <w:p w14:paraId="4429717F" w14:textId="77777777" w:rsidR="009D65E2" w:rsidRDefault="00000000">
      <w:r>
        <w:rPr>
          <w:b/>
          <w:bCs/>
        </w:rPr>
        <w:lastRenderedPageBreak/>
        <w:t>Interpretation.</w:t>
      </w:r>
      <w:r>
        <w:t xml:space="preserve"> In thermal units: </w:t>
      </w:r>
      <m:oMath>
        <m:r>
          <w:rPr>
            <w:rFonts w:ascii="Cambria Math" w:hAnsi="Cambria Math"/>
          </w:rPr>
          <m:t>8.5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0.616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13.8 RT</m:t>
        </m:r>
      </m:oMath>
      <w:r>
        <w:t xml:space="preserve">. The bound/unbound ratio is </w:t>
      </w:r>
      <m:oMath>
        <m:r>
          <m:rPr>
            <m:sty m:val="p"/>
          </m:rPr>
          <w:rPr>
            <w:rFonts w:ascii="Cambria Math" w:hAnsi="Cambria Math"/>
          </w:rPr>
          <m:t>exp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13.8</m:t>
            </m:r>
          </m:e>
        </m:d>
        <m:r>
          <m:rPr>
            <m:sty m:val="p"/>
          </m:rPr>
          <w:rPr>
            <w:rFonts w:ascii="Cambria Math" w:hAnsi="Cambria Math"/>
          </w:rPr>
          <m:t>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  <w:r>
        <w:t xml:space="preserve"> — the bound state is a million times more probable than the unbound state.</w:t>
      </w:r>
    </w:p>
    <w:p w14:paraId="04F3FFC3" w14:textId="77777777" w:rsidR="009D65E2" w:rsidRDefault="00000000">
      <w:r>
        <w:rPr>
          <w:b/>
          <w:bCs/>
        </w:rPr>
        <w:t>Comparison to Example 1.</w:t>
      </w:r>
      <w:r>
        <w:t xml:space="preserve"> The antibody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</m:oMath>
      <w:r>
        <w:t xml:space="preserve"> nM) binds about 100× tighter than the enzyme-substrate pair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μM). In energy: the antibody’s </w:t>
      </w:r>
      <m:oMath>
        <m:r>
          <w:rPr>
            <w:rFonts w:ascii="Cambria Math" w:hAnsi="Cambria Math"/>
          </w:rPr>
          <m:t>ΔG</m:t>
        </m:r>
      </m:oMath>
      <w:r>
        <w:t xml:space="preserve"> is 2.8 kcal/mol more negative — about 4.6 </w:t>
      </w:r>
      <m:oMath>
        <m:r>
          <w:rPr>
            <w:rFonts w:ascii="Cambria Math" w:hAnsi="Cambria Math"/>
          </w:rPr>
          <m:t>RT</m:t>
        </m:r>
      </m:oMath>
      <w:r>
        <w:t xml:space="preserve"> more favorable.</w:t>
      </w:r>
    </w:p>
    <w:p w14:paraId="1FA7A187" w14:textId="77777777" w:rsidR="009D65E2" w:rsidRDefault="00276607">
      <w:r>
        <w:rPr>
          <w:noProof/>
        </w:rPr>
      </w:r>
      <w:r>
        <w:pict w14:anchorId="07722D65">
          <v:rect id="Horizontal Line 8" o:spid="_x0000_s1032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CEC68AB" w14:textId="77777777" w:rsidR="009D65E2" w:rsidRDefault="00000000">
      <w:pPr>
        <w:pStyle w:val="Heading2"/>
      </w:pPr>
      <w:bookmarkStart w:id="9" w:name="Xbc5a747bea712335dacf173406a992303f580a5"/>
      <w:bookmarkEnd w:id="8"/>
      <w:r>
        <w:t>8. The Dynamic Range of Molecular Recognition</w:t>
      </w:r>
    </w:p>
    <w:p w14:paraId="147863E8" w14:textId="77777777" w:rsidR="009D65E2" w:rsidRDefault="00000000">
      <w:r>
        <w:t xml:space="preserve">The biologically relevant range of binding affinities spans approximately </w:t>
      </w:r>
      <w:r>
        <w:rPr>
          <w:b/>
          <w:bCs/>
        </w:rPr>
        <w:t>10 orders of magnitude</w:t>
      </w:r>
      <w:r>
        <w:t xml:space="preserve"> 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t>: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20" w:firstRow="1" w:lastRow="0" w:firstColumn="0" w:lastColumn="0" w:noHBand="0" w:noVBand="0"/>
      </w:tblPr>
      <w:tblGrid>
        <w:gridCol w:w="1874"/>
        <w:gridCol w:w="1777"/>
        <w:gridCol w:w="1578"/>
        <w:gridCol w:w="3787"/>
      </w:tblGrid>
      <w:tr w:rsidR="009D65E2" w14:paraId="094A12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699D7174" w14:textId="77777777" w:rsidR="009D65E2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5816557E" w14:textId="77777777" w:rsidR="009D65E2" w:rsidRDefault="00000000">
            <m:oMath>
              <m:r>
                <w:rPr>
                  <w:rFonts w:ascii="Cambria Math" w:hAnsi="Cambria Math"/>
                </w:rPr>
                <m:t>ΔG</m:t>
              </m:r>
            </m:oMath>
            <w:r>
              <w:t xml:space="preserve"> at 310 K</w:t>
            </w:r>
          </w:p>
        </w:tc>
        <w:tc>
          <w:tcPr>
            <w:tcW w:w="0" w:type="auto"/>
          </w:tcPr>
          <w:p w14:paraId="6BDAA141" w14:textId="77777777" w:rsidR="009D65E2" w:rsidRDefault="00000000">
            <w:r>
              <w:t>In units of RT</w:t>
            </w:r>
          </w:p>
        </w:tc>
        <w:tc>
          <w:tcPr>
            <w:tcW w:w="0" w:type="auto"/>
          </w:tcPr>
          <w:p w14:paraId="3D693CB0" w14:textId="77777777" w:rsidR="009D65E2" w:rsidRDefault="00000000">
            <w:r>
              <w:t>Biological examples</w:t>
            </w:r>
          </w:p>
        </w:tc>
      </w:tr>
      <w:tr w:rsidR="009D65E2" w14:paraId="38C5C4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9AF5F3C" w14:textId="77777777" w:rsidR="009D65E2" w:rsidRDefault="00000000">
            <w:r>
              <w:t>1 pM (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12</m:t>
                  </m:r>
                </m:sup>
              </m:sSup>
            </m:oMath>
            <w:r>
              <w:t xml:space="preserve"> M)</w:t>
            </w:r>
          </w:p>
        </w:tc>
        <w:tc>
          <w:tcPr>
            <w:tcW w:w="0" w:type="auto"/>
          </w:tcPr>
          <w:p w14:paraId="57E57EC0" w14:textId="77777777" w:rsidR="009D65E2" w:rsidRDefault="00000000"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16.5</m:t>
              </m:r>
            </m:oMath>
            <w:r>
              <w:t xml:space="preserve"> kcal/mol</w:t>
            </w:r>
          </w:p>
        </w:tc>
        <w:tc>
          <w:tcPr>
            <w:tcW w:w="0" w:type="auto"/>
          </w:tcPr>
          <w:p w14:paraId="1A3C72A1" w14:textId="77777777" w:rsidR="009D65E2" w:rsidRDefault="00000000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26.8 RT</m:t>
                </m:r>
              </m:oMath>
            </m:oMathPara>
          </w:p>
        </w:tc>
        <w:tc>
          <w:tcPr>
            <w:tcW w:w="0" w:type="auto"/>
          </w:tcPr>
          <w:p w14:paraId="1C064D07" w14:textId="77777777" w:rsidR="009D65E2" w:rsidRDefault="00000000">
            <w:r>
              <w:t>Biotin-streptavidin</w:t>
            </w:r>
          </w:p>
        </w:tc>
      </w:tr>
      <w:tr w:rsidR="009D65E2" w14:paraId="2365B2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60CB2D5" w14:textId="77777777" w:rsidR="009D65E2" w:rsidRDefault="00000000">
            <w:r>
              <w:t>10 pM</w:t>
            </w:r>
          </w:p>
        </w:tc>
        <w:tc>
          <w:tcPr>
            <w:tcW w:w="0" w:type="auto"/>
          </w:tcPr>
          <w:p w14:paraId="0035622F" w14:textId="77777777" w:rsidR="009D65E2" w:rsidRDefault="00000000"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15.1</m:t>
              </m:r>
            </m:oMath>
            <w:r>
              <w:t xml:space="preserve"> kcal/mol</w:t>
            </w:r>
          </w:p>
        </w:tc>
        <w:tc>
          <w:tcPr>
            <w:tcW w:w="0" w:type="auto"/>
          </w:tcPr>
          <w:p w14:paraId="1B045F85" w14:textId="77777777" w:rsidR="009D65E2" w:rsidRDefault="00000000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24.5 RT</m:t>
                </m:r>
              </m:oMath>
            </m:oMathPara>
          </w:p>
        </w:tc>
        <w:tc>
          <w:tcPr>
            <w:tcW w:w="0" w:type="auto"/>
          </w:tcPr>
          <w:p w14:paraId="11D13EDF" w14:textId="77777777" w:rsidR="009D65E2" w:rsidRDefault="00000000">
            <w:r>
              <w:t>Very high-affinity therapeutics</w:t>
            </w:r>
          </w:p>
        </w:tc>
      </w:tr>
      <w:tr w:rsidR="009D65E2" w14:paraId="5582F3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F892862" w14:textId="77777777" w:rsidR="009D65E2" w:rsidRDefault="00000000">
            <w:r>
              <w:t>100 pM</w:t>
            </w:r>
          </w:p>
        </w:tc>
        <w:tc>
          <w:tcPr>
            <w:tcW w:w="0" w:type="auto"/>
          </w:tcPr>
          <w:p w14:paraId="1BDEFD23" w14:textId="77777777" w:rsidR="009D65E2" w:rsidRDefault="00000000"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13.7</m:t>
              </m:r>
            </m:oMath>
            <w:r>
              <w:t xml:space="preserve"> kcal/mol</w:t>
            </w:r>
          </w:p>
        </w:tc>
        <w:tc>
          <w:tcPr>
            <w:tcW w:w="0" w:type="auto"/>
          </w:tcPr>
          <w:p w14:paraId="54A1F0C5" w14:textId="77777777" w:rsidR="009D65E2" w:rsidRDefault="00000000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22.2 RT</m:t>
                </m:r>
              </m:oMath>
            </m:oMathPara>
          </w:p>
        </w:tc>
        <w:tc>
          <w:tcPr>
            <w:tcW w:w="0" w:type="auto"/>
          </w:tcPr>
          <w:p w14:paraId="639E933A" w14:textId="77777777" w:rsidR="009D65E2" w:rsidRDefault="00000000">
            <w:r>
              <w:t>Best therapeutic antibodies</w:t>
            </w:r>
          </w:p>
        </w:tc>
      </w:tr>
      <w:tr w:rsidR="009D65E2" w14:paraId="20FDD1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BD205F5" w14:textId="77777777" w:rsidR="009D65E2" w:rsidRDefault="00000000">
            <w:r>
              <w:t>1 nM</w:t>
            </w:r>
          </w:p>
        </w:tc>
        <w:tc>
          <w:tcPr>
            <w:tcW w:w="0" w:type="auto"/>
          </w:tcPr>
          <w:p w14:paraId="633B42F8" w14:textId="77777777" w:rsidR="009D65E2" w:rsidRDefault="00000000"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12.7</m:t>
              </m:r>
            </m:oMath>
            <w:r>
              <w:t xml:space="preserve"> kcal/mol</w:t>
            </w:r>
          </w:p>
        </w:tc>
        <w:tc>
          <w:tcPr>
            <w:tcW w:w="0" w:type="auto"/>
          </w:tcPr>
          <w:p w14:paraId="7385226C" w14:textId="77777777" w:rsidR="009D65E2" w:rsidRDefault="00000000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20.6 RT</m:t>
                </m:r>
              </m:oMath>
            </m:oMathPara>
          </w:p>
        </w:tc>
        <w:tc>
          <w:tcPr>
            <w:tcW w:w="0" w:type="auto"/>
          </w:tcPr>
          <w:p w14:paraId="55866C83" w14:textId="77777777" w:rsidR="009D65E2" w:rsidRDefault="00000000">
            <w:r>
              <w:t>Strong antibody-antigen</w:t>
            </w:r>
          </w:p>
        </w:tc>
      </w:tr>
      <w:tr w:rsidR="009D65E2" w14:paraId="2FEDFB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4555BE3" w14:textId="77777777" w:rsidR="009D65E2" w:rsidRDefault="00000000">
            <w:r>
              <w:t>10 nM</w:t>
            </w:r>
          </w:p>
        </w:tc>
        <w:tc>
          <w:tcPr>
            <w:tcW w:w="0" w:type="auto"/>
          </w:tcPr>
          <w:p w14:paraId="19B2E66A" w14:textId="77777777" w:rsidR="009D65E2" w:rsidRDefault="00000000"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11.3</m:t>
              </m:r>
            </m:oMath>
            <w:r>
              <w:t xml:space="preserve"> kcal/mol</w:t>
            </w:r>
          </w:p>
        </w:tc>
        <w:tc>
          <w:tcPr>
            <w:tcW w:w="0" w:type="auto"/>
          </w:tcPr>
          <w:p w14:paraId="7F3E26E7" w14:textId="77777777" w:rsidR="009D65E2" w:rsidRDefault="00000000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18.4 RT</m:t>
                </m:r>
              </m:oMath>
            </m:oMathPara>
          </w:p>
        </w:tc>
        <w:tc>
          <w:tcPr>
            <w:tcW w:w="0" w:type="auto"/>
          </w:tcPr>
          <w:p w14:paraId="0E67672E" w14:textId="77777777" w:rsidR="009D65E2" w:rsidRDefault="00000000">
            <w:r>
              <w:t>Typical therapeutic antibodies</w:t>
            </w:r>
          </w:p>
        </w:tc>
      </w:tr>
      <w:tr w:rsidR="009D65E2" w14:paraId="08ED7F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7D7E74D" w14:textId="77777777" w:rsidR="009D65E2" w:rsidRDefault="00000000">
            <w:r>
              <w:t>100 nM</w:t>
            </w:r>
          </w:p>
        </w:tc>
        <w:tc>
          <w:tcPr>
            <w:tcW w:w="0" w:type="auto"/>
          </w:tcPr>
          <w:p w14:paraId="10D14CB8" w14:textId="77777777" w:rsidR="009D65E2" w:rsidRDefault="00000000"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9.9</m:t>
              </m:r>
            </m:oMath>
            <w:r>
              <w:t xml:space="preserve"> kcal/mol</w:t>
            </w:r>
          </w:p>
        </w:tc>
        <w:tc>
          <w:tcPr>
            <w:tcW w:w="0" w:type="auto"/>
          </w:tcPr>
          <w:p w14:paraId="4878D6DB" w14:textId="77777777" w:rsidR="009D65E2" w:rsidRDefault="00000000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16.1 RT</m:t>
                </m:r>
              </m:oMath>
            </m:oMathPara>
          </w:p>
        </w:tc>
        <w:tc>
          <w:tcPr>
            <w:tcW w:w="0" w:type="auto"/>
          </w:tcPr>
          <w:p w14:paraId="5ED7693F" w14:textId="77777777" w:rsidR="009D65E2" w:rsidRDefault="00000000">
            <w:r>
              <w:t>Moderate antibody-antigen</w:t>
            </w:r>
          </w:p>
        </w:tc>
      </w:tr>
      <w:tr w:rsidR="009D65E2" w14:paraId="0853B2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A53C82E" w14:textId="77777777" w:rsidR="009D65E2" w:rsidRDefault="00000000">
            <w:r>
              <w:t>1 μM</w:t>
            </w:r>
          </w:p>
        </w:tc>
        <w:tc>
          <w:tcPr>
            <w:tcW w:w="0" w:type="auto"/>
          </w:tcPr>
          <w:p w14:paraId="1B335A30" w14:textId="77777777" w:rsidR="009D65E2" w:rsidRDefault="00000000"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8.5</m:t>
              </m:r>
            </m:oMath>
            <w:r>
              <w:t xml:space="preserve"> kcal/mol</w:t>
            </w:r>
          </w:p>
        </w:tc>
        <w:tc>
          <w:tcPr>
            <w:tcW w:w="0" w:type="auto"/>
          </w:tcPr>
          <w:p w14:paraId="1C17B63C" w14:textId="77777777" w:rsidR="009D65E2" w:rsidRDefault="00000000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13.8 RT</m:t>
                </m:r>
              </m:oMath>
            </m:oMathPara>
          </w:p>
        </w:tc>
        <w:tc>
          <w:tcPr>
            <w:tcW w:w="0" w:type="auto"/>
          </w:tcPr>
          <w:p w14:paraId="54B6EA9F" w14:textId="77777777" w:rsidR="009D65E2" w:rsidRDefault="00000000">
            <w:r>
              <w:t>Enzyme-substrate, protein-protein</w:t>
            </w:r>
          </w:p>
        </w:tc>
      </w:tr>
      <w:tr w:rsidR="009D65E2" w14:paraId="6E0A1E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E02F2EE" w14:textId="77777777" w:rsidR="009D65E2" w:rsidRDefault="00000000">
            <w:r>
              <w:t>10 μM</w:t>
            </w:r>
          </w:p>
        </w:tc>
        <w:tc>
          <w:tcPr>
            <w:tcW w:w="0" w:type="auto"/>
          </w:tcPr>
          <w:p w14:paraId="222E51FB" w14:textId="77777777" w:rsidR="009D65E2" w:rsidRDefault="00000000"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7.1</m:t>
              </m:r>
            </m:oMath>
            <w:r>
              <w:t xml:space="preserve"> kcal/mol</w:t>
            </w:r>
          </w:p>
        </w:tc>
        <w:tc>
          <w:tcPr>
            <w:tcW w:w="0" w:type="auto"/>
          </w:tcPr>
          <w:p w14:paraId="660BC287" w14:textId="77777777" w:rsidR="009D65E2" w:rsidRDefault="00000000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11.5 RT</m:t>
                </m:r>
              </m:oMath>
            </m:oMathPara>
          </w:p>
        </w:tc>
        <w:tc>
          <w:tcPr>
            <w:tcW w:w="0" w:type="auto"/>
          </w:tcPr>
          <w:p w14:paraId="6C32A5A8" w14:textId="77777777" w:rsidR="009D65E2" w:rsidRDefault="00000000">
            <w:r>
              <w:t>Weak interactions</w:t>
            </w:r>
          </w:p>
        </w:tc>
      </w:tr>
      <w:tr w:rsidR="009D65E2" w14:paraId="50351B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53F5515" w14:textId="77777777" w:rsidR="009D65E2" w:rsidRDefault="00000000">
            <w:r>
              <w:t>100 μM</w:t>
            </w:r>
          </w:p>
        </w:tc>
        <w:tc>
          <w:tcPr>
            <w:tcW w:w="0" w:type="auto"/>
          </w:tcPr>
          <w:p w14:paraId="39AFD3BB" w14:textId="77777777" w:rsidR="009D65E2" w:rsidRDefault="00000000"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5.7</m:t>
              </m:r>
            </m:oMath>
            <w:r>
              <w:t xml:space="preserve"> kcal/mol</w:t>
            </w:r>
          </w:p>
        </w:tc>
        <w:tc>
          <w:tcPr>
            <w:tcW w:w="0" w:type="auto"/>
          </w:tcPr>
          <w:p w14:paraId="295A8341" w14:textId="77777777" w:rsidR="009D65E2" w:rsidRDefault="00000000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9.2 RT</m:t>
                </m:r>
              </m:oMath>
            </m:oMathPara>
          </w:p>
        </w:tc>
        <w:tc>
          <w:tcPr>
            <w:tcW w:w="0" w:type="auto"/>
          </w:tcPr>
          <w:p w14:paraId="106A11AF" w14:textId="77777777" w:rsidR="009D65E2" w:rsidRDefault="00000000">
            <w:r>
              <w:t>Very weak</w:t>
            </w:r>
          </w:p>
        </w:tc>
      </w:tr>
      <w:tr w:rsidR="009D65E2" w14:paraId="7F1396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06BD3F1" w14:textId="77777777" w:rsidR="009D65E2" w:rsidRDefault="00000000">
            <w:r>
              <w:t>1 mM (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>
              <w:t xml:space="preserve"> M)</w:t>
            </w:r>
          </w:p>
        </w:tc>
        <w:tc>
          <w:tcPr>
            <w:tcW w:w="0" w:type="auto"/>
          </w:tcPr>
          <w:p w14:paraId="63AE7600" w14:textId="77777777" w:rsidR="009D65E2" w:rsidRDefault="00000000"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4.2</m:t>
              </m:r>
            </m:oMath>
            <w:r>
              <w:t xml:space="preserve"> kcal/mol</w:t>
            </w:r>
          </w:p>
        </w:tc>
        <w:tc>
          <w:tcPr>
            <w:tcW w:w="0" w:type="auto"/>
          </w:tcPr>
          <w:p w14:paraId="36F1D9B5" w14:textId="77777777" w:rsidR="009D65E2" w:rsidRDefault="00000000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6.8 RT</m:t>
                </m:r>
              </m:oMath>
            </m:oMathPara>
          </w:p>
        </w:tc>
        <w:tc>
          <w:tcPr>
            <w:tcW w:w="0" w:type="auto"/>
          </w:tcPr>
          <w:p w14:paraId="7739CA52" w14:textId="77777777" w:rsidR="009D65E2" w:rsidRDefault="00000000">
            <w:r>
              <w:t>Transient signaling interactions</w:t>
            </w:r>
          </w:p>
        </w:tc>
      </w:tr>
    </w:tbl>
    <w:p w14:paraId="2D786687" w14:textId="77777777" w:rsidR="009D65E2" w:rsidRDefault="00000000">
      <w:r>
        <w:rPr>
          <w:b/>
          <w:bCs/>
        </w:rPr>
        <w:t>The entire biologically relevant range:</w:t>
      </w:r>
      <w:r>
        <w:t xml:space="preserve"> </w:t>
      </w:r>
      <m:oMath>
        <m:r>
          <w:rPr>
            <w:rFonts w:ascii="Cambria Math" w:hAnsi="Cambria Math"/>
          </w:rPr>
          <m:t>ΔG</m:t>
        </m:r>
      </m:oMath>
      <w:r>
        <w:t xml:space="preserve"> spans about 12 kcal/mol, or 20 </w:t>
      </w:r>
      <m:oMath>
        <m:r>
          <w:rPr>
            <w:rFonts w:ascii="Cambria Math" w:hAnsi="Cambria Math"/>
          </w:rPr>
          <m:t>RT</m:t>
        </m:r>
      </m:oMath>
      <w:r>
        <w:t xml:space="preserve"> units.</w:t>
      </w:r>
    </w:p>
    <w:p w14:paraId="7F0208F4" w14:textId="77777777" w:rsidR="009D65E2" w:rsidRDefault="00000000">
      <w:r>
        <w:rPr>
          <w:b/>
          <w:bCs/>
        </w:rPr>
        <w:t>What this means quantitatively.</w:t>
      </w:r>
      <w:r>
        <w:t xml:space="preserve"> The difference between “tight”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</m:oMath>
      <w:r>
        <w:t xml:space="preserve"> nM) and “moderate”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μM) is only 2.8 kcal/mol — roughly 4.6 </w:t>
      </w:r>
      <m:oMath>
        <m:r>
          <w:rPr>
            <w:rFonts w:ascii="Cambria Math" w:hAnsi="Cambria Math"/>
          </w:rPr>
          <m:t>RT</m:t>
        </m:r>
      </m:oMath>
      <w:r>
        <w:t xml:space="preserve">. Molecular recognition discriminates between binding partners on energy differences of a few </w:t>
      </w:r>
      <m:oMath>
        <m:r>
          <w:rPr>
            <w:rFonts w:ascii="Cambria Math" w:hAnsi="Cambria Math"/>
          </w:rPr>
          <m:t>RT</m:t>
        </m:r>
      </m:oMath>
      <w:r>
        <w:t>. This is why softmax — not argmax — is the correct selection function: the system is stochastic at this energy scale, and the selection probability is graded, not deterministic.</w:t>
      </w:r>
    </w:p>
    <w:p w14:paraId="0C1E7686" w14:textId="77777777" w:rsidR="009D65E2" w:rsidRDefault="00276607">
      <w:r>
        <w:rPr>
          <w:noProof/>
        </w:rPr>
      </w:r>
      <w:r>
        <w:pict w14:anchorId="13719ADB">
          <v:rect id="Horizontal Line 9" o:spid="_x0000_s1031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7B5AC27" w14:textId="77777777" w:rsidR="009D65E2" w:rsidRDefault="00000000">
      <w:pPr>
        <w:pStyle w:val="Heading2"/>
      </w:pPr>
      <w:bookmarkStart w:id="10" w:name="X72888e7cae268b07fa62ccced89a6ce86b86cf8"/>
      <w:bookmarkEnd w:id="9"/>
      <w:r>
        <w:t>9. Worked Example 3: From Binding Assay to Boltzmann Probability</w:t>
      </w:r>
    </w:p>
    <w:p w14:paraId="5F9A13DB" w14:textId="77777777" w:rsidR="009D65E2" w:rsidRDefault="00000000">
      <w:r>
        <w:rPr>
          <w:b/>
          <w:bCs/>
        </w:rPr>
        <w:t>Problem.</w:t>
      </w:r>
      <w:r>
        <w:t xml:space="preserve"> An SPR experiment measures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500</m:t>
        </m:r>
      </m:oMath>
      <w:r>
        <w:t xml:space="preserve"> pM for an antibody-antigen interaction at 310 K. What is the probability ratio between bound and unbound states when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</m:d>
      </m:oMath>
      <w:r>
        <w:t>?</w:t>
      </w:r>
    </w:p>
    <w:p w14:paraId="34F8A189" w14:textId="77777777" w:rsidR="009D65E2" w:rsidRDefault="00000000">
      <w:r>
        <w:rPr>
          <w:b/>
          <w:bCs/>
        </w:rPr>
        <w:t>Step 1.</w:t>
      </w:r>
      <w:r>
        <w:t xml:space="preserve"> Compute </w:t>
      </w:r>
      <m:oMath>
        <m:r>
          <w:rPr>
            <w:rFonts w:ascii="Cambria Math" w:hAnsi="Cambria Math"/>
          </w:rPr>
          <m:t>ΔG</m:t>
        </m:r>
      </m:oMath>
      <w:r>
        <w:t>:</w:t>
      </w:r>
    </w:p>
    <w:p w14:paraId="4159CA9A" w14:textId="77777777" w:rsidR="009D65E2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ΔG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0.616</m:t>
          </m:r>
          <m:r>
            <m:rPr>
              <m:sty m:val="p"/>
            </m:rPr>
            <w:rPr>
              <w:rFonts w:ascii="Cambria Math" w:hAnsi="Cambria Math"/>
            </w:rPr>
            <m:t>×ln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10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0.616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21.42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13.20</m:t>
          </m:r>
          <m:r>
            <m:rPr>
              <m:nor/>
            </m:rPr>
            <m:t xml:space="preserve"> kcal/mol</m:t>
          </m:r>
        </m:oMath>
      </m:oMathPara>
    </w:p>
    <w:p w14:paraId="2CBE5AE0" w14:textId="77777777" w:rsidR="009D65E2" w:rsidRDefault="00000000">
      <w:r>
        <w:rPr>
          <w:b/>
          <w:bCs/>
        </w:rPr>
        <w:t>Step 2.</w:t>
      </w:r>
      <w:r>
        <w:t xml:space="preserve"> Compute the Boltzmann probability ratio:</w:t>
      </w:r>
    </w:p>
    <w:p w14:paraId="1DB1108E" w14:textId="77777777" w:rsidR="009D65E2" w:rsidRDefault="00000000"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m:t>bound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m:t>unbound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=exp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ΔG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RT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=exp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13.20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0.616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=exp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21.4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9</m:t>
              </m:r>
            </m:sup>
          </m:sSup>
        </m:oMath>
      </m:oMathPara>
    </w:p>
    <w:p w14:paraId="2CD4CE83" w14:textId="77777777" w:rsidR="009D65E2" w:rsidRDefault="00000000">
      <w:r>
        <w:rPr>
          <w:b/>
          <w:bCs/>
        </w:rPr>
        <w:t>Interpretation.</w:t>
      </w:r>
      <w:r>
        <w:t xml:space="preserve"> At equilibrium with equal free concentrations, the bound state is 2 billion times more probable than the unbound state. The SPR instrument’s measurement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500</m:t>
        </m:r>
      </m:oMath>
      <w:r>
        <w:t xml:space="preserve"> pM IS this Boltzmann probability ratio — expressed in concentration units via the equilibrium constant formalism.</w:t>
      </w:r>
    </w:p>
    <w:p w14:paraId="7B033088" w14:textId="77777777" w:rsidR="009D65E2" w:rsidRDefault="00000000">
      <w:r>
        <w:rPr>
          <w:b/>
          <w:bCs/>
        </w:rPr>
        <w:t>Generalization.</w:t>
      </w:r>
      <w:r>
        <w:t xml:space="preserve"> Every binding measurement ever made — by SPR, ITC, BLI, equilibrium dialysis, fluorescence titration, or any other technique — is a measurement of the ratio </w:t>
      </w:r>
      <m:oMath>
        <m:r>
          <m:rPr>
            <m:sty m:val="p"/>
          </m:rPr>
          <w:rPr>
            <w:rFonts w:ascii="Cambria Math" w:hAnsi="Cambria Math"/>
          </w:rPr>
          <m:t>exp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ΔG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RT</m:t>
            </m:r>
          </m:e>
        </m:d>
      </m:oMath>
      <w:r>
        <w:t>. The experimental apparatus differs; the underlying physics does not.</w:t>
      </w:r>
    </w:p>
    <w:p w14:paraId="4469D368" w14:textId="77777777" w:rsidR="009D65E2" w:rsidRDefault="00276607">
      <w:r>
        <w:rPr>
          <w:noProof/>
        </w:rPr>
      </w:r>
      <w:r>
        <w:pict w14:anchorId="3FF1D750">
          <v:rect id="Horizontal Line 10" o:spid="_x0000_s1030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AE01C51" w14:textId="77777777" w:rsidR="009D65E2" w:rsidRDefault="00000000">
      <w:pPr>
        <w:pStyle w:val="Heading2"/>
      </w:pPr>
      <w:bookmarkStart w:id="11" w:name="converting-between-units"/>
      <w:bookmarkEnd w:id="10"/>
      <w:r>
        <w:t>10. Converting Between Units</w:t>
      </w:r>
    </w:p>
    <w:p w14:paraId="72AB199A" w14:textId="77777777" w:rsidR="009D65E2" w:rsidRDefault="00000000">
      <w:r>
        <w:t>Different fields and textbooks use different units. The relationships are:</w:t>
      </w:r>
    </w:p>
    <w:p w14:paraId="29022268" w14:textId="77777777" w:rsidR="009D65E2" w:rsidRDefault="00000000">
      <w:r>
        <w:rPr>
          <w:b/>
          <w:bCs/>
        </w:rPr>
        <w:t>Kelvin, Celsius, and RT: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20" w:firstRow="1" w:lastRow="0" w:firstColumn="0" w:lastColumn="0" w:noHBand="0" w:noVBand="0"/>
      </w:tblPr>
      <w:tblGrid>
        <w:gridCol w:w="2577"/>
        <w:gridCol w:w="1268"/>
        <w:gridCol w:w="1097"/>
        <w:gridCol w:w="858"/>
      </w:tblGrid>
      <w:tr w:rsidR="009D65E2" w14:paraId="1B1546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51EEB431" w14:textId="77777777" w:rsidR="009D65E2" w:rsidRDefault="00000000">
            <m:oMathPara>
              <m:oMath>
                <m: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0" w:type="auto"/>
          </w:tcPr>
          <w:p w14:paraId="4D838F6C" w14:textId="77777777" w:rsidR="009D65E2" w:rsidRDefault="00000000">
            <m:oMath>
              <m:r>
                <w:rPr>
                  <w:rFonts w:ascii="Cambria Math" w:hAnsi="Cambria Math"/>
                </w:rPr>
                <m:t>RT</m:t>
              </m:r>
            </m:oMath>
            <w:r>
              <w:t xml:space="preserve"> (kcal/mol)</w:t>
            </w:r>
          </w:p>
        </w:tc>
        <w:tc>
          <w:tcPr>
            <w:tcW w:w="0" w:type="auto"/>
          </w:tcPr>
          <w:p w14:paraId="4B21F0FC" w14:textId="77777777" w:rsidR="009D65E2" w:rsidRDefault="00000000">
            <m:oMath>
              <m:r>
                <w:rPr>
                  <w:rFonts w:ascii="Cambria Math" w:hAnsi="Cambria Math"/>
                </w:rPr>
                <m:t>RT</m:t>
              </m:r>
            </m:oMath>
            <w:r>
              <w:t xml:space="preserve"> (kJ/mol)</w:t>
            </w:r>
          </w:p>
        </w:tc>
        <w:tc>
          <w:tcPr>
            <w:tcW w:w="0" w:type="auto"/>
          </w:tcPr>
          <w:p w14:paraId="7026C9B6" w14:textId="77777777" w:rsidR="009D65E2" w:rsidRDefault="00000000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oMath>
            <w:r>
              <w:t xml:space="preserve"> (eV)</w:t>
            </w:r>
          </w:p>
        </w:tc>
      </w:tr>
      <w:tr w:rsidR="009D65E2" w14:paraId="369496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A50A20A" w14:textId="77777777" w:rsidR="009D65E2" w:rsidRDefault="00000000">
            <w:r>
              <w:t>277 K (4°C, cold room)</w:t>
            </w:r>
          </w:p>
        </w:tc>
        <w:tc>
          <w:tcPr>
            <w:tcW w:w="0" w:type="auto"/>
          </w:tcPr>
          <w:p w14:paraId="22651C79" w14:textId="77777777" w:rsidR="009D65E2" w:rsidRDefault="00000000">
            <w:r>
              <w:t>0.550</w:t>
            </w:r>
          </w:p>
        </w:tc>
        <w:tc>
          <w:tcPr>
            <w:tcW w:w="0" w:type="auto"/>
          </w:tcPr>
          <w:p w14:paraId="1C020256" w14:textId="77777777" w:rsidR="009D65E2" w:rsidRDefault="00000000">
            <w:r>
              <w:t>2.303</w:t>
            </w:r>
          </w:p>
        </w:tc>
        <w:tc>
          <w:tcPr>
            <w:tcW w:w="0" w:type="auto"/>
          </w:tcPr>
          <w:p w14:paraId="14204F72" w14:textId="77777777" w:rsidR="009D65E2" w:rsidRDefault="00000000">
            <w:r>
              <w:t>0.0239</w:t>
            </w:r>
          </w:p>
        </w:tc>
      </w:tr>
      <w:tr w:rsidR="009D65E2" w14:paraId="360E11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D66BD33" w14:textId="77777777" w:rsidR="009D65E2" w:rsidRDefault="00000000">
            <w:r>
              <w:t>298 K (25°C, standard)</w:t>
            </w:r>
          </w:p>
        </w:tc>
        <w:tc>
          <w:tcPr>
            <w:tcW w:w="0" w:type="auto"/>
          </w:tcPr>
          <w:p w14:paraId="69753BBF" w14:textId="77777777" w:rsidR="009D65E2" w:rsidRDefault="00000000">
            <w:r>
              <w:t>0.593</w:t>
            </w:r>
          </w:p>
        </w:tc>
        <w:tc>
          <w:tcPr>
            <w:tcW w:w="0" w:type="auto"/>
          </w:tcPr>
          <w:p w14:paraId="5181EFB8" w14:textId="77777777" w:rsidR="009D65E2" w:rsidRDefault="00000000">
            <w:r>
              <w:t>2.479</w:t>
            </w:r>
          </w:p>
        </w:tc>
        <w:tc>
          <w:tcPr>
            <w:tcW w:w="0" w:type="auto"/>
          </w:tcPr>
          <w:p w14:paraId="00D63DD0" w14:textId="77777777" w:rsidR="009D65E2" w:rsidRDefault="00000000">
            <w:r>
              <w:t>0.0257</w:t>
            </w:r>
          </w:p>
        </w:tc>
      </w:tr>
      <w:tr w:rsidR="009D65E2" w14:paraId="51FD9B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4C16903" w14:textId="77777777" w:rsidR="009D65E2" w:rsidRDefault="00000000">
            <w:r>
              <w:rPr>
                <w:b/>
                <w:bCs/>
              </w:rPr>
              <w:lastRenderedPageBreak/>
              <w:t>310 K (37°C, physiological)</w:t>
            </w:r>
          </w:p>
        </w:tc>
        <w:tc>
          <w:tcPr>
            <w:tcW w:w="0" w:type="auto"/>
          </w:tcPr>
          <w:p w14:paraId="1AE6686A" w14:textId="77777777" w:rsidR="009D65E2" w:rsidRDefault="00000000">
            <w:r>
              <w:rPr>
                <w:b/>
                <w:bCs/>
              </w:rPr>
              <w:t>0.616</w:t>
            </w:r>
          </w:p>
        </w:tc>
        <w:tc>
          <w:tcPr>
            <w:tcW w:w="0" w:type="auto"/>
          </w:tcPr>
          <w:p w14:paraId="1440798F" w14:textId="77777777" w:rsidR="009D65E2" w:rsidRDefault="00000000">
            <w:r>
              <w:rPr>
                <w:b/>
                <w:bCs/>
              </w:rPr>
              <w:t>2.577</w:t>
            </w:r>
          </w:p>
        </w:tc>
        <w:tc>
          <w:tcPr>
            <w:tcW w:w="0" w:type="auto"/>
          </w:tcPr>
          <w:p w14:paraId="08842EA1" w14:textId="77777777" w:rsidR="009D65E2" w:rsidRDefault="00000000">
            <w:r>
              <w:rPr>
                <w:b/>
                <w:bCs/>
              </w:rPr>
              <w:t>0.0267</w:t>
            </w:r>
          </w:p>
        </w:tc>
      </w:tr>
      <w:tr w:rsidR="009D65E2" w14:paraId="20C13A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9433C25" w14:textId="77777777" w:rsidR="009D65E2" w:rsidRDefault="00000000">
            <w:r>
              <w:t>323 K (50°C)</w:t>
            </w:r>
          </w:p>
        </w:tc>
        <w:tc>
          <w:tcPr>
            <w:tcW w:w="0" w:type="auto"/>
          </w:tcPr>
          <w:p w14:paraId="73670538" w14:textId="77777777" w:rsidR="009D65E2" w:rsidRDefault="00000000">
            <w:r>
              <w:t>0.642</w:t>
            </w:r>
          </w:p>
        </w:tc>
        <w:tc>
          <w:tcPr>
            <w:tcW w:w="0" w:type="auto"/>
          </w:tcPr>
          <w:p w14:paraId="524034DF" w14:textId="77777777" w:rsidR="009D65E2" w:rsidRDefault="00000000">
            <w:r>
              <w:t>2.687</w:t>
            </w:r>
          </w:p>
        </w:tc>
        <w:tc>
          <w:tcPr>
            <w:tcW w:w="0" w:type="auto"/>
          </w:tcPr>
          <w:p w14:paraId="04392EB3" w14:textId="77777777" w:rsidR="009D65E2" w:rsidRDefault="00000000">
            <w:r>
              <w:t>0.0278</w:t>
            </w:r>
          </w:p>
        </w:tc>
      </w:tr>
    </w:tbl>
    <w:p w14:paraId="2FF8D583" w14:textId="77777777" w:rsidR="009D65E2" w:rsidRDefault="00000000">
      <w:r>
        <w:rPr>
          <w:b/>
          <w:bCs/>
        </w:rPr>
        <w:t>Conversions:</w:t>
      </w:r>
    </w:p>
    <w:p w14:paraId="7823C7AC" w14:textId="77777777" w:rsidR="009D65E2" w:rsidRDefault="00000000"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ln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2.303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r>
            <m:rPr>
              <m:nor/>
            </m:rPr>
            <m:t>so</m:t>
          </m:r>
          <m:r>
            <w:rPr>
              <w:rFonts w:ascii="Cambria Math" w:hAnsi="Cambria Math"/>
            </w:rPr>
            <m:t> ΔG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RT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2.303 RT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</m:oMath>
      </m:oMathPara>
    </w:p>
    <w:p w14:paraId="0FAFFD76" w14:textId="77777777" w:rsidR="009D65E2" w:rsidRDefault="00000000">
      <w:r>
        <w:t xml:space="preserve">At 310 K: </w:t>
      </w:r>
      <m:oMath>
        <m:r>
          <w:rPr>
            <w:rFonts w:ascii="Cambria Math" w:hAnsi="Cambria Math"/>
          </w:rPr>
          <m:t>ΔG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1.42 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t xml:space="preserve"> kcal/mol. For each 10-fold change 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t xml:space="preserve">, </w:t>
      </w:r>
      <m:oMath>
        <m:r>
          <w:rPr>
            <w:rFonts w:ascii="Cambria Math" w:hAnsi="Cambria Math"/>
          </w:rPr>
          <m:t>ΔG</m:t>
        </m:r>
      </m:oMath>
      <w:r>
        <w:t xml:space="preserve"> changes by about 1.42 kcal/mol (or about 2.3 </w:t>
      </w:r>
      <m:oMath>
        <m:r>
          <w:rPr>
            <w:rFonts w:ascii="Cambria Math" w:hAnsi="Cambria Math"/>
          </w:rPr>
          <m:t>RT</m:t>
        </m:r>
      </m:oMath>
      <w:r>
        <w:t>).</w:t>
      </w:r>
    </w:p>
    <w:p w14:paraId="6D9B419A" w14:textId="77777777" w:rsidR="009D65E2" w:rsidRDefault="00276607">
      <w:r>
        <w:rPr>
          <w:noProof/>
        </w:rPr>
      </w:r>
      <w:r>
        <w:pict w14:anchorId="0B1C8B53">
          <v:rect id="Horizontal Line 11" o:spid="_x0000_s1029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8309173" w14:textId="77777777" w:rsidR="009D65E2" w:rsidRDefault="00000000">
      <w:pPr>
        <w:pStyle w:val="Heading2"/>
      </w:pPr>
      <w:bookmarkStart w:id="12" w:name="X7f3358cd39f161072a13453e55187f4fd54376c"/>
      <w:bookmarkEnd w:id="11"/>
      <w:r>
        <w:t>11. Connection to the Boltzmann Distribution and Softmax</w:t>
      </w:r>
    </w:p>
    <w:p w14:paraId="7A48E72E" w14:textId="77777777" w:rsidR="009D65E2" w:rsidRDefault="00000000">
      <w:r>
        <w:t xml:space="preserve">The two-state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t xml:space="preserve"> derivation is a special case of the general Boltzmann distribution (Derivation Guide 1, §8):</w:t>
      </w:r>
    </w:p>
    <w:p w14:paraId="59D9BA08" w14:textId="77777777" w:rsidR="009D65E2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j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RT</m:t>
                  </m:r>
                </m:e>
              </m:d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exp</m:t>
                  </m:r>
                </m:e>
              </m:nary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RT</m:t>
                  </m:r>
                </m:e>
              </m:d>
            </m:den>
          </m:f>
        </m:oMath>
      </m:oMathPara>
    </w:p>
    <w:p w14:paraId="10C2BB85" w14:textId="77777777" w:rsidR="009D65E2" w:rsidRDefault="00000000">
      <w:r>
        <w:t>With two states (</w:t>
      </w:r>
      <m:oMath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: unbound,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; </w:t>
      </w:r>
      <m:oMath>
        <m:r>
          <w:rPr>
            <w:rFonts w:ascii="Cambria Math" w:hAnsi="Cambria Math"/>
          </w:rPr>
          <m:t>j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t xml:space="preserve">: bound,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ΔG</m:t>
        </m:r>
      </m:oMath>
      <w:r>
        <w:t>):</w:t>
      </w:r>
    </w:p>
    <w:p w14:paraId="19A0A566" w14:textId="77777777" w:rsidR="009D65E2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bound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ΔG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RT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+exp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ΔG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RT</m:t>
                  </m:r>
                </m:e>
              </m:d>
            </m:den>
          </m:f>
        </m:oMath>
      </m:oMathPara>
    </w:p>
    <w:p w14:paraId="42F609DA" w14:textId="77777777" w:rsidR="009D65E2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unbound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+exp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ΔG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RT</m:t>
                  </m:r>
                </m:e>
              </m:d>
            </m:den>
          </m:f>
        </m:oMath>
      </m:oMathPara>
    </w:p>
    <w:p w14:paraId="73E4DB31" w14:textId="77777777" w:rsidR="009D65E2" w:rsidRDefault="00000000">
      <w:r>
        <w:rPr>
          <w:b/>
          <w:bCs/>
        </w:rPr>
        <w:t>The partition function</w:t>
      </w:r>
      <w:r>
        <w:t xml:space="preserve"> for this two-state system is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+exp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ΔG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RT</m:t>
            </m:r>
          </m:e>
        </m:d>
      </m:oMath>
      <w:r>
        <w:t>.</w:t>
      </w:r>
    </w:p>
    <w:p w14:paraId="2DB9CF54" w14:textId="77777777" w:rsidR="009D65E2" w:rsidRDefault="00000000">
      <w:r>
        <w:rPr>
          <w:b/>
          <w:bCs/>
        </w:rPr>
        <w:t>Softmax form.</w:t>
      </w:r>
      <w:r>
        <w:t xml:space="preserve"> Using the dimensionless score convention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RT</m:t>
        </m:r>
      </m:oMath>
      <w:r>
        <w:t>:</w:t>
      </w:r>
    </w:p>
    <w:p w14:paraId="4C538BFA" w14:textId="77777777" w:rsidR="009D65E2" w:rsidRDefault="00000000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nor/>
            </m:rPr>
            <m:t xml:space="preserve"> (unbound)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ΔG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RT</m:t>
          </m:r>
          <m:r>
            <m:rPr>
              <m:nor/>
            </m:rPr>
            <m:t xml:space="preserve"> (bound)</m:t>
          </m:r>
        </m:oMath>
      </m:oMathPara>
    </w:p>
    <w:p w14:paraId="3C2DD415" w14:textId="77777777" w:rsidR="009D65E2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bound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+exp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softmax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452DF070" w14:textId="77777777" w:rsidR="009D65E2" w:rsidRDefault="00000000">
      <w:r>
        <w:t xml:space="preserve">This is the </w:t>
      </w:r>
      <w:r>
        <w:rPr>
          <w:b/>
          <w:bCs/>
        </w:rPr>
        <w:t>sigmoid function</w:t>
      </w:r>
      <w:r>
        <w:t xml:space="preserve"> in disguise. For a two-state system, softmax reduces to sigmoid:</w:t>
      </w:r>
    </w:p>
    <w:p w14:paraId="0E6DC51E" w14:textId="77777777" w:rsidR="009D65E2" w:rsidRDefault="00000000">
      <m:oMathPara>
        <m:oMathParaPr>
          <m:jc m:val="center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bound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ΔG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RT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</m:oMath>
      </m:oMathPara>
    </w:p>
    <w:p w14:paraId="242FCDDE" w14:textId="77777777" w:rsidR="009D65E2" w:rsidRDefault="00000000">
      <w:r>
        <w:t xml:space="preserve">where </w:t>
      </w:r>
      <m:oMath>
        <m:r>
          <w:rPr>
            <w:rFonts w:ascii="Cambria Math" w:hAnsi="Cambria Math"/>
          </w:rPr>
          <m:t>σ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+exp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  <w:r>
        <w:t xml:space="preserve"> is the standard sigmoid. However, this is a </w:t>
      </w:r>
      <w:r>
        <w:rPr>
          <w:b/>
          <w:bCs/>
        </w:rPr>
        <w:t>special case</w:t>
      </w:r>
      <w:r>
        <w:t xml:space="preserve"> — the general molecular recognition problem involves many competitors, where softmax does not reduce to sigmoid. Lecture 6 proves that sigmoid cannot be generalized to a multi-candidate selection function while preserving IIA; only softmax works for the general case. The two-state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t xml:space="preserve"> derivation is the one place where sigmoid appears naturally, because it is softmax with M=2.</w:t>
      </w:r>
    </w:p>
    <w:p w14:paraId="58F97971" w14:textId="77777777" w:rsidR="009D65E2" w:rsidRDefault="00276607">
      <w:r>
        <w:rPr>
          <w:noProof/>
        </w:rPr>
      </w:r>
      <w:r>
        <w:pict w14:anchorId="33826E57">
          <v:rect id="Horizontal Line 12" o:spid="_x0000_s1028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5B4BBF0" w14:textId="77777777" w:rsidR="009D65E2" w:rsidRDefault="00000000">
      <w:pPr>
        <w:pStyle w:val="Heading2"/>
      </w:pPr>
      <w:bookmarkStart w:id="13" w:name="summary"/>
      <w:bookmarkEnd w:id="12"/>
      <w:r>
        <w:t>12. Summary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20" w:firstRow="1" w:lastRow="0" w:firstColumn="0" w:lastColumn="0" w:noHBand="0" w:noVBand="0"/>
      </w:tblPr>
      <w:tblGrid>
        <w:gridCol w:w="2189"/>
        <w:gridCol w:w="3280"/>
        <w:gridCol w:w="3547"/>
      </w:tblGrid>
      <w:tr w:rsidR="009D65E2" w14:paraId="537432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319AE8DD" w14:textId="77777777" w:rsidR="009D65E2" w:rsidRDefault="00000000">
            <w:r>
              <w:t>Concept</w:t>
            </w:r>
          </w:p>
        </w:tc>
        <w:tc>
          <w:tcPr>
            <w:tcW w:w="0" w:type="auto"/>
          </w:tcPr>
          <w:p w14:paraId="1EE437BC" w14:textId="77777777" w:rsidR="009D65E2" w:rsidRDefault="00000000">
            <w:r>
              <w:t>Result</w:t>
            </w:r>
          </w:p>
        </w:tc>
        <w:tc>
          <w:tcPr>
            <w:tcW w:w="0" w:type="auto"/>
          </w:tcPr>
          <w:p w14:paraId="343AEBC8" w14:textId="77777777" w:rsidR="009D65E2" w:rsidRDefault="00000000">
            <w:r>
              <w:t>Significance</w:t>
            </w:r>
          </w:p>
        </w:tc>
      </w:tr>
      <w:tr w:rsidR="009D65E2" w14:paraId="1BC33A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BB86584" w14:textId="77777777" w:rsidR="009D65E2" w:rsidRDefault="00000000">
            <w:r>
              <w:t>Two-state Boltzmann</w:t>
            </w:r>
          </w:p>
        </w:tc>
        <w:tc>
          <w:tcPr>
            <w:tcW w:w="0" w:type="auto"/>
          </w:tcPr>
          <w:p w14:paraId="5C1B4F7E" w14:textId="77777777" w:rsidR="009D65E2" w:rsidRDefault="00000000">
            <m:oMathPara>
              <m:oMath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nor/>
                      </m:rPr>
                      <m:t>bound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nor/>
                      </m:rPr>
                      <m:t>unbound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=exp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ΔG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RT</m:t>
                    </m:r>
                  </m:e>
                </m:d>
              </m:oMath>
            </m:oMathPara>
          </w:p>
        </w:tc>
        <w:tc>
          <w:tcPr>
            <w:tcW w:w="0" w:type="auto"/>
          </w:tcPr>
          <w:p w14:paraId="1EC58D1C" w14:textId="77777777" w:rsidR="009D65E2" w:rsidRDefault="00000000">
            <w:r>
              <w:t xml:space="preserve">Ratio is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oMath>
            <w:r>
              <w:t>, the association constant</w:t>
            </w:r>
          </w:p>
        </w:tc>
      </w:tr>
      <w:tr w:rsidR="009D65E2" w14:paraId="7DA907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B97A8A5" w14:textId="77777777" w:rsidR="009D65E2" w:rsidRDefault="00000000">
            <w:r>
              <w:t>Dissociation constant</w:t>
            </w:r>
          </w:p>
        </w:tc>
        <w:tc>
          <w:tcPr>
            <w:tcW w:w="0" w:type="auto"/>
          </w:tcPr>
          <w:p w14:paraId="742D8F31" w14:textId="77777777" w:rsidR="009D65E2" w:rsidRDefault="00000000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=exp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ΔG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RT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2DB2F0F" w14:textId="77777777" w:rsidR="009D65E2" w:rsidRDefault="00000000">
            <w:r>
              <w:t>Measured by SPR, ITC, BLI</w:t>
            </w:r>
          </w:p>
        </w:tc>
      </w:tr>
      <w:tr w:rsidR="009D65E2" w14:paraId="1C23A4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888E471" w14:textId="77777777" w:rsidR="009D65E2" w:rsidRDefault="00000000">
            <w:r>
              <w:t>Fundamental equation</w:t>
            </w:r>
          </w:p>
        </w:tc>
        <w:tc>
          <w:tcPr>
            <w:tcW w:w="0" w:type="auto"/>
          </w:tcPr>
          <w:p w14:paraId="16B09EFE" w14:textId="77777777" w:rsidR="009D65E2" w:rsidRDefault="00000000">
            <m:oMathPara>
              <m:oMath>
                <m:r>
                  <w:rPr>
                    <w:rFonts w:ascii="Cambria Math" w:hAnsi="Cambria Math"/>
                  </w:rPr>
                  <m:t>ΔG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RT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10D024E2" w14:textId="77777777" w:rsidR="009D65E2" w:rsidRDefault="00000000">
            <w:r>
              <w:t>Exact at equilibrium</w:t>
            </w:r>
          </w:p>
        </w:tc>
      </w:tr>
      <w:tr w:rsidR="009D65E2" w14:paraId="0B449E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E7731BC" w14:textId="77777777" w:rsidR="009D65E2" w:rsidRDefault="00000000">
            <w:r>
              <w:t>Thermal energy at 310 K</w:t>
            </w:r>
          </w:p>
        </w:tc>
        <w:tc>
          <w:tcPr>
            <w:tcW w:w="0" w:type="auto"/>
          </w:tcPr>
          <w:p w14:paraId="5DBBAF2B" w14:textId="77777777" w:rsidR="009D65E2" w:rsidRDefault="00000000">
            <m:oMath>
              <m:r>
                <w:rPr>
                  <w:rFonts w:ascii="Cambria Math" w:hAnsi="Cambria Math"/>
                </w:rPr>
                <m:t>RT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0.616</m:t>
              </m:r>
            </m:oMath>
            <w:r>
              <w:t xml:space="preserve"> kcal/mol</w:t>
            </w:r>
          </w:p>
        </w:tc>
        <w:tc>
          <w:tcPr>
            <w:tcW w:w="0" w:type="auto"/>
          </w:tcPr>
          <w:p w14:paraId="043BF578" w14:textId="77777777" w:rsidR="009D65E2" w:rsidRDefault="00000000">
            <w:r>
              <w:t>The natural energy scale</w:t>
            </w:r>
          </w:p>
        </w:tc>
      </w:tr>
      <w:tr w:rsidR="009D65E2" w14:paraId="3CFDCC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28E51F4" w14:textId="77777777" w:rsidR="009D65E2" w:rsidRDefault="00000000">
            <w:r>
              <w:t>Biologically relevant range</w:t>
            </w:r>
          </w:p>
        </w:tc>
        <w:tc>
          <w:tcPr>
            <w:tcW w:w="0" w:type="auto"/>
          </w:tcPr>
          <w:p w14:paraId="08EAF228" w14:textId="77777777" w:rsidR="009D65E2" w:rsidRDefault="00000000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oMath>
            <w:r>
              <w:t xml:space="preserve">: pM to mM; </w:t>
            </w:r>
            <m:oMath>
              <m:r>
                <w:rPr>
                  <w:rFonts w:ascii="Cambria Math" w:hAnsi="Cambria Math"/>
                </w:rPr>
                <m:t>ΔG</m:t>
              </m:r>
            </m:oMath>
            <w:r>
              <w:t>: −4 to −16 kcal/mol</w:t>
            </w:r>
          </w:p>
        </w:tc>
        <w:tc>
          <w:tcPr>
            <w:tcW w:w="0" w:type="auto"/>
          </w:tcPr>
          <w:p w14:paraId="3858AD51" w14:textId="77777777" w:rsidR="009D65E2" w:rsidRDefault="00000000">
            <w:r>
              <w:t xml:space="preserve">Spans ~20 </w:t>
            </w:r>
            <m:oMath>
              <m:r>
                <w:rPr>
                  <w:rFonts w:ascii="Cambria Math" w:hAnsi="Cambria Math"/>
                </w:rPr>
                <m:t>RT</m:t>
              </m:r>
            </m:oMath>
          </w:p>
        </w:tc>
      </w:tr>
      <w:tr w:rsidR="009D65E2" w14:paraId="799B1A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F9C112F" w14:textId="77777777" w:rsidR="009D65E2" w:rsidRDefault="00000000">
            <w:r>
              <w:t>Two-state → sigmoid</w:t>
            </w:r>
          </w:p>
        </w:tc>
        <w:tc>
          <w:tcPr>
            <w:tcW w:w="0" w:type="auto"/>
          </w:tcPr>
          <w:p w14:paraId="514C367A" w14:textId="77777777" w:rsidR="009D65E2" w:rsidRDefault="00000000">
            <w:r>
              <w:t>Softmax with M=2 = sigmoid</w:t>
            </w:r>
          </w:p>
        </w:tc>
        <w:tc>
          <w:tcPr>
            <w:tcW w:w="0" w:type="auto"/>
          </w:tcPr>
          <w:p w14:paraId="73D2D0A4" w14:textId="77777777" w:rsidR="009D65E2" w:rsidRDefault="00000000">
            <w:r>
              <w:t>Special case; breaks down for multi-candidate</w:t>
            </w:r>
          </w:p>
        </w:tc>
      </w:tr>
    </w:tbl>
    <w:p w14:paraId="4E45B203" w14:textId="77777777" w:rsidR="009D65E2" w:rsidRDefault="00276607">
      <w:r>
        <w:rPr>
          <w:noProof/>
        </w:rPr>
      </w:r>
      <w:r>
        <w:pict w14:anchorId="3B1342E0">
          <v:rect id="Horizontal Line 13" o:spid="_x0000_s1027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2CAF115" w14:textId="77777777" w:rsidR="009D65E2" w:rsidRDefault="00000000">
      <w:pPr>
        <w:pStyle w:val="Heading2"/>
      </w:pPr>
      <w:bookmarkStart w:id="14" w:name="checkpoint-questions"/>
      <w:bookmarkEnd w:id="13"/>
      <w:r>
        <w:t>13. Checkpoint Questions</w:t>
      </w:r>
    </w:p>
    <w:p w14:paraId="1E8FA439" w14:textId="77777777" w:rsidR="009D65E2" w:rsidRDefault="00000000">
      <w:r>
        <w:rPr>
          <w:b/>
          <w:bCs/>
        </w:rPr>
        <w:t>Q1.</w:t>
      </w:r>
      <w:r>
        <w:t xml:space="preserve"> An antibody has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100</m:t>
        </m:r>
      </m:oMath>
      <w:r>
        <w:t xml:space="preserve"> pM at 310 K. A competing antibody has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</m:oMath>
      <w:r>
        <w:t xml:space="preserve"> nM. What is the difference in binding free energy? What is the ratio of their Boltzmann probabilities (bound/unbound) at equal free concentrations?</w:t>
      </w:r>
    </w:p>
    <w:p w14:paraId="079BE046" w14:textId="77777777" w:rsidR="009D65E2" w:rsidRDefault="00000000">
      <w:r>
        <w:rPr>
          <w:i/>
          <w:iCs/>
        </w:rPr>
        <w:lastRenderedPageBreak/>
        <w:t>Answer:</w:t>
      </w:r>
      <w:r>
        <w:t xml:space="preserve"> For the first antibody: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0.616</m:t>
        </m:r>
        <m:r>
          <m:rPr>
            <m:sty m:val="p"/>
          </m:rPr>
          <w:rPr>
            <w:rFonts w:ascii="Cambria Math" w:hAnsi="Cambria Math"/>
          </w:rPr>
          <m:t>×ln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10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0.616</m:t>
        </m:r>
        <m:r>
          <m:rPr>
            <m:sty m:val="p"/>
          </m:rPr>
          <w:rPr>
            <w:rFonts w:ascii="Cambria Math" w:hAnsi="Cambria Math"/>
          </w:rPr>
          <m:t>×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23.0</m:t>
            </m:r>
          </m:e>
        </m:d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14.2</m:t>
        </m:r>
      </m:oMath>
      <w:r>
        <w:t xml:space="preserve"> kcal/mol. For the second: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0.616</m:t>
        </m:r>
        <m:r>
          <m:rPr>
            <m:sty m:val="p"/>
          </m:rPr>
          <w:rPr>
            <w:rFonts w:ascii="Cambria Math" w:hAnsi="Cambria Math"/>
          </w:rPr>
          <m:t>×ln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8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11.3</m:t>
        </m:r>
      </m:oMath>
      <w:r>
        <w:t xml:space="preserve"> kcal/mol. Difference: </w:t>
      </w:r>
      <m:oMath>
        <m:r>
          <w:rPr>
            <w:rFonts w:ascii="Cambria Math" w:hAnsi="Cambria Math"/>
          </w:rPr>
          <m:t>ΔΔG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2.9</m:t>
        </m:r>
      </m:oMath>
      <w:r>
        <w:t xml:space="preserve"> kcal/mol ≈ 4.7 </w:t>
      </w:r>
      <m:oMath>
        <m:r>
          <w:rPr>
            <w:rFonts w:ascii="Cambria Math" w:hAnsi="Cambria Math"/>
          </w:rPr>
          <m:t>RT</m:t>
        </m:r>
      </m:oMath>
      <w:r>
        <w:t xml:space="preserve">. The first antibody’s bound/unbound ratio is </w:t>
      </w:r>
      <m:oMath>
        <m:r>
          <m:rPr>
            <m:sty m:val="p"/>
          </m:rPr>
          <w:rPr>
            <w:rFonts w:ascii="Cambria Math" w:hAnsi="Cambria Math"/>
          </w:rPr>
          <m:t>exp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4.7</m:t>
            </m:r>
          </m:e>
        </m:d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110</m:t>
        </m:r>
      </m:oMath>
      <w:r>
        <w:t xml:space="preserve"> times larger than the second’s — a 100-fold change 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t xml:space="preserve"> corresponds to a ~100-fold change in the Boltzmann probability ratio.</w:t>
      </w:r>
    </w:p>
    <w:p w14:paraId="01F78E70" w14:textId="77777777" w:rsidR="009D65E2" w:rsidRDefault="00000000">
      <w:r>
        <w:rPr>
          <w:b/>
          <w:bCs/>
        </w:rPr>
        <w:t>Q2.</w:t>
      </w:r>
      <w:r>
        <w:t xml:space="preserve"> An SPR experiment measures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2.5</m:t>
        </m:r>
      </m:oMath>
      <w:r>
        <w:t xml:space="preserve"> μM at 298 K (room temperature). Convert to </w:t>
      </w:r>
      <m:oMath>
        <m:r>
          <w:rPr>
            <w:rFonts w:ascii="Cambria Math" w:hAnsi="Cambria Math"/>
          </w:rPr>
          <m:t>ΔG</m:t>
        </m:r>
      </m:oMath>
      <w:r>
        <w:t xml:space="preserve"> and state the result in </w:t>
      </w:r>
      <m:oMath>
        <m:r>
          <w:rPr>
            <w:rFonts w:ascii="Cambria Math" w:hAnsi="Cambria Math"/>
          </w:rPr>
          <m:t>RT</m:t>
        </m:r>
      </m:oMath>
      <w:r>
        <w:t xml:space="preserve"> units.</w:t>
      </w:r>
    </w:p>
    <w:p w14:paraId="11200A39" w14:textId="77777777" w:rsidR="009D65E2" w:rsidRDefault="00000000">
      <w:r>
        <w:rPr>
          <w:i/>
          <w:iCs/>
        </w:rPr>
        <w:t>Answer:</w:t>
      </w:r>
      <w:r>
        <w:t xml:space="preserve"> At 298 K, </w:t>
      </w:r>
      <m:oMath>
        <m:r>
          <w:rPr>
            <w:rFonts w:ascii="Cambria Math" w:hAnsi="Cambria Math"/>
          </w:rPr>
          <m:t>RT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0.593</m:t>
        </m:r>
      </m:oMath>
      <w:r>
        <w:t xml:space="preserve"> kcal/mol. </w:t>
      </w:r>
      <m:oMath>
        <m:r>
          <w:rPr>
            <w:rFonts w:ascii="Cambria Math" w:hAnsi="Cambria Math"/>
          </w:rPr>
          <m:t>ΔG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0.593</m:t>
        </m:r>
        <m:r>
          <m:rPr>
            <m:sty m:val="p"/>
          </m:rPr>
          <w:rPr>
            <w:rFonts w:ascii="Cambria Math" w:hAnsi="Cambria Math"/>
          </w:rPr>
          <m:t>×ln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2.5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6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0.593</m:t>
        </m:r>
        <m:r>
          <m:rPr>
            <m:sty m:val="p"/>
          </m:rPr>
          <w:rPr>
            <w:rFonts w:ascii="Cambria Math" w:hAnsi="Cambria Math"/>
          </w:rPr>
          <m:t>×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12.9</m:t>
            </m:r>
          </m:e>
        </m:d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7.65</m:t>
        </m:r>
      </m:oMath>
      <w:r>
        <w:t xml:space="preserve"> kcal/mol. In </w:t>
      </w:r>
      <m:oMath>
        <m:r>
          <w:rPr>
            <w:rFonts w:ascii="Cambria Math" w:hAnsi="Cambria Math"/>
          </w:rPr>
          <m:t>RT</m:t>
        </m:r>
      </m:oMath>
      <w:r>
        <w:t xml:space="preserve"> units: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12.9 RT</m:t>
        </m:r>
      </m:oMath>
      <w:r>
        <w:t xml:space="preserve">. Note that working in </w:t>
      </w:r>
      <m:oMath>
        <m:r>
          <w:rPr>
            <w:rFonts w:ascii="Cambria Math" w:hAnsi="Cambria Math"/>
          </w:rPr>
          <m:t>RT</m:t>
        </m:r>
      </m:oMath>
      <w:r>
        <w:t xml:space="preserve"> units is more general because it doesn’t depend on the temperature — the value </w:t>
      </w:r>
      <m:oMath>
        <m:r>
          <m:rPr>
            <m:sty m:val="p"/>
          </m:rPr>
          <w:rPr>
            <w:rFonts w:ascii="Cambria Math" w:hAnsi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12.9</m:t>
        </m:r>
      </m:oMath>
      <w:r>
        <w:t xml:space="preserve"> is the dimensionless energy, independent of the temperature convention.</w:t>
      </w:r>
    </w:p>
    <w:p w14:paraId="1534F4A5" w14:textId="77777777" w:rsidR="009D65E2" w:rsidRDefault="00000000">
      <w:r>
        <w:rPr>
          <w:b/>
          <w:bCs/>
        </w:rPr>
        <w:t>Q3.</w:t>
      </w:r>
      <w:r>
        <w:t xml:space="preserve"> A student says: “If </w:t>
      </w:r>
      <m:oMath>
        <m:r>
          <w:rPr>
            <w:rFonts w:ascii="Cambria Math" w:hAnsi="Cambria Math"/>
          </w:rPr>
          <m:t>ΔG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RT</m:t>
        </m:r>
        <m:r>
          <m:rPr>
            <m:sty m:val="p"/>
          </m:rPr>
          <w:rPr>
            <w:rFonts w:ascii="Cambria Math" w:hAnsi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t xml:space="preserve">, then the sign of </w:t>
      </w:r>
      <m:oMath>
        <m:r>
          <w:rPr>
            <w:rFonts w:ascii="Cambria Math" w:hAnsi="Cambria Math"/>
          </w:rPr>
          <m:t>ΔG</m:t>
        </m:r>
      </m:oMath>
      <w:r>
        <w:t xml:space="preserve"> depends on whether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</m:t>
        </m:r>
      </m:oMath>
      <w:r>
        <w:t xml:space="preserve"> M 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</m:t>
        </m:r>
      </m:oMath>
      <w:r>
        <w:t xml:space="preserve"> M. That’s arbitrary — depends on units.” How do you respond?</w:t>
      </w:r>
    </w:p>
    <w:p w14:paraId="2B9A1072" w14:textId="77777777" w:rsidR="009D65E2" w:rsidRDefault="00000000">
      <w:r>
        <w:rPr>
          <w:i/>
          <w:iCs/>
        </w:rPr>
        <w:t>Answer:</w:t>
      </w:r>
      <w:r>
        <w:t xml:space="preserve"> The student is identifying a real conceptual issue. The sign convention reflects the </w:t>
      </w:r>
      <w:r>
        <w:rPr>
          <w:b/>
          <w:bCs/>
        </w:rPr>
        <w:t>standard state</w:t>
      </w:r>
      <w:r>
        <w:t xml:space="preserve"> — the concentration at which bound and unbound are equiprobable. For solution-phase binding, the standard state is 1 M, so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M corresponds to </w:t>
      </w:r>
      <m:oMath>
        <m:r>
          <w:rPr>
            <w:rFonts w:ascii="Cambria Math" w:hAnsi="Cambria Math"/>
          </w:rPr>
          <m:t>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(equal bound and unbound populations). This is a convention, but it’s a universal one in chemistry and biophysics. All experimental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t xml:space="preserve"> values are reported relative to this 1 M standard state. When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</m:t>
        </m:r>
      </m:oMath>
      <w:r>
        <w:t xml:space="preserve"> M (binding tighter than the standard state), </w:t>
      </w:r>
      <m:oMath>
        <m:r>
          <w:rPr>
            <w:rFonts w:ascii="Cambria Math" w:hAnsi="Cambria Math"/>
          </w:rPr>
          <m:t>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 xml:space="preserve"> — binding is favorable at 1 M reference concentrations. The convention allows consistent comparison across experiments and systems.</w:t>
      </w:r>
    </w:p>
    <w:p w14:paraId="5075A939" w14:textId="77777777" w:rsidR="009D65E2" w:rsidRDefault="00000000">
      <w:r>
        <w:rPr>
          <w:b/>
          <w:bCs/>
        </w:rPr>
        <w:t>Q4.</w:t>
      </w:r>
      <w:r>
        <w:t xml:space="preserve"> The two-state derivation here uses sigmoid. Lecture 6 will prove that sigmoid violates IIA and cannot be the general selection function. How do we reconcile these?</w:t>
      </w:r>
    </w:p>
    <w:p w14:paraId="4CE9D84E" w14:textId="77777777" w:rsidR="009D65E2" w:rsidRDefault="00000000">
      <w:r>
        <w:rPr>
          <w:i/>
          <w:iCs/>
        </w:rPr>
        <w:t>Answer:</w:t>
      </w:r>
      <w:r>
        <w:t xml:space="preserve"> For a two-state system (bound vs. unbound with one specific target), sigmoid is correct — it is the same as softmax applied to two scores. The IIA violation arises when we ask about </w:t>
      </w:r>
      <w:r>
        <w:rPr>
          <w:b/>
          <w:bCs/>
        </w:rPr>
        <w:t>selection among multiple competing targets</w:t>
      </w:r>
      <w:r>
        <w:t xml:space="preserve">. Given antigens {1, 2, 3}, the probability of antigen 1 binding depends on antigens 2 and 3 as well. Sigmoid treats each pair independently: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m:t>bind 1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σ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>
        <w:t xml:space="preserve">, ignoring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. This independence violates IIA. Softmax correctly accounts for the full competitor pool: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m:t>bind 1</m:t>
            </m:r>
          </m:e>
        </m:d>
        <m:r>
          <m:rPr>
            <m:sty m:val="p"/>
          </m:rPr>
          <w:rPr>
            <w:rFonts w:ascii="Cambria Math" w:hAnsi="Cambria Math"/>
          </w:rPr>
          <m:t>=exp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/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exp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/>
              </w:rPr>
              <m:t>+exp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/>
              </w:rPr>
              <m:t>+exp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e>
            </m:d>
          </m:e>
        </m:d>
      </m:oMath>
      <w:r>
        <w:t>. The two-state case is degenerate — there’s only one alternative (unbound), so IIA is trivially satisfied. The multi-candidate case is where softmax becomes necessary.</w:t>
      </w:r>
    </w:p>
    <w:p w14:paraId="421C180E" w14:textId="77777777" w:rsidR="009D65E2" w:rsidRDefault="00276607">
      <w:r>
        <w:rPr>
          <w:noProof/>
        </w:rPr>
      </w:r>
      <w:r>
        <w:pict w14:anchorId="098AFA10">
          <v:rect id="Horizontal Line 14" o:spid="_x0000_s1026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AD3A442" w14:textId="77777777" w:rsidR="009D65E2" w:rsidRDefault="00000000">
      <w:pPr>
        <w:pStyle w:val="Heading2"/>
      </w:pPr>
      <w:bookmarkStart w:id="15" w:name="connection-to-future-lectures"/>
      <w:bookmarkEnd w:id="14"/>
      <w:r>
        <w:t>14. Connection to Future Lectures</w:t>
      </w:r>
    </w:p>
    <w:p w14:paraId="34514348" w14:textId="77777777" w:rsidR="009D65E2" w:rsidRDefault="00000000">
      <w:pPr>
        <w:numPr>
          <w:ilvl w:val="0"/>
          <w:numId w:val="5"/>
        </w:numPr>
      </w:pPr>
      <w:r>
        <w:rPr>
          <w:b/>
          <w:bCs/>
        </w:rPr>
        <w:t>Lecture 4, WB3:</w:t>
      </w:r>
      <w:r>
        <w:t xml:space="preserve"> The general multi-candidate selection problem — one agent, </w:t>
      </w:r>
      <m:oMath>
        <m:r>
          <w:rPr>
            <w:rFonts w:ascii="Cambria Math" w:hAnsi="Cambria Math"/>
          </w:rPr>
          <m:t>M</m:t>
        </m:r>
      </m:oMath>
      <w:r>
        <w:t xml:space="preserve"> competitor targets — is derived next, yielding the softmax form of competitive binding.</w:t>
      </w:r>
    </w:p>
    <w:p w14:paraId="2C8EE9B0" w14:textId="77777777" w:rsidR="009D65E2" w:rsidRDefault="00000000">
      <w:pPr>
        <w:numPr>
          <w:ilvl w:val="0"/>
          <w:numId w:val="5"/>
        </w:numPr>
      </w:pPr>
      <w:r>
        <w:rPr>
          <w:b/>
          <w:bCs/>
        </w:rPr>
        <w:t>Lecture 5:</w:t>
      </w:r>
      <w:r>
        <w:t xml:space="preserve"> The energy </w:t>
      </w:r>
      <m:oMath>
        <m:r>
          <w:rPr>
            <w:rFonts w:ascii="Cambria Math" w:hAnsi="Cambria Math"/>
          </w:rPr>
          <m:t>ΔG</m:t>
        </m:r>
      </m:oMath>
      <w:r>
        <w:t xml:space="preserve"> in this derivation decomposes as a dot product between agent and target features. For nucleic acids (given bilinearity), the decomposition is exact. For proteins (emergent bilinearity), it must be learned.</w:t>
      </w:r>
    </w:p>
    <w:p w14:paraId="01A7D830" w14:textId="77777777" w:rsidR="009D65E2" w:rsidRDefault="00000000">
      <w:pPr>
        <w:numPr>
          <w:ilvl w:val="0"/>
          <w:numId w:val="5"/>
        </w:numPr>
      </w:pPr>
      <w:r>
        <w:rPr>
          <w:b/>
          <w:bCs/>
        </w:rPr>
        <w:t>Lecture 6:</w:t>
      </w:r>
      <w:r>
        <w:t xml:space="preserve"> The convergence equation — the softmax/Boltzmann distribution — is proven unique. The two-state sigmoid case is shown to be the M=2 special case of the general theorem.</w:t>
      </w:r>
    </w:p>
    <w:p w14:paraId="1F1D5559" w14:textId="77777777" w:rsidR="009D65E2" w:rsidRDefault="00000000">
      <w:pPr>
        <w:numPr>
          <w:ilvl w:val="0"/>
          <w:numId w:val="5"/>
        </w:numPr>
      </w:pPr>
      <w:r>
        <w:rPr>
          <w:b/>
          <w:bCs/>
        </w:rPr>
        <w:t>Lecture 10 (future):</w:t>
      </w:r>
      <w:r>
        <w:t xml:space="preserve"> The affinity calibration framework </w:t>
      </w:r>
      <m:oMath>
        <m:r>
          <w:rPr>
            <w:rFonts w:ascii="Cambria Math" w:hAnsi="Cambria Math"/>
          </w:rPr>
          <m:t>ΔG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ws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</m:oMath>
      <w:r>
        <w:t xml:space="preserve"> provides the unit conversion from SFM contrastive scores to absolute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t xml:space="preserve"> values. The linear form follows directly from the identity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ΔG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RT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t xml:space="preserve"> derived here and in WB3.</w:t>
      </w:r>
      <w:bookmarkEnd w:id="1"/>
      <w:bookmarkEnd w:id="15"/>
    </w:p>
    <w:sectPr w:rsidR="009D65E2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DC45A" w14:textId="77777777" w:rsidR="00276607" w:rsidRDefault="00276607">
      <w:r>
        <w:separator/>
      </w:r>
    </w:p>
  </w:endnote>
  <w:endnote w:type="continuationSeparator" w:id="0">
    <w:p w14:paraId="7C1EFADD" w14:textId="77777777" w:rsidR="00276607" w:rsidRDefault="002766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D5C4F" w14:textId="77777777" w:rsidR="009D65E2" w:rsidRDefault="00000000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395DCF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0FBC4" w14:textId="77777777" w:rsidR="00276607" w:rsidRDefault="00276607">
      <w:r>
        <w:separator/>
      </w:r>
    </w:p>
  </w:footnote>
  <w:footnote w:type="continuationSeparator" w:id="0">
    <w:p w14:paraId="363B1005" w14:textId="77777777" w:rsidR="00276607" w:rsidRDefault="002766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A9CB5" w14:textId="77777777" w:rsidR="009D65E2" w:rsidRDefault="00000000">
    <w:pPr>
      <w:pBdr>
        <w:bottom w:val="single" w:sz="4" w:space="4" w:color="999999"/>
      </w:pBdr>
    </w:pPr>
    <w:r>
      <w:rPr>
        <w:i/>
        <w:iCs/>
        <w:sz w:val="18"/>
        <w:szCs w:val="18"/>
      </w:rPr>
      <w:t>MRC Lecture 4 — Derivation Guide 2: The Dissociation Constant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BBE77D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5E007A1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718D704A"/>
    <w:multiLevelType w:val="hybridMultilevel"/>
    <w:tmpl w:val="09AC458C"/>
    <w:lvl w:ilvl="0" w:tplc="68C4A322">
      <w:start w:val="1"/>
      <w:numFmt w:val="bullet"/>
      <w:lvlText w:val="●"/>
      <w:lvlJc w:val="left"/>
      <w:pPr>
        <w:ind w:left="720" w:hanging="360"/>
      </w:pPr>
    </w:lvl>
    <w:lvl w:ilvl="1" w:tplc="CA5CB72E">
      <w:start w:val="1"/>
      <w:numFmt w:val="bullet"/>
      <w:lvlText w:val="○"/>
      <w:lvlJc w:val="left"/>
      <w:pPr>
        <w:ind w:left="1440" w:hanging="360"/>
      </w:pPr>
    </w:lvl>
    <w:lvl w:ilvl="2" w:tplc="E4FEA214">
      <w:start w:val="1"/>
      <w:numFmt w:val="bullet"/>
      <w:lvlText w:val="■"/>
      <w:lvlJc w:val="left"/>
      <w:pPr>
        <w:ind w:left="2160" w:hanging="360"/>
      </w:pPr>
    </w:lvl>
    <w:lvl w:ilvl="3" w:tplc="59FA46AA">
      <w:start w:val="1"/>
      <w:numFmt w:val="bullet"/>
      <w:lvlText w:val="●"/>
      <w:lvlJc w:val="left"/>
      <w:pPr>
        <w:ind w:left="2880" w:hanging="360"/>
      </w:pPr>
    </w:lvl>
    <w:lvl w:ilvl="4" w:tplc="5C162BDE">
      <w:start w:val="1"/>
      <w:numFmt w:val="bullet"/>
      <w:lvlText w:val="○"/>
      <w:lvlJc w:val="left"/>
      <w:pPr>
        <w:ind w:left="3600" w:hanging="360"/>
      </w:pPr>
    </w:lvl>
    <w:lvl w:ilvl="5" w:tplc="3A02D384">
      <w:start w:val="1"/>
      <w:numFmt w:val="bullet"/>
      <w:lvlText w:val="■"/>
      <w:lvlJc w:val="left"/>
      <w:pPr>
        <w:ind w:left="4320" w:hanging="360"/>
      </w:pPr>
    </w:lvl>
    <w:lvl w:ilvl="6" w:tplc="F6FA7EA4">
      <w:start w:val="1"/>
      <w:numFmt w:val="bullet"/>
      <w:lvlText w:val="●"/>
      <w:lvlJc w:val="left"/>
      <w:pPr>
        <w:ind w:left="5040" w:hanging="360"/>
      </w:pPr>
    </w:lvl>
    <w:lvl w:ilvl="7" w:tplc="00AAD67C">
      <w:start w:val="1"/>
      <w:numFmt w:val="bullet"/>
      <w:lvlText w:val="●"/>
      <w:lvlJc w:val="left"/>
      <w:pPr>
        <w:ind w:left="5760" w:hanging="360"/>
      </w:pPr>
    </w:lvl>
    <w:lvl w:ilvl="8" w:tplc="F4841542">
      <w:start w:val="1"/>
      <w:numFmt w:val="bullet"/>
      <w:lvlText w:val="●"/>
      <w:lvlJc w:val="left"/>
      <w:pPr>
        <w:ind w:left="6480" w:hanging="360"/>
      </w:pPr>
    </w:lvl>
  </w:abstractNum>
  <w:num w:numId="1" w16cid:durableId="1693795412">
    <w:abstractNumId w:val="2"/>
    <w:lvlOverride w:ilvl="0">
      <w:startOverride w:val="1"/>
    </w:lvlOverride>
  </w:num>
  <w:num w:numId="2" w16cid:durableId="147403724">
    <w:abstractNumId w:val="0"/>
  </w:num>
  <w:num w:numId="3" w16cid:durableId="1685937030">
    <w:abstractNumId w:val="1"/>
  </w:num>
  <w:num w:numId="4" w16cid:durableId="1338925750">
    <w:abstractNumId w:val="1"/>
  </w:num>
  <w:num w:numId="5" w16cid:durableId="881134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7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5E2"/>
    <w:rsid w:val="00276607"/>
    <w:rsid w:val="00395DCF"/>
    <w:rsid w:val="009D65E2"/>
    <w:rsid w:val="00C77BA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4A10A41A"/>
  <w15:docId w15:val="{D7E3D813-0272-234D-B933-D57C22E07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2051</Words>
  <Characters>11691</Characters>
  <Application>Microsoft Office Word</Application>
  <DocSecurity>0</DocSecurity>
  <Lines>97</Lines>
  <Paragraphs>27</Paragraphs>
  <ScaleCrop>false</ScaleCrop>
  <Company/>
  <LinksUpToDate>false</LinksUpToDate>
  <CharactersWithSpaces>13715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Reddy  Sai</dc:creator>
  <cp:keywords/>
  <cp:lastModifiedBy>Reddy  Sai</cp:lastModifiedBy>
  <cp:revision>2</cp:revision>
  <dcterms:created xsi:type="dcterms:W3CDTF">2026-04-21T11:15:00Z</dcterms:created>
  <dcterms:modified xsi:type="dcterms:W3CDTF">2026-04-21T11:15:00Z</dcterms:modified>
</cp:coreProperties>
</file>